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648" w:rsidRDefault="002D3648" w:rsidP="002D3648">
      <w:pPr>
        <w:rPr>
          <w:rtl/>
        </w:rPr>
      </w:pPr>
    </w:p>
    <w:p w:rsidR="002D3648" w:rsidRDefault="002D3648" w:rsidP="002D3648">
      <w:pPr>
        <w:rPr>
          <w:rtl/>
        </w:rPr>
      </w:pPr>
    </w:p>
    <w:p w:rsidR="002D3648" w:rsidRDefault="002D3648" w:rsidP="002D3648">
      <w:pPr>
        <w:rPr>
          <w:rtl/>
        </w:rPr>
      </w:pPr>
    </w:p>
    <w:p w:rsidR="002D3648" w:rsidRDefault="002D3648" w:rsidP="002D3648">
      <w:pPr>
        <w:rPr>
          <w:rtl/>
        </w:rPr>
      </w:pPr>
    </w:p>
    <w:p w:rsidR="002D3648" w:rsidRDefault="002D3648" w:rsidP="002D3648">
      <w:pPr>
        <w:rPr>
          <w:rtl/>
        </w:rPr>
      </w:pPr>
    </w:p>
    <w:p w:rsidR="002D3648" w:rsidRDefault="002D3648" w:rsidP="002D3648">
      <w:pPr>
        <w:rPr>
          <w:rtl/>
        </w:rPr>
      </w:pPr>
    </w:p>
    <w:p w:rsidR="002D3648" w:rsidRDefault="002D3648" w:rsidP="002D3648">
      <w:pPr>
        <w:rPr>
          <w:rtl/>
        </w:rPr>
      </w:pPr>
    </w:p>
    <w:p w:rsidR="002D3648" w:rsidRDefault="002D3648" w:rsidP="002D3648">
      <w:pPr>
        <w:rPr>
          <w:rtl/>
        </w:rPr>
      </w:pPr>
    </w:p>
    <w:p w:rsidR="002D3648" w:rsidRDefault="002D3648" w:rsidP="002D3648">
      <w:pPr>
        <w:rPr>
          <w:rtl/>
        </w:rPr>
      </w:pPr>
    </w:p>
    <w:p w:rsidR="002D3648" w:rsidRDefault="002D3648" w:rsidP="002D3648">
      <w:pPr>
        <w:rPr>
          <w:rtl/>
        </w:rPr>
      </w:pPr>
    </w:p>
    <w:p w:rsidR="002D3648" w:rsidRDefault="002D3648" w:rsidP="002D3648"/>
    <w:p w:rsidR="00EA09EB" w:rsidRDefault="00EA09EB" w:rsidP="002D3648"/>
    <w:p w:rsidR="00EA09EB" w:rsidRDefault="00EA09EB" w:rsidP="002D3648"/>
    <w:p w:rsidR="00EA09EB" w:rsidRDefault="00EA09EB" w:rsidP="002D3648"/>
    <w:p w:rsidR="00EA09EB" w:rsidRDefault="00EA09EB" w:rsidP="002D3648"/>
    <w:p w:rsidR="00EA09EB" w:rsidRDefault="00EA09EB" w:rsidP="002D3648"/>
    <w:p w:rsidR="00EA09EB" w:rsidRDefault="00EA09EB" w:rsidP="002D3648"/>
    <w:p w:rsidR="00EA09EB" w:rsidRDefault="00EA09EB" w:rsidP="002D3648"/>
    <w:p w:rsidR="00EA09EB" w:rsidRDefault="00EA09EB" w:rsidP="002D3648">
      <w:pPr>
        <w:rPr>
          <w:rtl/>
        </w:rPr>
      </w:pPr>
    </w:p>
    <w:p w:rsidR="002D3648" w:rsidRPr="00EA09EB" w:rsidRDefault="00EA09EB" w:rsidP="00EA09EB">
      <w:pPr>
        <w:pStyle w:val="Heading1"/>
        <w:jc w:val="right"/>
        <w:rPr>
          <w:b w:val="0"/>
          <w:sz w:val="38"/>
          <w:szCs w:val="76"/>
        </w:rPr>
      </w:pPr>
      <w:bookmarkStart w:id="0" w:name="_Toc405473804"/>
      <w:bookmarkStart w:id="1" w:name="_Toc406415767"/>
      <w:bookmarkStart w:id="2" w:name="_Toc408662074"/>
      <w:bookmarkStart w:id="3" w:name="_Toc413658804"/>
      <w:r w:rsidRPr="00EA09EB">
        <w:rPr>
          <w:rFonts w:hint="cs"/>
          <w:b w:val="0"/>
          <w:sz w:val="38"/>
          <w:szCs w:val="76"/>
          <w:rtl/>
        </w:rPr>
        <w:t>الحكومة الولائية</w:t>
      </w:r>
      <w:bookmarkEnd w:id="0"/>
      <w:bookmarkEnd w:id="1"/>
      <w:bookmarkEnd w:id="2"/>
      <w:bookmarkEnd w:id="3"/>
    </w:p>
    <w:p w:rsidR="002D3648" w:rsidRDefault="002D3648" w:rsidP="00EA09EB">
      <w:pPr>
        <w:rPr>
          <w:rtl/>
        </w:rPr>
      </w:pPr>
    </w:p>
    <w:p w:rsidR="002D3648" w:rsidRDefault="002D3648" w:rsidP="002D3648">
      <w:pPr>
        <w:sectPr w:rsidR="002D3648" w:rsidSect="002B00D1">
          <w:headerReference w:type="even" r:id="rId8"/>
          <w:headerReference w:type="default" r:id="rId9"/>
          <w:footnotePr>
            <w:numRestart w:val="eachPage"/>
          </w:footnotePr>
          <w:pgSz w:w="11907" w:h="16840" w:code="9"/>
          <w:pgMar w:top="2835" w:right="2552" w:bottom="3232" w:left="2552" w:header="2268" w:footer="1106" w:gutter="0"/>
          <w:cols w:space="720"/>
          <w:titlePg/>
          <w:docGrid w:linePitch="360"/>
        </w:sectPr>
      </w:pPr>
    </w:p>
    <w:p w:rsidR="002D3648" w:rsidRDefault="002D3648" w:rsidP="002D3648">
      <w:pPr>
        <w:rPr>
          <w:rtl/>
        </w:rPr>
      </w:pPr>
    </w:p>
    <w:p w:rsidR="00AD5743" w:rsidRDefault="00AD5743" w:rsidP="002D3648">
      <w:pPr>
        <w:rPr>
          <w:rtl/>
        </w:rPr>
      </w:pPr>
    </w:p>
    <w:p w:rsidR="00AD5743" w:rsidRDefault="00AD5743" w:rsidP="002D3648">
      <w:pPr>
        <w:rPr>
          <w:rtl/>
        </w:rPr>
      </w:pPr>
    </w:p>
    <w:p w:rsidR="002D3648" w:rsidRPr="00D06379" w:rsidRDefault="00EA09EB" w:rsidP="002D3648">
      <w:pPr>
        <w:pStyle w:val="Heading1"/>
        <w:rPr>
          <w:b w:val="0"/>
          <w:sz w:val="54"/>
          <w:szCs w:val="92"/>
        </w:rPr>
      </w:pPr>
      <w:bookmarkStart w:id="4" w:name="_Toc405473805"/>
      <w:bookmarkStart w:id="5" w:name="_Toc406415768"/>
      <w:bookmarkStart w:id="6" w:name="_Toc408662075"/>
      <w:bookmarkStart w:id="7" w:name="_Toc413658805"/>
      <w:bookmarkStart w:id="8" w:name="_Toc310857795"/>
      <w:r>
        <w:rPr>
          <w:rFonts w:hint="cs"/>
          <w:b w:val="0"/>
          <w:sz w:val="54"/>
          <w:szCs w:val="92"/>
          <w:rtl/>
        </w:rPr>
        <w:t>الحكومة الولائية</w:t>
      </w:r>
      <w:bookmarkEnd w:id="4"/>
      <w:bookmarkEnd w:id="5"/>
      <w:bookmarkEnd w:id="6"/>
      <w:bookmarkEnd w:id="7"/>
    </w:p>
    <w:p w:rsidR="002D3648" w:rsidRPr="00AD5743" w:rsidRDefault="002D3648" w:rsidP="002D3648">
      <w:pPr>
        <w:rPr>
          <w:rFonts w:cs="Cambria"/>
          <w:rtl/>
        </w:rPr>
      </w:pPr>
    </w:p>
    <w:bookmarkEnd w:id="8"/>
    <w:p w:rsidR="002D3648" w:rsidRDefault="002D3648" w:rsidP="002D3648"/>
    <w:p w:rsidR="002D3648" w:rsidRDefault="002D3648" w:rsidP="002D3648">
      <w:pPr>
        <w:rPr>
          <w:rtl/>
        </w:rPr>
      </w:pPr>
    </w:p>
    <w:p w:rsidR="002D3648" w:rsidRPr="000841A9" w:rsidRDefault="002D3648" w:rsidP="002D3648">
      <w:pPr>
        <w:rPr>
          <w:rtl/>
        </w:rPr>
      </w:pPr>
    </w:p>
    <w:p w:rsidR="00EA09EB" w:rsidRDefault="00EA09EB" w:rsidP="00EA09EB">
      <w:pPr>
        <w:pStyle w:val="Heading2"/>
        <w:ind w:left="360"/>
        <w:jc w:val="center"/>
        <w:rPr>
          <w:sz w:val="34"/>
          <w:rtl/>
        </w:rPr>
      </w:pPr>
      <w:bookmarkStart w:id="9" w:name="_Toc405473806"/>
      <w:bookmarkStart w:id="10" w:name="_Toc406415769"/>
      <w:bookmarkStart w:id="11" w:name="_Toc408662076"/>
      <w:bookmarkStart w:id="12" w:name="_Toc413658806"/>
      <w:r w:rsidRPr="00EA09EB">
        <w:rPr>
          <w:rFonts w:hint="cs"/>
          <w:sz w:val="34"/>
          <w:rtl/>
        </w:rPr>
        <w:t>د. الشيخ محسن كديور</w:t>
      </w:r>
      <w:bookmarkEnd w:id="9"/>
      <w:bookmarkEnd w:id="10"/>
      <w:bookmarkEnd w:id="11"/>
      <w:bookmarkEnd w:id="12"/>
    </w:p>
    <w:p w:rsidR="00AD5743" w:rsidRPr="00AD5743" w:rsidRDefault="00AD5743" w:rsidP="00AD5743">
      <w:pPr>
        <w:rPr>
          <w:sz w:val="2"/>
          <w:szCs w:val="4"/>
          <w:rtl/>
        </w:rPr>
      </w:pPr>
    </w:p>
    <w:p w:rsidR="002D3648" w:rsidRPr="00EA09EB" w:rsidRDefault="00EA09EB" w:rsidP="00EA09EB">
      <w:pPr>
        <w:pStyle w:val="Heading2"/>
        <w:ind w:left="360"/>
        <w:jc w:val="center"/>
        <w:rPr>
          <w:sz w:val="34"/>
          <w:rtl/>
        </w:rPr>
      </w:pPr>
      <w:bookmarkStart w:id="13" w:name="_Toc405473807"/>
      <w:bookmarkStart w:id="14" w:name="_Toc406415770"/>
      <w:bookmarkStart w:id="15" w:name="_Toc408662077"/>
      <w:bookmarkStart w:id="16" w:name="_Toc413658807"/>
      <w:r w:rsidRPr="00EA09EB">
        <w:rPr>
          <w:rFonts w:hint="cs"/>
          <w:sz w:val="34"/>
          <w:rtl/>
        </w:rPr>
        <w:t>ترجمة: السيد مهدي محمد حسن الأمين</w:t>
      </w:r>
      <w:bookmarkEnd w:id="13"/>
      <w:bookmarkEnd w:id="14"/>
      <w:bookmarkEnd w:id="15"/>
      <w:bookmarkEnd w:id="16"/>
    </w:p>
    <w:p w:rsidR="002D3648" w:rsidRPr="00517D1A" w:rsidRDefault="002D3648" w:rsidP="002D3648">
      <w:pPr>
        <w:rPr>
          <w:rtl/>
        </w:rPr>
      </w:pPr>
    </w:p>
    <w:p w:rsidR="002D3648" w:rsidRDefault="002D3648" w:rsidP="002D3648">
      <w:pPr>
        <w:rPr>
          <w:rtl/>
        </w:rPr>
      </w:pPr>
    </w:p>
    <w:p w:rsidR="002D3648" w:rsidRDefault="002D3648" w:rsidP="002D3648">
      <w:pPr>
        <w:sectPr w:rsidR="002D3648" w:rsidSect="009003FC">
          <w:footnotePr>
            <w:numRestart w:val="eachPage"/>
          </w:footnotePr>
          <w:type w:val="oddPage"/>
          <w:pgSz w:w="11907" w:h="16840" w:code="9"/>
          <w:pgMar w:top="2835" w:right="2552" w:bottom="3232" w:left="2552" w:header="2268" w:footer="1106" w:gutter="0"/>
          <w:cols w:space="720"/>
          <w:titlePg/>
          <w:docGrid w:linePitch="360"/>
        </w:sectPr>
      </w:pPr>
    </w:p>
    <w:p w:rsidR="002D3648" w:rsidRPr="00AD5743" w:rsidRDefault="002D3648" w:rsidP="002D3648"/>
    <w:p w:rsidR="002D3648" w:rsidRDefault="002D3648" w:rsidP="002D3648"/>
    <w:p w:rsidR="002D3648" w:rsidRPr="00D06379" w:rsidRDefault="002D3648" w:rsidP="002D3648">
      <w:pPr>
        <w:rPr>
          <w:sz w:val="40"/>
          <w:szCs w:val="42"/>
        </w:rPr>
      </w:pPr>
    </w:p>
    <w:p w:rsidR="002D3648" w:rsidRPr="00D06379" w:rsidRDefault="002D3648" w:rsidP="002D3648">
      <w:pPr>
        <w:rPr>
          <w:sz w:val="40"/>
          <w:szCs w:val="42"/>
        </w:rPr>
      </w:pPr>
    </w:p>
    <w:p w:rsidR="002D3648" w:rsidRPr="00D06379" w:rsidRDefault="002D3648" w:rsidP="002D3648">
      <w:pPr>
        <w:rPr>
          <w:sz w:val="40"/>
          <w:szCs w:val="42"/>
        </w:rPr>
      </w:pPr>
    </w:p>
    <w:p w:rsidR="002D3648" w:rsidRPr="00D06379" w:rsidRDefault="002D3648" w:rsidP="002D3648">
      <w:pPr>
        <w:rPr>
          <w:sz w:val="40"/>
          <w:szCs w:val="42"/>
        </w:rPr>
      </w:pPr>
    </w:p>
    <w:p w:rsidR="002D3648" w:rsidRPr="00D06379" w:rsidRDefault="002D3648" w:rsidP="002D3648">
      <w:pPr>
        <w:rPr>
          <w:sz w:val="40"/>
          <w:szCs w:val="42"/>
          <w:rtl/>
        </w:rPr>
      </w:pPr>
    </w:p>
    <w:p w:rsidR="002D3648" w:rsidRPr="00D06379" w:rsidRDefault="002D3648" w:rsidP="002D3648">
      <w:pPr>
        <w:rPr>
          <w:sz w:val="40"/>
          <w:szCs w:val="42"/>
        </w:rPr>
      </w:pPr>
    </w:p>
    <w:p w:rsidR="002D3648" w:rsidRDefault="002D3648" w:rsidP="002D3648"/>
    <w:p w:rsidR="002D3648" w:rsidRPr="0086303D" w:rsidRDefault="002D3648" w:rsidP="002D3648">
      <w:pPr>
        <w:ind w:firstLine="0"/>
        <w:rPr>
          <w:rFonts w:ascii="AGA Islamic Phrases" w:hAnsi="AGA Islamic Phrases"/>
          <w:sz w:val="238"/>
          <w:szCs w:val="240"/>
        </w:rPr>
      </w:pPr>
      <w:r w:rsidRPr="0086303D">
        <w:rPr>
          <w:rFonts w:ascii="AGA Islamic Phrases" w:hAnsi="AGA Islamic Phrases"/>
          <w:sz w:val="238"/>
          <w:szCs w:val="240"/>
        </w:rPr>
        <w:t>!</w:t>
      </w:r>
    </w:p>
    <w:p w:rsidR="002D3648" w:rsidRPr="004344DA" w:rsidRDefault="002D3648" w:rsidP="002D3648">
      <w:pPr>
        <w:rPr>
          <w:rtl/>
        </w:rPr>
      </w:pPr>
      <w:r w:rsidRPr="004344DA">
        <w:rPr>
          <w:rtl/>
        </w:rPr>
        <w:br w:type="page"/>
      </w:r>
    </w:p>
    <w:p w:rsidR="002D3648" w:rsidRDefault="002D3648" w:rsidP="00A94625">
      <w:pPr>
        <w:ind w:firstLine="0"/>
        <w:rPr>
          <w:rtl/>
        </w:rPr>
        <w:sectPr w:rsidR="002D3648" w:rsidSect="009003FC">
          <w:footnotePr>
            <w:numRestart w:val="eachPage"/>
          </w:footnotePr>
          <w:type w:val="oddPage"/>
          <w:pgSz w:w="11907" w:h="16840" w:code="9"/>
          <w:pgMar w:top="2835" w:right="2552" w:bottom="3232" w:left="2552" w:header="2268" w:footer="1106" w:gutter="0"/>
          <w:cols w:space="720"/>
          <w:titlePg/>
          <w:docGrid w:linePitch="360"/>
        </w:sectPr>
      </w:pPr>
    </w:p>
    <w:p w:rsidR="003C222C" w:rsidRDefault="003C222C" w:rsidP="003C222C">
      <w:pPr>
        <w:rPr>
          <w:rtl/>
        </w:rPr>
      </w:pPr>
      <w:bookmarkStart w:id="17" w:name="_Toc182394074"/>
      <w:bookmarkStart w:id="18" w:name="_Toc255949427"/>
      <w:bookmarkStart w:id="19" w:name="_Toc261564718"/>
      <w:bookmarkStart w:id="20" w:name="_Toc291272908"/>
    </w:p>
    <w:p w:rsidR="003C222C" w:rsidRDefault="003C222C" w:rsidP="003C222C">
      <w:pPr>
        <w:rPr>
          <w:rtl/>
        </w:rPr>
      </w:pPr>
    </w:p>
    <w:p w:rsidR="003C222C" w:rsidRDefault="003C222C" w:rsidP="003C222C">
      <w:pPr>
        <w:rPr>
          <w:rtl/>
        </w:rPr>
      </w:pPr>
    </w:p>
    <w:p w:rsidR="003C222C" w:rsidRDefault="003C222C" w:rsidP="003C222C"/>
    <w:p w:rsidR="003C222C" w:rsidRPr="00876394" w:rsidRDefault="003C222C" w:rsidP="003C222C">
      <w:pPr>
        <w:pStyle w:val="Heading2"/>
        <w:jc w:val="center"/>
        <w:rPr>
          <w:rFonts w:eastAsia="Batang"/>
        </w:rPr>
      </w:pPr>
      <w:bookmarkStart w:id="21" w:name="_Toc413658808"/>
      <w:r w:rsidRPr="003C222C">
        <w:rPr>
          <w:rFonts w:hint="cs"/>
          <w:rtl/>
        </w:rPr>
        <w:t>كلمة</w:t>
      </w:r>
      <w:r w:rsidRPr="00876394">
        <w:rPr>
          <w:rFonts w:eastAsia="Batang" w:hint="cs"/>
          <w:rtl/>
        </w:rPr>
        <w:t xml:space="preserve"> المجلّة</w:t>
      </w:r>
      <w:bookmarkEnd w:id="17"/>
      <w:bookmarkEnd w:id="18"/>
      <w:bookmarkEnd w:id="19"/>
      <w:bookmarkEnd w:id="20"/>
      <w:bookmarkEnd w:id="21"/>
    </w:p>
    <w:p w:rsidR="003C222C" w:rsidRPr="007F4985" w:rsidRDefault="003C222C" w:rsidP="009C7B1B">
      <w:pPr>
        <w:spacing w:line="226" w:lineRule="auto"/>
        <w:rPr>
          <w:rFonts w:eastAsia="Batang"/>
          <w:rtl/>
        </w:rPr>
      </w:pPr>
      <w:r w:rsidRPr="007F4985">
        <w:rPr>
          <w:rFonts w:eastAsia="Batang" w:hint="cs"/>
          <w:rtl/>
        </w:rPr>
        <w:t xml:space="preserve">يسعدنا أن نزفّ إلى قرائنا الكرام، مشروع مجلّة </w:t>
      </w:r>
      <w:r w:rsidRPr="007F4985">
        <w:rPr>
          <w:rFonts w:eastAsia="Batang" w:hint="eastAsia"/>
          <w:rtl/>
        </w:rPr>
        <w:t>«</w:t>
      </w:r>
      <w:r w:rsidRPr="007F4985">
        <w:rPr>
          <w:rFonts w:eastAsia="Batang" w:hint="cs"/>
          <w:b/>
          <w:bCs/>
          <w:rtl/>
        </w:rPr>
        <w:t>الاجتهاد والتجديد</w:t>
      </w:r>
      <w:r w:rsidRPr="007F4985">
        <w:rPr>
          <w:rFonts w:eastAsia="Batang" w:hint="eastAsia"/>
          <w:rtl/>
        </w:rPr>
        <w:t>»</w:t>
      </w:r>
      <w:r w:rsidRPr="007F4985">
        <w:rPr>
          <w:rFonts w:eastAsia="Batang" w:hint="cs"/>
          <w:rtl/>
        </w:rPr>
        <w:t>، وهو إصدار كتاب المجلّة، الذي سيكون كتاباً كل عام في الحدّ الأدنى إن شاء الله تعالى.</w:t>
      </w:r>
    </w:p>
    <w:p w:rsidR="003C222C" w:rsidRPr="007F4985" w:rsidRDefault="003C222C" w:rsidP="009C7B1B">
      <w:pPr>
        <w:spacing w:line="226" w:lineRule="auto"/>
        <w:rPr>
          <w:rFonts w:eastAsia="Batang"/>
          <w:rtl/>
        </w:rPr>
      </w:pPr>
      <w:r w:rsidRPr="007F4985">
        <w:rPr>
          <w:rFonts w:eastAsia="Batang" w:hint="cs"/>
          <w:rtl/>
        </w:rPr>
        <w:t>إن كتاب المجلّة سوف يجمع في طيّاته جملة الموضوعات التي تلتقي في محورٍ واحد، يحتوي على وجهات نظر متعدّدة في هذا المحور، ليكون المشهد واضحاً أمام القارئ، كما يستقبل أيّ دراسة مستقلّة يرغب صاحبها في نشرها، ولو لم تطبع على صفحات المجلّة.</w:t>
      </w:r>
    </w:p>
    <w:p w:rsidR="003C222C" w:rsidRPr="007F4985" w:rsidRDefault="003C222C" w:rsidP="009C7B1B">
      <w:pPr>
        <w:spacing w:line="226" w:lineRule="auto"/>
        <w:rPr>
          <w:rFonts w:eastAsia="Batang"/>
          <w:rtl/>
        </w:rPr>
      </w:pPr>
      <w:r w:rsidRPr="007F4985">
        <w:rPr>
          <w:rFonts w:eastAsia="Batang" w:hint="cs"/>
          <w:rtl/>
        </w:rPr>
        <w:t xml:space="preserve">وقد رأينا أن نأخذ </w:t>
      </w:r>
      <w:r>
        <w:rPr>
          <w:rFonts w:eastAsia="Batang" w:hint="cs"/>
          <w:rtl/>
        </w:rPr>
        <w:t>كتاب</w:t>
      </w:r>
      <w:r w:rsidRPr="007F4985">
        <w:rPr>
          <w:rFonts w:eastAsia="Batang" w:hint="cs"/>
          <w:rtl/>
        </w:rPr>
        <w:t xml:space="preserve">: </w:t>
      </w:r>
      <w:r w:rsidRPr="007F4985">
        <w:rPr>
          <w:rFonts w:eastAsia="Batang" w:hint="eastAsia"/>
          <w:rtl/>
        </w:rPr>
        <w:t>«</w:t>
      </w:r>
      <w:r w:rsidRPr="00242950">
        <w:rPr>
          <w:rFonts w:eastAsia="Batang" w:hint="cs"/>
          <w:b/>
          <w:bCs/>
          <w:rtl/>
        </w:rPr>
        <w:t>الحكومة الولائيّة</w:t>
      </w:r>
      <w:r w:rsidRPr="007F4985">
        <w:rPr>
          <w:rFonts w:eastAsia="Batang" w:hint="eastAsia"/>
          <w:rtl/>
        </w:rPr>
        <w:t>»</w:t>
      </w:r>
      <w:r w:rsidRPr="007F4985">
        <w:rPr>
          <w:rFonts w:eastAsia="Batang" w:hint="cs"/>
          <w:rtl/>
        </w:rPr>
        <w:t xml:space="preserve"> </w:t>
      </w:r>
      <w:r>
        <w:rPr>
          <w:rFonts w:eastAsia="Batang" w:hint="cs"/>
          <w:rtl/>
        </w:rPr>
        <w:t>خامس</w:t>
      </w:r>
      <w:r w:rsidRPr="007F4985">
        <w:rPr>
          <w:rFonts w:eastAsia="Batang" w:hint="cs"/>
          <w:rtl/>
        </w:rPr>
        <w:t xml:space="preserve"> محاور </w:t>
      </w:r>
      <w:r w:rsidRPr="007F4985">
        <w:rPr>
          <w:rFonts w:eastAsia="Batang" w:hint="eastAsia"/>
          <w:rtl/>
        </w:rPr>
        <w:t>«</w:t>
      </w:r>
      <w:r w:rsidRPr="007F4985">
        <w:rPr>
          <w:rFonts w:eastAsia="Batang" w:hint="cs"/>
          <w:b/>
          <w:bCs/>
          <w:rtl/>
        </w:rPr>
        <w:t>سلسلة  الاجتهاد والتجديد</w:t>
      </w:r>
      <w:r w:rsidRPr="007F4985">
        <w:rPr>
          <w:rFonts w:eastAsia="Batang" w:hint="eastAsia"/>
          <w:rtl/>
        </w:rPr>
        <w:t>»</w:t>
      </w:r>
      <w:r w:rsidRPr="007F4985">
        <w:rPr>
          <w:rFonts w:eastAsia="Batang" w:hint="cs"/>
          <w:rtl/>
        </w:rPr>
        <w:t>، كونه من المحاور الهامة، والتي لاقت رواجاً وترحيباً بعد نشر</w:t>
      </w:r>
      <w:r>
        <w:rPr>
          <w:rFonts w:eastAsia="Batang" w:hint="cs"/>
          <w:rtl/>
        </w:rPr>
        <w:t>ه</w:t>
      </w:r>
      <w:r w:rsidRPr="007F4985">
        <w:rPr>
          <w:rFonts w:eastAsia="Batang" w:hint="cs"/>
          <w:rtl/>
        </w:rPr>
        <w:t xml:space="preserve"> </w:t>
      </w:r>
      <w:r>
        <w:rPr>
          <w:rFonts w:eastAsia="Batang" w:hint="cs"/>
          <w:rtl/>
        </w:rPr>
        <w:t>بغير اللغة العربيّة.</w:t>
      </w:r>
    </w:p>
    <w:p w:rsidR="003C222C" w:rsidRPr="007F4985" w:rsidRDefault="003C222C" w:rsidP="009C7B1B">
      <w:pPr>
        <w:spacing w:line="226" w:lineRule="auto"/>
        <w:rPr>
          <w:rFonts w:eastAsia="Batang"/>
          <w:rtl/>
        </w:rPr>
      </w:pPr>
      <w:r w:rsidRPr="007F4985">
        <w:rPr>
          <w:rFonts w:eastAsia="Batang" w:hint="cs"/>
          <w:rtl/>
        </w:rPr>
        <w:t>و</w:t>
      </w:r>
      <w:r>
        <w:rPr>
          <w:rFonts w:eastAsia="Batang" w:hint="cs"/>
          <w:rtl/>
        </w:rPr>
        <w:t xml:space="preserve">بهذا المناسبة، نتوجّه بالشكر الجزيل للكاتب الكريم سماحة الشيخ الدكتور محسن كديور على كتابه هذا، والسيد مهدي محمد حسن الأمين على ترجمته للكتاب، وفضيلة الشيخ محمد عباس دهيني على جهوده الكريمة في تقويم النصّ،  كما نشكر </w:t>
      </w:r>
      <w:r w:rsidRPr="007F4985">
        <w:rPr>
          <w:rFonts w:eastAsia="Batang" w:hint="cs"/>
          <w:rtl/>
        </w:rPr>
        <w:t xml:space="preserve">مركز </w:t>
      </w:r>
      <w:r w:rsidR="009C7B1B">
        <w:rPr>
          <w:rFonts w:eastAsia="Batang" w:hint="cs"/>
          <w:rtl/>
        </w:rPr>
        <w:t>بابيروس</w:t>
      </w:r>
      <w:r w:rsidRPr="007F4985">
        <w:rPr>
          <w:rFonts w:eastAsia="Batang" w:hint="cs"/>
          <w:rtl/>
        </w:rPr>
        <w:t xml:space="preserve"> على جهوده المتواصلة في تنظيم المجل</w:t>
      </w:r>
      <w:r>
        <w:rPr>
          <w:rFonts w:eastAsia="Batang" w:hint="cs"/>
          <w:rtl/>
        </w:rPr>
        <w:t>ّ</w:t>
      </w:r>
      <w:r w:rsidRPr="007F4985">
        <w:rPr>
          <w:rFonts w:eastAsia="Batang" w:hint="cs"/>
          <w:rtl/>
        </w:rPr>
        <w:t>ة وكتابها، ليخرجا بحلّة جميلة زاهية.</w:t>
      </w:r>
      <w:r>
        <w:rPr>
          <w:rFonts w:eastAsia="Batang" w:hint="cs"/>
          <w:rtl/>
        </w:rPr>
        <w:t xml:space="preserve"> ونشكر دار النشر على جهوده في طباعة ونشر الكتاب.</w:t>
      </w:r>
    </w:p>
    <w:p w:rsidR="003C222C" w:rsidRPr="007F4985" w:rsidRDefault="003C222C" w:rsidP="003C222C">
      <w:pPr>
        <w:rPr>
          <w:rFonts w:eastAsia="Batang"/>
          <w:rtl/>
        </w:rPr>
      </w:pPr>
      <w:r w:rsidRPr="007F4985">
        <w:rPr>
          <w:rFonts w:eastAsia="Batang" w:hint="cs"/>
          <w:rtl/>
        </w:rPr>
        <w:t>نسأل الله سبحانه أن يوفقنا لمراضيه، ويجنّبنا معاصيه، إنه نعم المولى، ونعم النصير.</w:t>
      </w:r>
    </w:p>
    <w:p w:rsidR="003C222C" w:rsidRPr="007F4985" w:rsidRDefault="003C222C" w:rsidP="003C222C">
      <w:pPr>
        <w:rPr>
          <w:rFonts w:eastAsia="Batang"/>
          <w:spacing w:val="-8"/>
          <w:rtl/>
        </w:rPr>
      </w:pPr>
    </w:p>
    <w:p w:rsidR="003C222C" w:rsidRPr="00876394" w:rsidRDefault="003C222C" w:rsidP="003C222C">
      <w:pPr>
        <w:pStyle w:val="Author"/>
        <w:rPr>
          <w:rFonts w:eastAsia="Batang"/>
          <w:rtl/>
        </w:rPr>
      </w:pPr>
      <w:bookmarkStart w:id="22" w:name="_Toc264490400"/>
      <w:bookmarkStart w:id="23" w:name="_Toc264577703"/>
      <w:bookmarkStart w:id="24" w:name="_Toc291272909"/>
      <w:r w:rsidRPr="007F4985">
        <w:rPr>
          <w:rFonts w:eastAsia="Batang" w:hint="cs"/>
          <w:rtl/>
        </w:rPr>
        <w:t xml:space="preserve">حيدر حب </w:t>
      </w:r>
      <w:bookmarkEnd w:id="22"/>
      <w:bookmarkEnd w:id="23"/>
      <w:r>
        <w:rPr>
          <w:rFonts w:eastAsia="Batang" w:hint="cs"/>
          <w:rtl/>
        </w:rPr>
        <w:t>الله</w:t>
      </w:r>
      <w:bookmarkEnd w:id="24"/>
    </w:p>
    <w:p w:rsidR="003C222C" w:rsidRDefault="003C222C" w:rsidP="003C222C">
      <w:pPr>
        <w:rPr>
          <w:rtl/>
        </w:rPr>
      </w:pPr>
      <w:r>
        <w:rPr>
          <w:rtl/>
        </w:rPr>
        <w:br w:type="page"/>
      </w:r>
    </w:p>
    <w:p w:rsidR="003C222C" w:rsidRDefault="003C222C" w:rsidP="003C222C">
      <w:pPr>
        <w:rPr>
          <w:rtl/>
        </w:rPr>
        <w:sectPr w:rsidR="003C222C" w:rsidSect="009003FC">
          <w:headerReference w:type="even" r:id="rId10"/>
          <w:headerReference w:type="default" r:id="rId11"/>
          <w:footnotePr>
            <w:numRestart w:val="eachPage"/>
          </w:footnotePr>
          <w:type w:val="oddPage"/>
          <w:pgSz w:w="11907" w:h="16840" w:code="9"/>
          <w:pgMar w:top="2835" w:right="2552" w:bottom="3232" w:left="2552" w:header="2268" w:footer="1106" w:gutter="0"/>
          <w:cols w:space="720"/>
          <w:titlePg/>
          <w:docGrid w:linePitch="360"/>
        </w:sectPr>
      </w:pPr>
    </w:p>
    <w:p w:rsidR="002D3648" w:rsidRPr="00134D4D" w:rsidRDefault="002D3648" w:rsidP="00AD5743">
      <w:pPr>
        <w:rPr>
          <w:rtl/>
        </w:rPr>
      </w:pPr>
    </w:p>
    <w:p w:rsidR="002D3648" w:rsidRDefault="002D3648" w:rsidP="00AD5743">
      <w:pPr>
        <w:rPr>
          <w:sz w:val="30"/>
          <w:rtl/>
        </w:rPr>
      </w:pPr>
    </w:p>
    <w:p w:rsidR="00AD5743" w:rsidRDefault="00AD5743" w:rsidP="00AD5743">
      <w:pPr>
        <w:rPr>
          <w:sz w:val="30"/>
          <w:rtl/>
        </w:rPr>
      </w:pPr>
    </w:p>
    <w:p w:rsidR="00AD5743" w:rsidRDefault="00AD5743" w:rsidP="00AD5743">
      <w:pPr>
        <w:rPr>
          <w:sz w:val="30"/>
          <w:rtl/>
        </w:rPr>
      </w:pPr>
    </w:p>
    <w:p w:rsidR="003C222C" w:rsidRPr="00D63C01" w:rsidRDefault="003C222C" w:rsidP="003C222C">
      <w:pPr>
        <w:pStyle w:val="Heading2"/>
        <w:jc w:val="center"/>
        <w:rPr>
          <w:rFonts w:eastAsia="Times New Roman"/>
          <w:rtl/>
        </w:rPr>
      </w:pPr>
      <w:bookmarkStart w:id="25" w:name="_Toc413658809"/>
      <w:r w:rsidRPr="003C222C">
        <w:rPr>
          <w:rFonts w:hint="cs"/>
          <w:rtl/>
        </w:rPr>
        <w:t>التعريف</w:t>
      </w:r>
      <w:r w:rsidRPr="00D63C01">
        <w:rPr>
          <w:rFonts w:eastAsia="Times New Roman" w:hint="cs"/>
          <w:rtl/>
        </w:rPr>
        <w:t xml:space="preserve"> بالمؤلّف</w:t>
      </w:r>
      <w:bookmarkEnd w:id="25"/>
    </w:p>
    <w:p w:rsidR="003C222C" w:rsidRDefault="003C222C" w:rsidP="003C222C">
      <w:pPr>
        <w:rPr>
          <w:rFonts w:eastAsia="Times New Roman"/>
          <w:rtl/>
          <w:lang w:bidi="fa-IR"/>
        </w:rPr>
      </w:pPr>
      <w:r>
        <w:rPr>
          <w:rFonts w:eastAsia="Times New Roman" w:hint="cs"/>
          <w:rtl/>
        </w:rPr>
        <w:t xml:space="preserve">من </w:t>
      </w:r>
      <w:r w:rsidRPr="007214CB">
        <w:rPr>
          <w:rFonts w:eastAsia="Times New Roman"/>
          <w:rtl/>
        </w:rPr>
        <w:t xml:space="preserve">موالید سنة </w:t>
      </w:r>
      <w:r w:rsidRPr="007214CB">
        <w:rPr>
          <w:rFonts w:ascii="Times New Roman" w:eastAsia="Times New Roman" w:hAnsi="Times New Roman" w:cs="Times New Roman" w:hint="cs"/>
          <w:rtl/>
          <w:lang w:bidi="fa-IR"/>
        </w:rPr>
        <w:t>۱۹</w:t>
      </w:r>
      <w:r w:rsidRPr="007214CB">
        <w:rPr>
          <w:rFonts w:ascii="Mosawi" w:eastAsia="Times New Roman" w:hAnsi="Mosawi" w:hint="cs"/>
          <w:rtl/>
          <w:lang w:bidi="fa-IR"/>
        </w:rPr>
        <w:t>۵</w:t>
      </w:r>
      <w:r w:rsidRPr="007214CB">
        <w:rPr>
          <w:rFonts w:ascii="Times New Roman" w:eastAsia="Times New Roman" w:hAnsi="Times New Roman" w:cs="Times New Roman" w:hint="cs"/>
          <w:rtl/>
          <w:lang w:bidi="fa-IR"/>
        </w:rPr>
        <w:t>۹</w:t>
      </w:r>
      <w:r w:rsidRPr="007214CB">
        <w:rPr>
          <w:rFonts w:eastAsia="Times New Roman"/>
          <w:rtl/>
        </w:rPr>
        <w:t xml:space="preserve"> فی مدینة فسا (ولایة فارس)، أكمل تعليمه الابتدائي والثانوي في شيراز</w:t>
      </w:r>
      <w:r>
        <w:rPr>
          <w:rFonts w:eastAsia="Times New Roman" w:hint="cs"/>
          <w:rtl/>
        </w:rPr>
        <w:t>، ثم التحق ب</w:t>
      </w:r>
      <w:r w:rsidRPr="007214CB">
        <w:rPr>
          <w:rFonts w:eastAsia="Times New Roman"/>
          <w:rtl/>
        </w:rPr>
        <w:t>جامع</w:t>
      </w:r>
      <w:r>
        <w:rPr>
          <w:rFonts w:eastAsia="Times New Roman" w:hint="cs"/>
          <w:rtl/>
        </w:rPr>
        <w:t>تها عام</w:t>
      </w:r>
      <w:r w:rsidRPr="007214CB">
        <w:rPr>
          <w:rFonts w:eastAsia="Times New Roman"/>
          <w:rtl/>
        </w:rPr>
        <w:t xml:space="preserve"> </w:t>
      </w:r>
      <w:r w:rsidRPr="007214CB">
        <w:rPr>
          <w:rFonts w:ascii="Times New Roman" w:eastAsia="Times New Roman" w:hAnsi="Times New Roman" w:cs="Times New Roman" w:hint="cs"/>
          <w:rtl/>
          <w:lang w:bidi="fa-IR"/>
        </w:rPr>
        <w:t>۱۹۷۷</w:t>
      </w:r>
      <w:r>
        <w:rPr>
          <w:rFonts w:eastAsia="Times New Roman" w:hint="cs"/>
          <w:rtl/>
          <w:lang w:bidi="fa-IR"/>
        </w:rPr>
        <w:t>،</w:t>
      </w:r>
      <w:r w:rsidRPr="007214CB">
        <w:rPr>
          <w:rFonts w:eastAsia="Times New Roman"/>
          <w:rtl/>
        </w:rPr>
        <w:t xml:space="preserve"> و</w:t>
      </w:r>
      <w:r>
        <w:rPr>
          <w:rFonts w:eastAsia="Times New Roman" w:hint="cs"/>
          <w:rtl/>
        </w:rPr>
        <w:t xml:space="preserve">ثم انتسب إلى </w:t>
      </w:r>
      <w:r w:rsidRPr="007214CB">
        <w:rPr>
          <w:rFonts w:eastAsia="Times New Roman"/>
          <w:rtl/>
        </w:rPr>
        <w:t>الحوزة</w:t>
      </w:r>
      <w:r w:rsidRPr="007214CB">
        <w:rPr>
          <w:rFonts w:eastAsia="Times New Roman"/>
        </w:rPr>
        <w:br/>
      </w:r>
      <w:r w:rsidRPr="007214CB">
        <w:rPr>
          <w:rFonts w:eastAsia="Times New Roman"/>
          <w:rtl/>
        </w:rPr>
        <w:t xml:space="preserve">العلمیة فی شيراز عام </w:t>
      </w:r>
      <w:r w:rsidRPr="007214CB">
        <w:rPr>
          <w:rFonts w:ascii="Times New Roman" w:eastAsia="Times New Roman" w:hAnsi="Times New Roman" w:cs="Times New Roman" w:hint="cs"/>
          <w:rtl/>
          <w:lang w:bidi="fa-IR"/>
        </w:rPr>
        <w:t>۱۹۸۰</w:t>
      </w:r>
      <w:r>
        <w:rPr>
          <w:rFonts w:eastAsia="Times New Roman" w:hint="cs"/>
          <w:rtl/>
          <w:lang w:bidi="fa-IR"/>
        </w:rPr>
        <w:t>.</w:t>
      </w:r>
    </w:p>
    <w:p w:rsidR="003C222C" w:rsidRDefault="003C222C" w:rsidP="003C222C">
      <w:pPr>
        <w:rPr>
          <w:rFonts w:eastAsia="Times New Roman"/>
          <w:rtl/>
        </w:rPr>
      </w:pPr>
      <w:r>
        <w:rPr>
          <w:rFonts w:eastAsia="Times New Roman" w:hint="cs"/>
          <w:rtl/>
        </w:rPr>
        <w:t>ه</w:t>
      </w:r>
      <w:r>
        <w:rPr>
          <w:rFonts w:eastAsia="Times New Roman"/>
          <w:rtl/>
        </w:rPr>
        <w:t xml:space="preserve">اجر </w:t>
      </w:r>
      <w:r>
        <w:rPr>
          <w:rFonts w:eastAsia="Times New Roman" w:hint="cs"/>
          <w:rtl/>
        </w:rPr>
        <w:t>إ</w:t>
      </w:r>
      <w:r w:rsidRPr="007214CB">
        <w:rPr>
          <w:rFonts w:eastAsia="Times New Roman"/>
          <w:rtl/>
        </w:rPr>
        <w:t xml:space="preserve">لی الحوزة العلمیة فی </w:t>
      </w:r>
      <w:r>
        <w:rPr>
          <w:rFonts w:eastAsia="Times New Roman" w:hint="cs"/>
          <w:rtl/>
        </w:rPr>
        <w:t xml:space="preserve">مدينة </w:t>
      </w:r>
      <w:r w:rsidRPr="007214CB">
        <w:rPr>
          <w:rFonts w:eastAsia="Times New Roman"/>
          <w:rtl/>
        </w:rPr>
        <w:t xml:space="preserve">قم </w:t>
      </w:r>
      <w:r>
        <w:rPr>
          <w:rFonts w:eastAsia="Times New Roman" w:hint="cs"/>
          <w:rtl/>
        </w:rPr>
        <w:t xml:space="preserve">عام </w:t>
      </w:r>
      <w:r w:rsidRPr="007214CB">
        <w:rPr>
          <w:rFonts w:ascii="Times New Roman" w:eastAsia="Times New Roman" w:hAnsi="Times New Roman" w:cs="Times New Roman" w:hint="cs"/>
          <w:rtl/>
          <w:lang w:bidi="fa-IR"/>
        </w:rPr>
        <w:t>۱۹۸۱</w:t>
      </w:r>
      <w:r>
        <w:rPr>
          <w:rFonts w:eastAsia="Times New Roman" w:hint="cs"/>
          <w:rtl/>
          <w:lang w:bidi="fa-IR"/>
        </w:rPr>
        <w:t xml:space="preserve">، </w:t>
      </w:r>
      <w:r w:rsidRPr="007214CB">
        <w:rPr>
          <w:rFonts w:eastAsia="Times New Roman"/>
          <w:rtl/>
        </w:rPr>
        <w:t>وبعد</w:t>
      </w:r>
      <w:r>
        <w:rPr>
          <w:rFonts w:eastAsia="Times New Roman" w:hint="cs"/>
          <w:rtl/>
        </w:rPr>
        <w:t xml:space="preserve"> ستة عشر عاماً</w:t>
      </w:r>
      <w:r w:rsidRPr="007214CB">
        <w:rPr>
          <w:rFonts w:eastAsia="Times New Roman"/>
          <w:rtl/>
        </w:rPr>
        <w:t xml:space="preserve"> من الجهود العلمیة نال مرتبة الاجتهاد</w:t>
      </w:r>
      <w:r>
        <w:rPr>
          <w:rFonts w:eastAsia="Times New Roman" w:hint="cs"/>
          <w:rtl/>
        </w:rPr>
        <w:t>.</w:t>
      </w:r>
      <w:r w:rsidRPr="007214CB">
        <w:rPr>
          <w:rFonts w:eastAsia="Times New Roman"/>
          <w:rtl/>
        </w:rPr>
        <w:t xml:space="preserve"> </w:t>
      </w:r>
      <w:r>
        <w:rPr>
          <w:rFonts w:eastAsia="Times New Roman" w:hint="cs"/>
          <w:rtl/>
        </w:rPr>
        <w:t xml:space="preserve">كما نال عام </w:t>
      </w:r>
      <w:r w:rsidRPr="007214CB">
        <w:rPr>
          <w:rFonts w:ascii="Times New Roman" w:eastAsia="Times New Roman" w:hAnsi="Times New Roman" w:cs="Times New Roman" w:hint="cs"/>
          <w:rtl/>
          <w:lang w:bidi="fa-IR"/>
        </w:rPr>
        <w:t>۱۹۹۹</w:t>
      </w:r>
      <w:r>
        <w:rPr>
          <w:rFonts w:eastAsia="Times New Roman" w:hint="cs"/>
          <w:rtl/>
        </w:rPr>
        <w:t xml:space="preserve">م </w:t>
      </w:r>
      <w:r w:rsidRPr="007214CB">
        <w:rPr>
          <w:rFonts w:eastAsia="Times New Roman"/>
          <w:rtl/>
        </w:rPr>
        <w:t>شهادة الدکتورا</w:t>
      </w:r>
      <w:r>
        <w:rPr>
          <w:rFonts w:eastAsia="Times New Roman" w:hint="cs"/>
          <w:rtl/>
        </w:rPr>
        <w:t>ه</w:t>
      </w:r>
      <w:r w:rsidRPr="007214CB">
        <w:rPr>
          <w:rFonts w:eastAsia="Times New Roman"/>
          <w:rtl/>
        </w:rPr>
        <w:t xml:space="preserve"> فی الفلسفة و</w:t>
      </w:r>
      <w:r>
        <w:rPr>
          <w:rFonts w:eastAsia="Times New Roman"/>
          <w:rtl/>
        </w:rPr>
        <w:t>الحکمة ال</w:t>
      </w:r>
      <w:r>
        <w:rPr>
          <w:rFonts w:eastAsia="Times New Roman" w:hint="cs"/>
          <w:rtl/>
        </w:rPr>
        <w:t>إ</w:t>
      </w:r>
      <w:r w:rsidRPr="007214CB">
        <w:rPr>
          <w:rFonts w:eastAsia="Times New Roman"/>
          <w:rtl/>
        </w:rPr>
        <w:t>سلامی</w:t>
      </w:r>
      <w:r>
        <w:rPr>
          <w:rFonts w:eastAsia="Times New Roman" w:hint="cs"/>
          <w:rtl/>
        </w:rPr>
        <w:t>ّ</w:t>
      </w:r>
      <w:r w:rsidRPr="007214CB">
        <w:rPr>
          <w:rFonts w:eastAsia="Times New Roman"/>
          <w:rtl/>
        </w:rPr>
        <w:t>ة</w:t>
      </w:r>
      <w:r>
        <w:rPr>
          <w:rFonts w:eastAsia="Times New Roman" w:hint="cs"/>
          <w:rtl/>
        </w:rPr>
        <w:t xml:space="preserve"> </w:t>
      </w:r>
      <w:r w:rsidRPr="007214CB">
        <w:rPr>
          <w:rFonts w:eastAsia="Times New Roman"/>
          <w:rtl/>
        </w:rPr>
        <w:t>من جامعة تربیت مدرس ف</w:t>
      </w:r>
      <w:r>
        <w:rPr>
          <w:rFonts w:eastAsia="Times New Roman" w:hint="cs"/>
          <w:rtl/>
        </w:rPr>
        <w:t xml:space="preserve">ي </w:t>
      </w:r>
      <w:r w:rsidRPr="007214CB">
        <w:rPr>
          <w:rFonts w:eastAsia="Times New Roman"/>
          <w:rtl/>
        </w:rPr>
        <w:t>طهران.</w:t>
      </w:r>
    </w:p>
    <w:p w:rsidR="003C222C" w:rsidRDefault="003C222C" w:rsidP="003C222C">
      <w:pPr>
        <w:rPr>
          <w:rFonts w:eastAsia="Times New Roman"/>
          <w:rtl/>
        </w:rPr>
      </w:pPr>
      <w:r w:rsidRPr="007214CB">
        <w:rPr>
          <w:rFonts w:eastAsia="Times New Roman"/>
          <w:rtl/>
        </w:rPr>
        <w:t>استقر</w:t>
      </w:r>
      <w:r>
        <w:rPr>
          <w:rFonts w:eastAsia="Times New Roman" w:hint="cs"/>
          <w:rtl/>
        </w:rPr>
        <w:t>ّ</w:t>
      </w:r>
      <w:r w:rsidRPr="007214CB">
        <w:rPr>
          <w:rFonts w:eastAsia="Times New Roman"/>
          <w:rtl/>
        </w:rPr>
        <w:t xml:space="preserve"> فی طهران منذ سنة </w:t>
      </w:r>
      <w:r w:rsidRPr="007214CB">
        <w:rPr>
          <w:rFonts w:ascii="Times New Roman" w:eastAsia="Times New Roman" w:hAnsi="Times New Roman" w:cs="Times New Roman" w:hint="cs"/>
          <w:rtl/>
          <w:lang w:bidi="fa-IR"/>
        </w:rPr>
        <w:t>۱۹۹۷</w:t>
      </w:r>
      <w:r>
        <w:rPr>
          <w:rFonts w:eastAsia="Times New Roman" w:hint="cs"/>
          <w:rtl/>
          <w:lang w:bidi="fa-IR"/>
        </w:rPr>
        <w:t>م، مشتغ</w:t>
      </w:r>
      <w:r w:rsidRPr="007214CB">
        <w:rPr>
          <w:rFonts w:eastAsia="Times New Roman"/>
          <w:rtl/>
        </w:rPr>
        <w:t>ل</w:t>
      </w:r>
      <w:r>
        <w:rPr>
          <w:rFonts w:eastAsia="Times New Roman" w:hint="cs"/>
          <w:rtl/>
        </w:rPr>
        <w:t>اً</w:t>
      </w:r>
      <w:r w:rsidRPr="007214CB">
        <w:rPr>
          <w:rFonts w:eastAsia="Times New Roman"/>
          <w:rtl/>
        </w:rPr>
        <w:t xml:space="preserve"> بالتدریس وال</w:t>
      </w:r>
      <w:r>
        <w:rPr>
          <w:rFonts w:eastAsia="Times New Roman" w:hint="cs"/>
          <w:rtl/>
        </w:rPr>
        <w:t>بحث</w:t>
      </w:r>
      <w:r w:rsidRPr="007214CB">
        <w:rPr>
          <w:rFonts w:eastAsia="Times New Roman"/>
          <w:rtl/>
        </w:rPr>
        <w:t xml:space="preserve"> والت</w:t>
      </w:r>
      <w:r>
        <w:rPr>
          <w:rFonts w:eastAsia="Times New Roman" w:hint="cs"/>
          <w:rtl/>
        </w:rPr>
        <w:t>أ</w:t>
      </w:r>
      <w:r w:rsidRPr="007214CB">
        <w:rPr>
          <w:rFonts w:eastAsia="Times New Roman"/>
          <w:rtl/>
        </w:rPr>
        <w:t>لی</w:t>
      </w:r>
      <w:r>
        <w:rPr>
          <w:rFonts w:eastAsia="Times New Roman" w:hint="cs"/>
          <w:rtl/>
        </w:rPr>
        <w:t xml:space="preserve">ف. </w:t>
      </w:r>
      <w:r w:rsidRPr="007214CB">
        <w:rPr>
          <w:rFonts w:eastAsia="Times New Roman"/>
          <w:rtl/>
        </w:rPr>
        <w:t>وقد دخل السجن لمد</w:t>
      </w:r>
      <w:r>
        <w:rPr>
          <w:rFonts w:eastAsia="Times New Roman" w:hint="cs"/>
          <w:rtl/>
        </w:rPr>
        <w:t>ّ</w:t>
      </w:r>
      <w:r w:rsidRPr="007214CB">
        <w:rPr>
          <w:rFonts w:eastAsia="Times New Roman"/>
          <w:rtl/>
        </w:rPr>
        <w:t>ة ثمانیة عشر شهرا</w:t>
      </w:r>
      <w:r>
        <w:rPr>
          <w:rFonts w:eastAsia="Times New Roman" w:hint="cs"/>
          <w:rtl/>
        </w:rPr>
        <w:t>ً</w:t>
      </w:r>
      <w:r w:rsidRPr="007214CB">
        <w:rPr>
          <w:rFonts w:eastAsia="Times New Roman"/>
          <w:rtl/>
        </w:rPr>
        <w:t xml:space="preserve"> </w:t>
      </w:r>
      <w:r>
        <w:rPr>
          <w:rFonts w:eastAsia="Times New Roman" w:hint="cs"/>
          <w:rtl/>
        </w:rPr>
        <w:t xml:space="preserve">ـ </w:t>
      </w:r>
      <w:r>
        <w:rPr>
          <w:rFonts w:eastAsia="Times New Roman"/>
          <w:rtl/>
        </w:rPr>
        <w:t xml:space="preserve">من 1998 </w:t>
      </w:r>
      <w:r>
        <w:rPr>
          <w:rFonts w:eastAsia="Times New Roman" w:hint="cs"/>
          <w:rtl/>
        </w:rPr>
        <w:t>إ</w:t>
      </w:r>
      <w:r w:rsidRPr="007214CB">
        <w:rPr>
          <w:rFonts w:eastAsia="Times New Roman"/>
          <w:rtl/>
        </w:rPr>
        <w:t xml:space="preserve">لی 2000م </w:t>
      </w:r>
      <w:r>
        <w:rPr>
          <w:rFonts w:eastAsia="Times New Roman" w:hint="cs"/>
          <w:rtl/>
        </w:rPr>
        <w:t xml:space="preserve">ـ </w:t>
      </w:r>
      <w:r w:rsidRPr="007214CB">
        <w:rPr>
          <w:rFonts w:eastAsia="Times New Roman"/>
          <w:rtl/>
        </w:rPr>
        <w:t>بسبب انتقاداته</w:t>
      </w:r>
      <w:r>
        <w:rPr>
          <w:rFonts w:eastAsia="Times New Roman" w:hint="cs"/>
          <w:rtl/>
        </w:rPr>
        <w:t xml:space="preserve"> ومواقفه السياسيّة.</w:t>
      </w:r>
    </w:p>
    <w:p w:rsidR="003C222C" w:rsidRDefault="003C222C" w:rsidP="003C222C">
      <w:pPr>
        <w:rPr>
          <w:rFonts w:eastAsia="Times New Roman"/>
          <w:rtl/>
          <w:lang w:bidi="fa-IR"/>
        </w:rPr>
      </w:pPr>
      <w:r>
        <w:rPr>
          <w:rFonts w:eastAsia="Times New Roman" w:hint="cs"/>
          <w:rtl/>
        </w:rPr>
        <w:t xml:space="preserve">انتقل عام </w:t>
      </w:r>
      <w:r w:rsidRPr="007214CB">
        <w:rPr>
          <w:rFonts w:eastAsia="Times New Roman"/>
          <w:rtl/>
        </w:rPr>
        <w:t>2008</w:t>
      </w:r>
      <w:r>
        <w:rPr>
          <w:rFonts w:eastAsia="Times New Roman" w:hint="cs"/>
          <w:rtl/>
        </w:rPr>
        <w:t>م</w:t>
      </w:r>
      <w:r w:rsidRPr="007214CB">
        <w:rPr>
          <w:rFonts w:eastAsia="Times New Roman"/>
          <w:rtl/>
        </w:rPr>
        <w:t xml:space="preserve"> </w:t>
      </w:r>
      <w:r>
        <w:rPr>
          <w:rFonts w:eastAsia="Times New Roman" w:hint="cs"/>
          <w:rtl/>
        </w:rPr>
        <w:t>إ</w:t>
      </w:r>
      <w:r w:rsidRPr="007214CB">
        <w:rPr>
          <w:rFonts w:eastAsia="Times New Roman"/>
          <w:rtl/>
        </w:rPr>
        <w:t xml:space="preserve">لی </w:t>
      </w:r>
      <w:r>
        <w:rPr>
          <w:rFonts w:eastAsia="Times New Roman" w:hint="cs"/>
          <w:rtl/>
        </w:rPr>
        <w:t xml:space="preserve">الولايات المتحدة الأميركيّة </w:t>
      </w:r>
      <w:r w:rsidRPr="007214CB">
        <w:rPr>
          <w:rFonts w:eastAsia="Times New Roman"/>
          <w:rtl/>
        </w:rPr>
        <w:t xml:space="preserve">بدعوة </w:t>
      </w:r>
      <w:r>
        <w:rPr>
          <w:rFonts w:eastAsia="Times New Roman" w:hint="cs"/>
          <w:rtl/>
        </w:rPr>
        <w:t xml:space="preserve">من </w:t>
      </w:r>
      <w:r w:rsidRPr="007214CB">
        <w:rPr>
          <w:rFonts w:eastAsia="Times New Roman"/>
          <w:rtl/>
        </w:rPr>
        <w:t>قسم الدراسات</w:t>
      </w:r>
      <w:r>
        <w:rPr>
          <w:rFonts w:eastAsia="Times New Roman" w:hint="cs"/>
          <w:rtl/>
        </w:rPr>
        <w:t xml:space="preserve"> </w:t>
      </w:r>
      <w:r>
        <w:rPr>
          <w:rFonts w:eastAsia="Times New Roman"/>
          <w:rtl/>
        </w:rPr>
        <w:t>ال</w:t>
      </w:r>
      <w:r>
        <w:rPr>
          <w:rFonts w:eastAsia="Times New Roman" w:hint="cs"/>
          <w:rtl/>
        </w:rPr>
        <w:t>إ</w:t>
      </w:r>
      <w:r w:rsidRPr="007214CB">
        <w:rPr>
          <w:rFonts w:eastAsia="Times New Roman"/>
          <w:rtl/>
        </w:rPr>
        <w:t>سلامی</w:t>
      </w:r>
      <w:r>
        <w:rPr>
          <w:rFonts w:eastAsia="Times New Roman" w:hint="cs"/>
          <w:rtl/>
        </w:rPr>
        <w:t>ّ</w:t>
      </w:r>
      <w:r w:rsidRPr="007214CB">
        <w:rPr>
          <w:rFonts w:eastAsia="Times New Roman"/>
          <w:rtl/>
        </w:rPr>
        <w:t>ة ف</w:t>
      </w:r>
      <w:r>
        <w:rPr>
          <w:rFonts w:eastAsia="Times New Roman" w:hint="cs"/>
          <w:rtl/>
        </w:rPr>
        <w:t>ي</w:t>
      </w:r>
      <w:r w:rsidRPr="007214CB">
        <w:rPr>
          <w:rFonts w:eastAsia="Times New Roman"/>
          <w:rtl/>
        </w:rPr>
        <w:t xml:space="preserve"> جامع</w:t>
      </w:r>
      <w:r>
        <w:rPr>
          <w:rFonts w:eastAsia="Times New Roman" w:hint="cs"/>
          <w:rtl/>
        </w:rPr>
        <w:t xml:space="preserve">ة </w:t>
      </w:r>
      <w:r w:rsidRPr="007214CB">
        <w:rPr>
          <w:rFonts w:eastAsia="Times New Roman"/>
          <w:rtl/>
        </w:rPr>
        <w:t>فیرجینیا. ولا</w:t>
      </w:r>
      <w:r>
        <w:rPr>
          <w:rFonts w:eastAsia="Times New Roman" w:hint="cs"/>
          <w:rtl/>
        </w:rPr>
        <w:t xml:space="preserve"> </w:t>
      </w:r>
      <w:r w:rsidRPr="007214CB">
        <w:rPr>
          <w:rFonts w:eastAsia="Times New Roman"/>
          <w:rtl/>
        </w:rPr>
        <w:t>زال مشتغلا</w:t>
      </w:r>
      <w:r>
        <w:rPr>
          <w:rFonts w:eastAsia="Times New Roman" w:hint="cs"/>
          <w:rtl/>
        </w:rPr>
        <w:t>ً</w:t>
      </w:r>
      <w:r w:rsidRPr="007214CB">
        <w:rPr>
          <w:rFonts w:eastAsia="Times New Roman"/>
          <w:rtl/>
        </w:rPr>
        <w:t xml:space="preserve"> بالتدریس فی قسم الدراسات</w:t>
      </w:r>
      <w:r>
        <w:rPr>
          <w:rFonts w:eastAsia="Times New Roman" w:hint="cs"/>
          <w:rtl/>
        </w:rPr>
        <w:t xml:space="preserve"> </w:t>
      </w:r>
      <w:r w:rsidRPr="007214CB">
        <w:rPr>
          <w:rFonts w:eastAsia="Times New Roman"/>
          <w:rtl/>
        </w:rPr>
        <w:t>ال</w:t>
      </w:r>
      <w:r>
        <w:rPr>
          <w:rFonts w:eastAsia="Times New Roman" w:hint="cs"/>
          <w:rtl/>
        </w:rPr>
        <w:t>إ</w:t>
      </w:r>
      <w:r w:rsidRPr="007214CB">
        <w:rPr>
          <w:rFonts w:eastAsia="Times New Roman"/>
          <w:rtl/>
        </w:rPr>
        <w:t>سلامیة ف</w:t>
      </w:r>
      <w:r>
        <w:rPr>
          <w:rFonts w:eastAsia="Times New Roman" w:hint="cs"/>
          <w:rtl/>
        </w:rPr>
        <w:t>ي</w:t>
      </w:r>
      <w:r w:rsidRPr="007214CB">
        <w:rPr>
          <w:rFonts w:eastAsia="Times New Roman"/>
          <w:rtl/>
        </w:rPr>
        <w:t xml:space="preserve"> جامعة دوک من</w:t>
      </w:r>
      <w:r>
        <w:rPr>
          <w:rFonts w:eastAsia="Times New Roman" w:hint="cs"/>
          <w:rtl/>
        </w:rPr>
        <w:t>ذ عام</w:t>
      </w:r>
      <w:r w:rsidRPr="007214CB">
        <w:rPr>
          <w:rFonts w:eastAsia="Times New Roman"/>
          <w:rtl/>
        </w:rPr>
        <w:t xml:space="preserve"> </w:t>
      </w:r>
      <w:r w:rsidRPr="007214CB">
        <w:rPr>
          <w:rFonts w:ascii="Times New Roman" w:eastAsia="Times New Roman" w:hAnsi="Times New Roman" w:cs="Times New Roman" w:hint="cs"/>
          <w:rtl/>
          <w:lang w:bidi="fa-IR"/>
        </w:rPr>
        <w:t>۲۰۰۹</w:t>
      </w:r>
      <w:r>
        <w:rPr>
          <w:rFonts w:eastAsia="Times New Roman" w:hint="cs"/>
          <w:rtl/>
          <w:lang w:bidi="fa-IR"/>
        </w:rPr>
        <w:t>م.</w:t>
      </w:r>
    </w:p>
    <w:p w:rsidR="003C222C" w:rsidRDefault="003C222C" w:rsidP="003C222C">
      <w:pPr>
        <w:rPr>
          <w:rFonts w:eastAsia="Times New Roman"/>
          <w:rtl/>
        </w:rPr>
      </w:pPr>
      <w:r>
        <w:rPr>
          <w:rFonts w:eastAsia="Times New Roman" w:hint="cs"/>
          <w:rtl/>
          <w:lang w:bidi="fa-IR"/>
        </w:rPr>
        <w:t xml:space="preserve">ترك حتى الآن أعمالاً علمّية مميّزة حيث </w:t>
      </w:r>
      <w:r w:rsidRPr="007214CB">
        <w:rPr>
          <w:rFonts w:eastAsia="Times New Roman"/>
          <w:rtl/>
        </w:rPr>
        <w:t>نشر له</w:t>
      </w:r>
      <w:r>
        <w:rPr>
          <w:rFonts w:eastAsia="Times New Roman" w:hint="cs"/>
          <w:rtl/>
        </w:rPr>
        <w:t xml:space="preserve"> عشرون </w:t>
      </w:r>
      <w:r w:rsidRPr="007214CB">
        <w:rPr>
          <w:rFonts w:eastAsia="Times New Roman"/>
        </w:rPr>
        <w:t xml:space="preserve"> </w:t>
      </w:r>
      <w:r w:rsidRPr="007214CB">
        <w:rPr>
          <w:rFonts w:eastAsia="Times New Roman"/>
          <w:rtl/>
        </w:rPr>
        <w:t>کتابا</w:t>
      </w:r>
      <w:r>
        <w:rPr>
          <w:rFonts w:eastAsia="Times New Roman" w:hint="cs"/>
          <w:rtl/>
        </w:rPr>
        <w:t>ً</w:t>
      </w:r>
      <w:r w:rsidRPr="007214CB">
        <w:rPr>
          <w:rFonts w:eastAsia="Times New Roman"/>
          <w:rtl/>
        </w:rPr>
        <w:t>.</w:t>
      </w:r>
    </w:p>
    <w:p w:rsidR="003C222C" w:rsidRDefault="003C222C" w:rsidP="003C222C">
      <w:pPr>
        <w:rPr>
          <w:rFonts w:eastAsia="Times New Roman"/>
          <w:rtl/>
        </w:rPr>
      </w:pPr>
      <w:r>
        <w:rPr>
          <w:rFonts w:eastAsia="Times New Roman" w:hint="cs"/>
          <w:rtl/>
        </w:rPr>
        <w:t>لمزيد من ا</w:t>
      </w:r>
      <w:r w:rsidRPr="007214CB">
        <w:rPr>
          <w:rFonts w:eastAsia="Times New Roman"/>
          <w:rtl/>
        </w:rPr>
        <w:t>لاط</w:t>
      </w:r>
      <w:r>
        <w:rPr>
          <w:rFonts w:eastAsia="Times New Roman" w:hint="cs"/>
          <w:rtl/>
        </w:rPr>
        <w:t>ّ</w:t>
      </w:r>
      <w:r w:rsidRPr="007214CB">
        <w:rPr>
          <w:rFonts w:eastAsia="Times New Roman"/>
          <w:rtl/>
        </w:rPr>
        <w:t xml:space="preserve">لاع </w:t>
      </w:r>
      <w:r>
        <w:rPr>
          <w:rFonts w:eastAsia="Times New Roman" w:hint="cs"/>
          <w:rtl/>
        </w:rPr>
        <w:t xml:space="preserve">يمكن مراجعة </w:t>
      </w:r>
      <w:r w:rsidRPr="007214CB">
        <w:rPr>
          <w:rFonts w:eastAsia="Times New Roman"/>
          <w:rtl/>
        </w:rPr>
        <w:t>صفح</w:t>
      </w:r>
      <w:r>
        <w:rPr>
          <w:rFonts w:eastAsia="Times New Roman" w:hint="cs"/>
          <w:rtl/>
        </w:rPr>
        <w:t>ة</w:t>
      </w:r>
      <w:r w:rsidRPr="007214CB">
        <w:rPr>
          <w:rFonts w:eastAsia="Times New Roman"/>
          <w:rtl/>
        </w:rPr>
        <w:t xml:space="preserve"> الم</w:t>
      </w:r>
      <w:r>
        <w:rPr>
          <w:rFonts w:eastAsia="Times New Roman" w:hint="cs"/>
          <w:rtl/>
        </w:rPr>
        <w:t>ؤلّ</w:t>
      </w:r>
      <w:r w:rsidRPr="007214CB">
        <w:rPr>
          <w:rFonts w:eastAsia="Times New Roman"/>
          <w:rtl/>
        </w:rPr>
        <w:t xml:space="preserve">ف </w:t>
      </w:r>
      <w:r>
        <w:rPr>
          <w:rFonts w:eastAsia="Times New Roman" w:hint="cs"/>
          <w:rtl/>
        </w:rPr>
        <w:t>على الشبكة العنكبوتيّة.</w:t>
      </w:r>
    </w:p>
    <w:p w:rsidR="003C222C" w:rsidRPr="003C222C" w:rsidRDefault="00F93F13" w:rsidP="002002F4">
      <w:pPr>
        <w:ind w:firstLine="0"/>
        <w:jc w:val="center"/>
        <w:rPr>
          <w:rFonts w:ascii="Arial" w:eastAsia="Times New Roman" w:hAnsi="Arial" w:cs="Arial"/>
          <w:color w:val="000000" w:themeColor="text1"/>
          <w:sz w:val="20"/>
          <w:szCs w:val="20"/>
        </w:rPr>
      </w:pPr>
      <w:hyperlink r:id="rId12" w:history="1">
        <w:r w:rsidR="003C222C" w:rsidRPr="003C222C">
          <w:rPr>
            <w:rFonts w:ascii="Arial" w:eastAsia="Times New Roman" w:hAnsi="Arial" w:cs="Arial"/>
            <w:color w:val="000000" w:themeColor="text1"/>
            <w:sz w:val="20"/>
            <w:szCs w:val="20"/>
          </w:rPr>
          <w:t>www.kadivar.com</w:t>
        </w:r>
      </w:hyperlink>
    </w:p>
    <w:p w:rsidR="003C222C" w:rsidRDefault="003C222C" w:rsidP="00AD5743">
      <w:pPr>
        <w:rPr>
          <w:sz w:val="30"/>
          <w:rtl/>
        </w:rPr>
        <w:sectPr w:rsidR="003C222C" w:rsidSect="009003FC">
          <w:footnotePr>
            <w:numRestart w:val="eachPage"/>
          </w:footnotePr>
          <w:type w:val="oddPage"/>
          <w:pgSz w:w="11907" w:h="16840" w:code="9"/>
          <w:pgMar w:top="2835" w:right="2552" w:bottom="3232" w:left="2552" w:header="2268" w:footer="1106" w:gutter="0"/>
          <w:cols w:space="720"/>
          <w:titlePg/>
          <w:docGrid w:linePitch="360"/>
        </w:sectPr>
      </w:pPr>
    </w:p>
    <w:p w:rsidR="003C222C" w:rsidRDefault="003C222C" w:rsidP="00AD5743">
      <w:pPr>
        <w:rPr>
          <w:sz w:val="30"/>
          <w:rtl/>
        </w:rPr>
      </w:pPr>
    </w:p>
    <w:p w:rsidR="003C222C" w:rsidRDefault="003C222C" w:rsidP="00AD5743">
      <w:pPr>
        <w:rPr>
          <w:sz w:val="30"/>
          <w:rtl/>
        </w:rPr>
      </w:pPr>
    </w:p>
    <w:p w:rsidR="003C222C" w:rsidRDefault="003C222C" w:rsidP="00AD5743">
      <w:pPr>
        <w:rPr>
          <w:sz w:val="30"/>
          <w:rtl/>
        </w:rPr>
      </w:pPr>
    </w:p>
    <w:p w:rsidR="003C222C" w:rsidRPr="00134D4D" w:rsidRDefault="003C222C" w:rsidP="00AD5743">
      <w:pPr>
        <w:rPr>
          <w:sz w:val="30"/>
          <w:rtl/>
        </w:rPr>
      </w:pPr>
    </w:p>
    <w:p w:rsidR="00EA09EB" w:rsidRDefault="00A94625" w:rsidP="00AD5743">
      <w:pPr>
        <w:pStyle w:val="Heading2"/>
        <w:jc w:val="center"/>
        <w:rPr>
          <w:rtl/>
          <w:lang w:bidi="ar-LB"/>
        </w:rPr>
      </w:pPr>
      <w:bookmarkStart w:id="26" w:name="_Toc413658810"/>
      <w:r>
        <w:rPr>
          <w:rFonts w:hint="cs"/>
          <w:rtl/>
          <w:lang w:bidi="ar-LB"/>
        </w:rPr>
        <w:t xml:space="preserve">مقدمة </w:t>
      </w:r>
      <w:r w:rsidRPr="00AD5743">
        <w:rPr>
          <w:rFonts w:hint="cs"/>
          <w:rtl/>
        </w:rPr>
        <w:t>المؤلف</w:t>
      </w:r>
      <w:r>
        <w:rPr>
          <w:rFonts w:hint="cs"/>
          <w:rtl/>
          <w:lang w:bidi="ar-LB"/>
        </w:rPr>
        <w:t xml:space="preserve"> للترجمة العربية للكتاب</w:t>
      </w:r>
      <w:bookmarkEnd w:id="26"/>
    </w:p>
    <w:p w:rsidR="00EA09EB" w:rsidRPr="00C538DE" w:rsidRDefault="00EA09EB" w:rsidP="00EA09EB">
      <w:pPr>
        <w:jc w:val="center"/>
        <w:rPr>
          <w:rtl/>
          <w:lang w:bidi="ar-LB"/>
        </w:rPr>
      </w:pPr>
      <w:r w:rsidRPr="00C538DE">
        <w:rPr>
          <w:rFonts w:hint="cs"/>
          <w:rtl/>
          <w:lang w:bidi="ar-LB"/>
        </w:rPr>
        <w:t>بسم الله الرحمن الرحيم</w:t>
      </w:r>
    </w:p>
    <w:p w:rsidR="00EA09EB" w:rsidRPr="00CF0A84" w:rsidRDefault="00EA09EB" w:rsidP="00EA09EB">
      <w:pPr>
        <w:rPr>
          <w:rtl/>
          <w:lang w:bidi="ar-LB"/>
        </w:rPr>
      </w:pPr>
      <w:r w:rsidRPr="00CF0A84">
        <w:rPr>
          <w:rFonts w:hint="cs"/>
          <w:rtl/>
          <w:lang w:bidi="ar-LB"/>
        </w:rPr>
        <w:t>إنّ المراد من الحكومة الولائية هي الحكومة القائمة على نظرية (ولاية الفقيه). إنّ الولاية الشرعية تعبيرٌ عن نوع من العلاقة القائمة بين الحاكم والشعب، وتكون فيها الأولوية المطلقة لما يراه الحاكم من المصالح العامة، وتقديمه على الرأي العام والإرادة الوطنية. يعتبر الحاكم في الحكومة الولائية هو الوليّ الشرعي على الناس، ويكون الناس (مُوَلّىً عليهم). وإنّ من اللوازم الثابتة للحكومة الولائية هو الحجر على الناس في الدائرة العامة. وحيث يعتبر وليّ الأمر؛ طبقاً لنظرية ولاية الفقيه، منصوباً من قبل الله لتكون له الولاية على الناس تكون الحكومة الولائية حكومة تنصيبية. وبذلك فإنّها تتعارض مع الحكومات المنتَخَبة، والتي يتمّ فيها توكيل الدولة من قبل أبناء الشعب والأمّة. إنّ حدود اختيارات وليّ الأمر مطلقة، ولا يمكن لأيّ قانونٍ بشريّ أن يعمل على تحديدها أو تقييدها. وفي الحكومة الولائية يتمّ إضفاء الشرعية على الدستور بالمصادقة عليه وتوقيعه من قِبَل وليّ الأمر، وليس العكس. كما أنّه يتمّ تحديد الحكومة الولائية ضمن رقعة جغرافية خاصّة من باب الاضطرار، وإلاّ فإنّ عنوان (وليّ أمر المسلمين في العالم) يحكي عن الشمولية الشرعية لأوامر هذا النوع من الحكومة لجميع المسلمين في العالم.</w:t>
      </w:r>
    </w:p>
    <w:p w:rsidR="00EA09EB" w:rsidRPr="00CF0A84" w:rsidRDefault="00EA09EB" w:rsidP="00A97582">
      <w:pPr>
        <w:pStyle w:val="Normal87"/>
        <w:rPr>
          <w:rtl/>
        </w:rPr>
      </w:pPr>
      <w:r w:rsidRPr="00CF0A84">
        <w:rPr>
          <w:rFonts w:hint="cs"/>
          <w:rtl/>
        </w:rPr>
        <w:t>إن الحكومة الولائية هي نوعٌ من أنواع الحكم الثيوقراطي</w:t>
      </w:r>
      <w:r w:rsidRPr="00064619">
        <w:rPr>
          <w:rFonts w:cs="Taher"/>
          <w:vertAlign w:val="superscript"/>
          <w:rtl/>
        </w:rPr>
        <w:t>(</w:t>
      </w:r>
      <w:r w:rsidRPr="00064619">
        <w:rPr>
          <w:rFonts w:cs="Taher"/>
          <w:vertAlign w:val="superscript"/>
          <w:rtl/>
        </w:rPr>
        <w:footnoteReference w:id="2"/>
      </w:r>
      <w:r w:rsidRPr="00064619">
        <w:rPr>
          <w:rFonts w:cs="Taher"/>
          <w:vertAlign w:val="superscript"/>
          <w:rtl/>
        </w:rPr>
        <w:t>)</w:t>
      </w:r>
      <w:r w:rsidRPr="00CF0A84">
        <w:rPr>
          <w:rFonts w:hint="cs"/>
          <w:rtl/>
        </w:rPr>
        <w:t xml:space="preserve"> </w:t>
      </w:r>
      <w:r>
        <w:rPr>
          <w:rFonts w:hint="cs"/>
          <w:rtl/>
        </w:rPr>
        <w:t xml:space="preserve">الإسلامي </w:t>
      </w:r>
      <w:r w:rsidRPr="00CF0A84">
        <w:rPr>
          <w:rFonts w:hint="cs"/>
          <w:rtl/>
        </w:rPr>
        <w:t>أو</w:t>
      </w:r>
      <w:r w:rsidRPr="00CF0A84">
        <w:t xml:space="preserve"> </w:t>
      </w:r>
      <w:r w:rsidRPr="00CF0A84">
        <w:rPr>
          <w:rFonts w:hint="cs"/>
          <w:rtl/>
        </w:rPr>
        <w:t>الأوتوقراطي</w:t>
      </w:r>
      <w:r w:rsidRPr="00064619">
        <w:rPr>
          <w:rFonts w:cs="Taher"/>
          <w:vertAlign w:val="superscript"/>
          <w:rtl/>
        </w:rPr>
        <w:t>(</w:t>
      </w:r>
      <w:r w:rsidRPr="00064619">
        <w:rPr>
          <w:rFonts w:cs="Taher"/>
          <w:vertAlign w:val="superscript"/>
          <w:rtl/>
        </w:rPr>
        <w:footnoteReference w:id="3"/>
      </w:r>
      <w:r w:rsidRPr="00064619">
        <w:rPr>
          <w:rFonts w:cs="Taher"/>
          <w:vertAlign w:val="superscript"/>
          <w:rtl/>
        </w:rPr>
        <w:t>)</w:t>
      </w:r>
      <w:r>
        <w:rPr>
          <w:rFonts w:hint="cs"/>
          <w:vertAlign w:val="superscript"/>
          <w:rtl/>
        </w:rPr>
        <w:t xml:space="preserve"> </w:t>
      </w:r>
      <w:r>
        <w:rPr>
          <w:rFonts w:hint="cs"/>
          <w:rtl/>
        </w:rPr>
        <w:t>الديني،</w:t>
      </w:r>
      <w:r w:rsidRPr="00CF0A84">
        <w:rPr>
          <w:rFonts w:hint="cs"/>
          <w:rtl/>
        </w:rPr>
        <w:t xml:space="preserve"> وهو يختلف في مضمونه ومفهومه عن الحكم الديموقراطي</w:t>
      </w:r>
      <w:r w:rsidRPr="00064619">
        <w:rPr>
          <w:rFonts w:cs="Taher"/>
          <w:vertAlign w:val="superscript"/>
          <w:rtl/>
        </w:rPr>
        <w:t>(</w:t>
      </w:r>
      <w:r w:rsidRPr="00064619">
        <w:rPr>
          <w:rFonts w:cs="Taher"/>
          <w:vertAlign w:val="superscript"/>
          <w:rtl/>
        </w:rPr>
        <w:footnoteReference w:id="4"/>
      </w:r>
      <w:r w:rsidRPr="00064619">
        <w:rPr>
          <w:rFonts w:cs="Taher"/>
          <w:vertAlign w:val="superscript"/>
          <w:rtl/>
        </w:rPr>
        <w:t>)</w:t>
      </w:r>
      <w:r w:rsidRPr="00CF0A84">
        <w:rPr>
          <w:rFonts w:hint="cs"/>
          <w:rtl/>
        </w:rPr>
        <w:t>.</w:t>
      </w:r>
      <w:r w:rsidRPr="00CF0A84">
        <w:t xml:space="preserve">  </w:t>
      </w:r>
      <w:r w:rsidRPr="00CF0A84">
        <w:rPr>
          <w:rFonts w:hint="cs"/>
          <w:rtl/>
        </w:rPr>
        <w:t>إن الحكومة الولائية هي النسخة الشيعية لحكومة آباء الكنيسة في القرون الوسطى، أو الخلافة عند المسلمين من أهل السنة.</w:t>
      </w:r>
    </w:p>
    <w:p w:rsidR="00EA09EB" w:rsidRPr="00CF0A84" w:rsidRDefault="00EA09EB" w:rsidP="00A97582">
      <w:pPr>
        <w:pStyle w:val="Normal84"/>
        <w:rPr>
          <w:rtl/>
        </w:rPr>
      </w:pPr>
      <w:r w:rsidRPr="00CF0A84">
        <w:rPr>
          <w:rFonts w:hint="cs"/>
          <w:rtl/>
        </w:rPr>
        <w:t>إن</w:t>
      </w:r>
      <w:r>
        <w:rPr>
          <w:rFonts w:hint="cs"/>
          <w:rtl/>
        </w:rPr>
        <w:t>ّ</w:t>
      </w:r>
      <w:r w:rsidRPr="00CF0A84">
        <w:rPr>
          <w:rFonts w:hint="cs"/>
          <w:rtl/>
        </w:rPr>
        <w:t xml:space="preserve"> هذه الحكومة هي مزيجٌ من النظريات الأربع التالية: نظرية حكومة الحكماء لإفلاطون؛ ونظرية ملك الملوك في المنظور الإيراني العريق للدولة؛ ونظرية الإمامة في الكلام الشيعي؛ ونظرية الإنسان الكامل في عرفان محيي الدين ابن عربي. إن </w:t>
      </w:r>
      <w:r w:rsidRPr="00A32FC0">
        <w:rPr>
          <w:rFonts w:hint="cs"/>
          <w:rtl/>
        </w:rPr>
        <w:t>«</w:t>
      </w:r>
      <w:r w:rsidRPr="00CF0A84">
        <w:rPr>
          <w:rFonts w:hint="cs"/>
          <w:rtl/>
        </w:rPr>
        <w:t>الفقيه</w:t>
      </w:r>
      <w:r w:rsidRPr="00A32FC0">
        <w:rPr>
          <w:rFonts w:hint="cs"/>
          <w:rtl/>
        </w:rPr>
        <w:t>»</w:t>
      </w:r>
      <w:r w:rsidRPr="00CF0A84">
        <w:rPr>
          <w:rFonts w:hint="cs"/>
          <w:rtl/>
        </w:rPr>
        <w:t xml:space="preserve"> هو نموذج الحكيم الإفلاطوني، والملك الحاكم المطلق في الإمبراطورية الإيرانية العتيدة، والإمام المعصوم المنصوب من قِبَل الله وفقاً للمفهوم الشيعي، والعارف الواصل عند الصوفية، وباختصار (إنّه ينفرد بامتلاك جميع ما يمتلكه الصالحون من الفضائل). إنّ الحكومة الولائية تحظى بجميع خصائص الحكومة الأصولية</w:t>
      </w:r>
      <w:r>
        <w:rPr>
          <w:rStyle w:val="FootnoteReference"/>
          <w:rFonts w:cs="Abz-1 (Lotus)"/>
          <w:sz w:val="32"/>
          <w:szCs w:val="32"/>
          <w:rtl/>
        </w:rPr>
        <w:footnoteReference w:id="5"/>
      </w:r>
      <w:r w:rsidRPr="00CF0A84">
        <w:rPr>
          <w:rFonts w:hint="cs"/>
          <w:rtl/>
        </w:rPr>
        <w:t xml:space="preserve">، وترى الوصول إلى السلطة من أيّ طريقٍ كان لإقامة الشريعة فريضةً، وترى أنّ الحفاظ عليها مهما كلَّف الأمر، حتّى من طريق اللجوء إلى العنف، وانتهاك القواعد الأخلاقية والموازين الدينية، من </w:t>
      </w:r>
      <w:r w:rsidRPr="00A32FC0">
        <w:rPr>
          <w:rFonts w:hint="cs"/>
          <w:rtl/>
        </w:rPr>
        <w:t>«</w:t>
      </w:r>
      <w:r w:rsidRPr="00CF0A84">
        <w:rPr>
          <w:rFonts w:hint="cs"/>
          <w:rtl/>
        </w:rPr>
        <w:t>أوجب الواجبات</w:t>
      </w:r>
      <w:r w:rsidRPr="00A32FC0">
        <w:rPr>
          <w:rFonts w:hint="cs"/>
          <w:rtl/>
        </w:rPr>
        <w:t>»</w:t>
      </w:r>
      <w:r w:rsidRPr="00CF0A84">
        <w:rPr>
          <w:rFonts w:hint="cs"/>
          <w:rtl/>
        </w:rPr>
        <w:t>. إنّ الأحكام الصادرة عن وليّ الأمر تعدّ بمنزلة الحكم الشرعيّ، وعند التعارض يتمّ تقديمها على الأحكام الشرعية الأوّلية والثانوية. وعليه من الطبيعي أن تكون لمصلحة النظام الحكومة والورود على جميع الأحكام الشرعية. إنّ رئيس الحكومة الولائية هو إله الأرض. إنّه حاكمٌ يتمتَّع بكلّ صلاحيّات رسول الله</w:t>
      </w:r>
      <w:r w:rsidRPr="00A32FC0">
        <w:rPr>
          <w:rFonts w:hint="cs"/>
          <w:rtl/>
        </w:rPr>
        <w:sym w:font="Roumouz" w:char="F02D"/>
      </w:r>
      <w:r w:rsidRPr="00CF0A84">
        <w:rPr>
          <w:rFonts w:hint="cs"/>
          <w:rtl/>
        </w:rPr>
        <w:t xml:space="preserve"> في المرحلة الراهنة. </w:t>
      </w:r>
    </w:p>
    <w:p w:rsidR="00EA09EB" w:rsidRPr="00CF0A84" w:rsidRDefault="00EA09EB" w:rsidP="00EA09EB">
      <w:pPr>
        <w:rPr>
          <w:rtl/>
          <w:lang w:bidi="ar-LB"/>
        </w:rPr>
      </w:pPr>
      <w:r w:rsidRPr="00CF0A84">
        <w:rPr>
          <w:rFonts w:hint="cs"/>
          <w:rtl/>
          <w:lang w:bidi="ar-LB"/>
        </w:rPr>
        <w:t>إن الحكومة الولائية لم تكن هي الهدف من ثورة عام 1357هـ.ش</w:t>
      </w:r>
      <w:r>
        <w:rPr>
          <w:rFonts w:hint="cs"/>
          <w:rtl/>
          <w:lang w:bidi="ar-LB"/>
        </w:rPr>
        <w:t xml:space="preserve"> / 1978م</w:t>
      </w:r>
      <w:r w:rsidRPr="00CF0A84">
        <w:rPr>
          <w:rFonts w:hint="cs"/>
          <w:rtl/>
          <w:lang w:bidi="ar-LB"/>
        </w:rPr>
        <w:t xml:space="preserve"> الإيرانية، كما أنّ معنى الجمهورية الإسلامية على ما ورد في تعريفها في ديباجة دستور الجمهورية الإسلامية، واستفتاء عام 1358هـ.ش</w:t>
      </w:r>
      <w:r>
        <w:rPr>
          <w:rFonts w:hint="cs"/>
          <w:rtl/>
          <w:lang w:bidi="ar-LB"/>
        </w:rPr>
        <w:t xml:space="preserve"> / 1979 م</w:t>
      </w:r>
      <w:r w:rsidRPr="00CF0A84">
        <w:rPr>
          <w:rFonts w:hint="cs"/>
          <w:rtl/>
          <w:lang w:bidi="ar-LB"/>
        </w:rPr>
        <w:t xml:space="preserve"> أيضاً، لم يكن يتضمَّن الحكومة الولائية. لقد شهدَتْ إيران في العقود الأربعة الأخيرة تحدّياً من قبل رؤيتين على نطاقٍ سياسيّ واسع، وهما: الحكومة الولائية من جهةٍ، والحكومة الديموقراطية العلمانية من جهةٍ أخرى. وقد تمخَّض ذلك على المستوى العملي عن حكومةٍ، لا هي حكومة ولائية بالكامل، ولا هي جمهورية ديموقراطية علمانية بالكامل. ويمكن لنا تسمية هذه الحكومة بـ </w:t>
      </w:r>
      <w:r w:rsidRPr="00A32FC0">
        <w:rPr>
          <w:rFonts w:hint="cs"/>
          <w:rtl/>
        </w:rPr>
        <w:t>«</w:t>
      </w:r>
      <w:r w:rsidRPr="00CF0A84">
        <w:rPr>
          <w:rFonts w:hint="cs"/>
          <w:rtl/>
          <w:lang w:bidi="ar-LB"/>
        </w:rPr>
        <w:t>الجمهورية الولائية</w:t>
      </w:r>
      <w:r w:rsidRPr="00A32FC0">
        <w:rPr>
          <w:rFonts w:hint="cs"/>
          <w:rtl/>
        </w:rPr>
        <w:t>»</w:t>
      </w:r>
      <w:r w:rsidRPr="00CF0A84">
        <w:rPr>
          <w:rFonts w:hint="cs"/>
          <w:rtl/>
          <w:lang w:bidi="ar-LB"/>
        </w:rPr>
        <w:t xml:space="preserve">؛ فهي جمهوريّة بنسبة 20%؛ وحكومة ولائية بنسبة 80%.. ففي الجمهورية الولائية يكون المعيار قائماً على رأي الشعب، ولكنْ وفقاً لما يراه الوليّ الفقيه من المصلحة. إنّ نماذج الجمهورية تذوب بشكلٍ تدريجي في أسيد الحكومة الولائية، لتتَّجه الجمهورية الولائية بالتدريج نحو الحكومة الولائية أكثر فأكثر. إنّ مراد رجال الدولة في إيران من </w:t>
      </w:r>
      <w:r w:rsidRPr="00A32FC0">
        <w:rPr>
          <w:rFonts w:hint="cs"/>
          <w:rtl/>
        </w:rPr>
        <w:t>«</w:t>
      </w:r>
      <w:r w:rsidRPr="00CF0A84">
        <w:rPr>
          <w:rFonts w:hint="cs"/>
          <w:rtl/>
          <w:lang w:bidi="ar-LB"/>
        </w:rPr>
        <w:t>الحكومة الإسلامية</w:t>
      </w:r>
      <w:r w:rsidRPr="00A32FC0">
        <w:rPr>
          <w:rFonts w:hint="cs"/>
          <w:rtl/>
        </w:rPr>
        <w:t>»</w:t>
      </w:r>
      <w:r w:rsidRPr="00CF0A84">
        <w:rPr>
          <w:rFonts w:hint="cs"/>
          <w:rtl/>
          <w:lang w:bidi="ar-LB"/>
        </w:rPr>
        <w:t xml:space="preserve"> هو الحكومة الولائية، وما رفع شعار الجمهورية الإسلامية إلاّ من باب التقيّة، أو للتورية، أو أنّها في الحدّ الأقصى </w:t>
      </w:r>
      <w:r w:rsidRPr="00A32FC0">
        <w:rPr>
          <w:rFonts w:hint="cs"/>
          <w:rtl/>
        </w:rPr>
        <w:t>«</w:t>
      </w:r>
      <w:r w:rsidRPr="00CF0A84">
        <w:rPr>
          <w:rFonts w:hint="cs"/>
          <w:rtl/>
          <w:lang w:bidi="ar-LB"/>
        </w:rPr>
        <w:t>حالة مرحليّة</w:t>
      </w:r>
      <w:r w:rsidRPr="00A32FC0">
        <w:rPr>
          <w:rFonts w:hint="cs"/>
          <w:rtl/>
        </w:rPr>
        <w:t>»</w:t>
      </w:r>
      <w:r w:rsidRPr="00CF0A84">
        <w:rPr>
          <w:rFonts w:hint="cs"/>
          <w:rtl/>
          <w:lang w:bidi="ar-LB"/>
        </w:rPr>
        <w:t>.</w:t>
      </w:r>
    </w:p>
    <w:p w:rsidR="00EA09EB" w:rsidRPr="00CF0A84" w:rsidRDefault="00EA09EB" w:rsidP="00EA09EB">
      <w:pPr>
        <w:rPr>
          <w:rtl/>
          <w:lang w:bidi="ar-LB"/>
        </w:rPr>
      </w:pPr>
      <w:r w:rsidRPr="00CF0A84">
        <w:rPr>
          <w:rFonts w:hint="cs"/>
          <w:rtl/>
          <w:lang w:bidi="ar-LB"/>
        </w:rPr>
        <w:t xml:space="preserve">إنّ كتاب </w:t>
      </w:r>
      <w:r w:rsidRPr="00A32FC0">
        <w:rPr>
          <w:rFonts w:hint="cs"/>
          <w:rtl/>
        </w:rPr>
        <w:t>«</w:t>
      </w:r>
      <w:r w:rsidRPr="00CF0A84">
        <w:rPr>
          <w:rFonts w:hint="cs"/>
          <w:rtl/>
          <w:lang w:bidi="ar-LB"/>
        </w:rPr>
        <w:t>الحكومة الولائية</w:t>
      </w:r>
      <w:r w:rsidRPr="00A32FC0">
        <w:rPr>
          <w:rFonts w:hint="cs"/>
          <w:rtl/>
        </w:rPr>
        <w:t>»</w:t>
      </w:r>
      <w:r w:rsidRPr="00CF0A84">
        <w:rPr>
          <w:rFonts w:hint="cs"/>
          <w:rtl/>
          <w:lang w:bidi="ar-LB"/>
        </w:rPr>
        <w:t xml:space="preserve">، الذي مضى على تأليفه سبعة عشر عاماً، يتضمَّن نقد نظرية ولاية الفقيه في إطار الفقه التقليدي. وقد تمّ تأليفه على أساس المباني الكلامية والأصولية السائدة في الحوزات العلمية. كما أنّه يمثل تحليلاً نقدياً للنظرية الرسمية على أساس الضوابط الدينية المتَّبعة. وقد سعَيْتُ من خلال سلسلة </w:t>
      </w:r>
      <w:r w:rsidRPr="00A32FC0">
        <w:rPr>
          <w:rFonts w:hint="cs"/>
          <w:rtl/>
        </w:rPr>
        <w:t>«</w:t>
      </w:r>
      <w:r w:rsidRPr="00CF0A84">
        <w:rPr>
          <w:rFonts w:hint="cs"/>
          <w:rtl/>
          <w:lang w:bidi="ar-LB"/>
        </w:rPr>
        <w:t>الفكر السياسي في الإسلام</w:t>
      </w:r>
      <w:r w:rsidRPr="00A32FC0">
        <w:rPr>
          <w:rFonts w:hint="cs"/>
          <w:rtl/>
        </w:rPr>
        <w:t>»</w:t>
      </w:r>
      <w:r w:rsidRPr="00CF0A84">
        <w:rPr>
          <w:rFonts w:hint="cs"/>
          <w:rtl/>
          <w:lang w:bidi="ar-LB"/>
        </w:rPr>
        <w:t xml:space="preserve"> أن لا أتجاوز النقد البنائي (النقد في إطار الفكر التقليدي) إلى النقد المبنائي (نقد الأُطُر والمباني). ويجب ملاحظة ما تمّ بحثه إجمالاً من المباني الكلامية أو الأصولية في هذا الشأن، وعدم اعتباره رأياً للمؤلِّف بالضرورة. وقد ذكرْتُ جانباً من آرائي الكلامية في مقالاتي المتأخ</w:t>
      </w:r>
      <w:r>
        <w:rPr>
          <w:rFonts w:hint="cs"/>
          <w:rtl/>
          <w:lang w:bidi="ar-LB"/>
        </w:rPr>
        <w:t>ِّ</w:t>
      </w:r>
      <w:r w:rsidRPr="00CF0A84">
        <w:rPr>
          <w:rFonts w:hint="cs"/>
          <w:rtl/>
          <w:lang w:bidi="ar-LB"/>
        </w:rPr>
        <w:t>رة (من قبيل</w:t>
      </w:r>
      <w:r>
        <w:rPr>
          <w:rFonts w:hint="cs"/>
          <w:rtl/>
          <w:lang w:bidi="ar-LB"/>
        </w:rPr>
        <w:t>:</w:t>
      </w:r>
      <w:r w:rsidRPr="00CF0A84">
        <w:rPr>
          <w:rFonts w:hint="cs"/>
          <w:rtl/>
          <w:lang w:bidi="ar-LB"/>
        </w:rPr>
        <w:t xml:space="preserve"> </w:t>
      </w:r>
      <w:r w:rsidRPr="00A32FC0">
        <w:rPr>
          <w:rFonts w:hint="cs"/>
          <w:rtl/>
        </w:rPr>
        <w:t>«</w:t>
      </w:r>
      <w:r w:rsidRPr="00CF0A84">
        <w:rPr>
          <w:rFonts w:hint="cs"/>
          <w:rtl/>
          <w:lang w:bidi="ar-LB"/>
        </w:rPr>
        <w:t>القراءة المنسي</w:t>
      </w:r>
      <w:r>
        <w:rPr>
          <w:rFonts w:hint="cs"/>
          <w:rtl/>
          <w:lang w:bidi="ar-LB"/>
        </w:rPr>
        <w:t>ّ</w:t>
      </w:r>
      <w:r w:rsidRPr="00CF0A84">
        <w:rPr>
          <w:rFonts w:hint="cs"/>
          <w:rtl/>
          <w:lang w:bidi="ar-LB"/>
        </w:rPr>
        <w:t>ة</w:t>
      </w:r>
      <w:r>
        <w:rPr>
          <w:rFonts w:hint="cs"/>
          <w:rtl/>
          <w:lang w:bidi="ar-LB"/>
        </w:rPr>
        <w:t xml:space="preserve"> للإمامة</w:t>
      </w:r>
      <w:r w:rsidRPr="00A32FC0">
        <w:rPr>
          <w:rFonts w:hint="cs"/>
          <w:rtl/>
        </w:rPr>
        <w:t>»</w:t>
      </w:r>
      <w:r>
        <w:rPr>
          <w:rFonts w:hint="cs"/>
          <w:rtl/>
        </w:rPr>
        <w:t>،</w:t>
      </w:r>
      <w:r w:rsidRPr="00CF0A84">
        <w:rPr>
          <w:rFonts w:hint="cs"/>
          <w:rtl/>
          <w:lang w:bidi="ar-LB"/>
        </w:rPr>
        <w:t xml:space="preserve"> أو </w:t>
      </w:r>
      <w:r w:rsidRPr="00A32FC0">
        <w:rPr>
          <w:rFonts w:hint="cs"/>
          <w:rtl/>
        </w:rPr>
        <w:t>«</w:t>
      </w:r>
      <w:r w:rsidRPr="00CF0A84">
        <w:rPr>
          <w:rFonts w:hint="cs"/>
          <w:rtl/>
          <w:lang w:bidi="ar-LB"/>
        </w:rPr>
        <w:t>تبويب العقائد الدينية</w:t>
      </w:r>
      <w:r w:rsidRPr="00A32FC0">
        <w:rPr>
          <w:rFonts w:hint="cs"/>
          <w:rtl/>
        </w:rPr>
        <w:t>»</w:t>
      </w:r>
      <w:r>
        <w:rPr>
          <w:rFonts w:hint="cs"/>
          <w:rtl/>
        </w:rPr>
        <w:t xml:space="preserve"> نشر ترجمتهما باللغة العربية مع ترجمة مقالتين أخريين في كتاب من دون علم وإذن مني</w:t>
      </w:r>
      <w:r w:rsidRPr="00CF0A84">
        <w:rPr>
          <w:rFonts w:hint="cs"/>
          <w:rtl/>
          <w:lang w:bidi="ar-LB"/>
        </w:rPr>
        <w:t>).</w:t>
      </w:r>
    </w:p>
    <w:p w:rsidR="00EA09EB" w:rsidRPr="00CF0A84" w:rsidRDefault="00EA09EB" w:rsidP="00EA09EB">
      <w:pPr>
        <w:rPr>
          <w:rtl/>
          <w:lang w:bidi="ar-LB"/>
        </w:rPr>
      </w:pPr>
      <w:r w:rsidRPr="00CF0A84">
        <w:rPr>
          <w:rFonts w:hint="cs"/>
          <w:rtl/>
          <w:lang w:bidi="ar-LB"/>
        </w:rPr>
        <w:t>إن</w:t>
      </w:r>
      <w:r>
        <w:rPr>
          <w:rFonts w:hint="cs"/>
          <w:rtl/>
          <w:lang w:bidi="ar-LB"/>
        </w:rPr>
        <w:t>ّ</w:t>
      </w:r>
      <w:r w:rsidRPr="00CF0A84">
        <w:rPr>
          <w:rFonts w:hint="cs"/>
          <w:rtl/>
          <w:lang w:bidi="ar-LB"/>
        </w:rPr>
        <w:t>ني من المعتقدين بتناغم الإسلام مع الديم</w:t>
      </w:r>
      <w:r>
        <w:rPr>
          <w:rFonts w:hint="cs"/>
          <w:rtl/>
          <w:lang w:bidi="ar-LB"/>
        </w:rPr>
        <w:t>و</w:t>
      </w:r>
      <w:r w:rsidRPr="00CF0A84">
        <w:rPr>
          <w:rFonts w:hint="cs"/>
          <w:rtl/>
          <w:lang w:bidi="ar-LB"/>
        </w:rPr>
        <w:t>قراطية، وأرى في مفهوم الجمهوري</w:t>
      </w:r>
      <w:r>
        <w:rPr>
          <w:rFonts w:hint="cs"/>
          <w:rtl/>
          <w:lang w:bidi="ar-LB"/>
        </w:rPr>
        <w:t>ّ</w:t>
      </w:r>
      <w:r w:rsidRPr="00CF0A84">
        <w:rPr>
          <w:rFonts w:hint="cs"/>
          <w:rtl/>
          <w:lang w:bidi="ar-LB"/>
        </w:rPr>
        <w:t>ة الإسلامية (على ما جاء في ديباجة الدستور الذي لم يتضم</w:t>
      </w:r>
      <w:r>
        <w:rPr>
          <w:rFonts w:hint="cs"/>
          <w:rtl/>
          <w:lang w:bidi="ar-LB"/>
        </w:rPr>
        <w:t>َّ</w:t>
      </w:r>
      <w:r w:rsidRPr="00CF0A84">
        <w:rPr>
          <w:rFonts w:hint="cs"/>
          <w:rtl/>
          <w:lang w:bidi="ar-LB"/>
        </w:rPr>
        <w:t>ن أدنى إشارة</w:t>
      </w:r>
      <w:r>
        <w:rPr>
          <w:rFonts w:hint="cs"/>
          <w:rtl/>
          <w:lang w:bidi="ar-LB"/>
        </w:rPr>
        <w:t>ٍ إلى ولاية الفقيه) حلاًّ</w:t>
      </w:r>
      <w:r w:rsidRPr="00CF0A84">
        <w:rPr>
          <w:rFonts w:hint="cs"/>
          <w:rtl/>
          <w:lang w:bidi="ar-LB"/>
        </w:rPr>
        <w:t xml:space="preserve"> عملي</w:t>
      </w:r>
      <w:r>
        <w:rPr>
          <w:rFonts w:hint="cs"/>
          <w:rtl/>
          <w:lang w:bidi="ar-LB"/>
        </w:rPr>
        <w:t>ّ</w:t>
      </w:r>
      <w:r w:rsidRPr="00CF0A84">
        <w:rPr>
          <w:rFonts w:hint="cs"/>
          <w:rtl/>
          <w:lang w:bidi="ar-LB"/>
        </w:rPr>
        <w:t>اً لإيران ما بعد انتصار الثورة، رغم أن</w:t>
      </w:r>
      <w:r>
        <w:rPr>
          <w:rFonts w:hint="cs"/>
          <w:rtl/>
          <w:lang w:bidi="ar-LB"/>
        </w:rPr>
        <w:t>ّ</w:t>
      </w:r>
      <w:r w:rsidRPr="00CF0A84">
        <w:rPr>
          <w:rFonts w:hint="cs"/>
          <w:rtl/>
          <w:lang w:bidi="ar-LB"/>
        </w:rPr>
        <w:t>ي في النهاية أدافع عن الحكومة الديم</w:t>
      </w:r>
      <w:r>
        <w:rPr>
          <w:rFonts w:hint="cs"/>
          <w:rtl/>
          <w:lang w:bidi="ar-LB"/>
        </w:rPr>
        <w:t>و</w:t>
      </w:r>
      <w:r w:rsidRPr="00CF0A84">
        <w:rPr>
          <w:rFonts w:hint="cs"/>
          <w:rtl/>
          <w:lang w:bidi="ar-LB"/>
        </w:rPr>
        <w:t>قراطية العلمانية.</w:t>
      </w:r>
    </w:p>
    <w:p w:rsidR="00EA09EB" w:rsidRDefault="00EA09EB" w:rsidP="00EA09EB">
      <w:pPr>
        <w:rPr>
          <w:rtl/>
        </w:rPr>
      </w:pPr>
      <w:r w:rsidRPr="00EA09EB">
        <w:rPr>
          <w:rFonts w:hint="cs"/>
          <w:rtl/>
        </w:rPr>
        <w:t xml:space="preserve">لقد تمَّ نشر الترجمتين العربيَّتين للمجلَّد الأول من الفكر السياسي في الإسلام، أي كتاب «نظريات الدولة في الفقه الشيعيّ»، في بيروت دون علمٍ أو إذن منّي. وقد عمد أحد فضلاء الحوزة العلمية في قم، وهو السيد مهدي الأمين، مؤخَّراً (بالتشاور مع الفاضل المحترم السيد مصطفى مطبعجي الإصفهاني) بترجمة المجلَّد الثاني من هذه السلسلة، وقد تمكَّنا من الوفاء بحقِّ ترجمة هذا الكتاب الفقهيّ على المستوى الفنّي بشكلٍ جيِّد. ففي الحلقة التي كانت لي مع المترجمَيْن لرفع غموض النصّ أدركْتُ أنّهما قد استوعبا عمق ما كنتُ أرمي إليه، وأنّهما قد التزما بالأمانة العلميّة، مع حفاظهما على ضرورات الترجمة العربية، فأخرجا نصَّ الكتاب في نسخةٍ عربية واضحة ومنقَّحة وأمينة. أسأل الله أن يشكر لهما سعيهما. وأسأل جميع القرّاء العَرَب أن يتفضَّلوا عليَّ بانتقاداتهم وتوجيهاتهم. </w:t>
      </w:r>
      <w:r w:rsidRPr="00720ECF">
        <w:rPr>
          <w:rFonts w:cs="Abz-1 (Lotus)" w:hint="cs"/>
          <w:rtl/>
        </w:rPr>
        <w:t>﴿</w:t>
      </w:r>
      <w:r w:rsidRPr="00EA09EB">
        <w:rPr>
          <w:b/>
          <w:bCs/>
          <w:rtl/>
        </w:rPr>
        <w:t>إِنْ أُرِيدُ إِلاَّ الإِصْلاَحَ مَا اسْتَطَعْتُ وَمَا تَوْفِيقِي إِلاَّ بِاللهِ عَلَيْهِ تَوَكَّلْتُ وَإِلَيْهِ أُنِيبُ</w:t>
      </w:r>
      <w:r w:rsidRPr="00720ECF">
        <w:rPr>
          <w:rFonts w:cs="Abz-1 (Lotus)" w:hint="cs"/>
          <w:rtl/>
        </w:rPr>
        <w:t>﴾</w:t>
      </w:r>
      <w:r w:rsidRPr="00EA09EB">
        <w:rPr>
          <w:rFonts w:hint="cs"/>
          <w:rtl/>
        </w:rPr>
        <w:t xml:space="preserve"> </w:t>
      </w:r>
      <w:r w:rsidRPr="00EA09EB">
        <w:rPr>
          <w:rtl/>
        </w:rPr>
        <w:t>(هود</w:t>
      </w:r>
      <w:r w:rsidRPr="00EA09EB">
        <w:rPr>
          <w:rFonts w:hint="cs"/>
          <w:rtl/>
        </w:rPr>
        <w:t xml:space="preserve">: </w:t>
      </w:r>
      <w:r w:rsidRPr="00EA09EB">
        <w:rPr>
          <w:rtl/>
        </w:rPr>
        <w:t>88)</w:t>
      </w:r>
      <w:r w:rsidRPr="00EA09EB">
        <w:rPr>
          <w:rFonts w:hint="cs"/>
          <w:rtl/>
        </w:rPr>
        <w:t>.</w:t>
      </w:r>
    </w:p>
    <w:p w:rsidR="00EA09EB" w:rsidRPr="00C964AB" w:rsidRDefault="00EA09EB" w:rsidP="007A340E">
      <w:pPr>
        <w:rPr>
          <w:rtl/>
        </w:rPr>
      </w:pPr>
    </w:p>
    <w:p w:rsidR="00EA09EB" w:rsidRPr="008A62E9" w:rsidRDefault="00EA09EB" w:rsidP="008A62E9">
      <w:pPr>
        <w:jc w:val="center"/>
        <w:rPr>
          <w:b/>
          <w:bCs/>
          <w:rtl/>
          <w:lang w:bidi="ar-LB"/>
        </w:rPr>
      </w:pPr>
      <w:r w:rsidRPr="008A62E9">
        <w:rPr>
          <w:rFonts w:hint="cs"/>
          <w:b/>
          <w:bCs/>
          <w:rtl/>
          <w:lang w:bidi="ar-LB"/>
        </w:rPr>
        <w:t>محسن كديور</w:t>
      </w:r>
    </w:p>
    <w:p w:rsidR="00EA09EB" w:rsidRPr="008A62E9" w:rsidRDefault="00EA09EB" w:rsidP="008A62E9">
      <w:pPr>
        <w:jc w:val="center"/>
        <w:rPr>
          <w:b/>
          <w:bCs/>
          <w:rtl/>
          <w:lang w:bidi="ar-LB"/>
        </w:rPr>
      </w:pPr>
      <w:r w:rsidRPr="008A62E9">
        <w:rPr>
          <w:rFonts w:hint="cs"/>
          <w:b/>
          <w:bCs/>
          <w:rtl/>
          <w:lang w:bidi="ar-LB"/>
        </w:rPr>
        <w:t>جمادى الثاني، 1435هـ،</w:t>
      </w:r>
    </w:p>
    <w:p w:rsidR="00EA09EB" w:rsidRPr="008A62E9" w:rsidRDefault="00EA09EB" w:rsidP="008A62E9">
      <w:pPr>
        <w:jc w:val="center"/>
        <w:rPr>
          <w:b/>
          <w:bCs/>
          <w:rtl/>
          <w:lang w:bidi="ar-LB"/>
        </w:rPr>
      </w:pPr>
      <w:r w:rsidRPr="008A62E9">
        <w:rPr>
          <w:rFonts w:hint="cs"/>
          <w:b/>
          <w:bCs/>
          <w:rtl/>
          <w:lang w:bidi="ar-LB"/>
        </w:rPr>
        <w:t>نيسان (ابريل) 2014</w:t>
      </w:r>
    </w:p>
    <w:p w:rsidR="00EA09EB" w:rsidRPr="00CF0A84" w:rsidRDefault="00EA09EB" w:rsidP="00EA09EB">
      <w:pPr>
        <w:jc w:val="center"/>
        <w:rPr>
          <w:rFonts w:cs="Abz-1 (Lotus)"/>
          <w:sz w:val="32"/>
          <w:szCs w:val="32"/>
          <w:lang w:bidi="ar-LB"/>
        </w:rPr>
      </w:pPr>
      <w:r w:rsidRPr="00CF0A84">
        <w:rPr>
          <w:rFonts w:cs="Abz-1 (Lotus)" w:hint="cs"/>
          <w:sz w:val="32"/>
          <w:szCs w:val="32"/>
          <w:rtl/>
          <w:lang w:bidi="ar-LB"/>
        </w:rPr>
        <w:t>* * *</w:t>
      </w:r>
    </w:p>
    <w:p w:rsidR="008A62E9" w:rsidRDefault="00EA09EB" w:rsidP="00EA09EB">
      <w:pPr>
        <w:jc w:val="center"/>
        <w:rPr>
          <w:rtl/>
        </w:rPr>
      </w:pPr>
      <w:r w:rsidRPr="00EA09EB">
        <w:rPr>
          <w:rtl/>
        </w:rPr>
        <w:br w:type="page"/>
      </w:r>
    </w:p>
    <w:p w:rsidR="008A62E9" w:rsidRDefault="008A62E9" w:rsidP="008A62E9">
      <w:pPr>
        <w:rPr>
          <w:rtl/>
        </w:rPr>
        <w:sectPr w:rsidR="008A62E9" w:rsidSect="009003FC">
          <w:footnotePr>
            <w:numRestart w:val="eachPage"/>
          </w:footnotePr>
          <w:type w:val="oddPage"/>
          <w:pgSz w:w="11907" w:h="16840" w:code="9"/>
          <w:pgMar w:top="2835" w:right="2552" w:bottom="3232" w:left="2552" w:header="2268" w:footer="1106" w:gutter="0"/>
          <w:cols w:space="720"/>
          <w:titlePg/>
          <w:docGrid w:linePitch="360"/>
        </w:sectPr>
      </w:pPr>
    </w:p>
    <w:p w:rsidR="008A62E9" w:rsidRDefault="008A62E9" w:rsidP="008A62E9">
      <w:pPr>
        <w:rPr>
          <w:rtl/>
        </w:rPr>
      </w:pPr>
    </w:p>
    <w:p w:rsidR="008A62E9" w:rsidRDefault="008A62E9" w:rsidP="008A62E9">
      <w:pPr>
        <w:rPr>
          <w:rtl/>
        </w:rPr>
      </w:pPr>
    </w:p>
    <w:p w:rsidR="008A62E9" w:rsidRDefault="008A62E9" w:rsidP="008A62E9">
      <w:pPr>
        <w:rPr>
          <w:rtl/>
        </w:rPr>
      </w:pPr>
    </w:p>
    <w:p w:rsidR="008A62E9" w:rsidRDefault="008A62E9" w:rsidP="008A62E9">
      <w:pPr>
        <w:rPr>
          <w:rtl/>
        </w:rPr>
      </w:pPr>
    </w:p>
    <w:p w:rsidR="00EA09EB" w:rsidRPr="00C964AB" w:rsidRDefault="00EA09EB" w:rsidP="008A62E9">
      <w:pPr>
        <w:pStyle w:val="Heading2"/>
        <w:jc w:val="center"/>
        <w:rPr>
          <w:rtl/>
          <w:lang w:bidi="ar-LB"/>
        </w:rPr>
      </w:pPr>
      <w:bookmarkStart w:id="27" w:name="_Toc413658811"/>
      <w:r w:rsidRPr="008A62E9">
        <w:rPr>
          <w:rFonts w:hint="cs"/>
          <w:rtl/>
        </w:rPr>
        <w:t>ملاحظات</w:t>
      </w:r>
      <w:r w:rsidRPr="00C964AB">
        <w:rPr>
          <w:rFonts w:hint="cs"/>
          <w:rtl/>
          <w:lang w:bidi="ar-LB"/>
        </w:rPr>
        <w:t xml:space="preserve"> </w:t>
      </w:r>
      <w:r>
        <w:rPr>
          <w:rFonts w:hint="cs"/>
          <w:rtl/>
          <w:lang w:bidi="ar-LB"/>
        </w:rPr>
        <w:t>عامة</w:t>
      </w:r>
      <w:bookmarkEnd w:id="27"/>
    </w:p>
    <w:p w:rsidR="00EA09EB" w:rsidRPr="00CF0A84" w:rsidRDefault="00EA09EB" w:rsidP="00A97582">
      <w:pPr>
        <w:pStyle w:val="Normal93"/>
        <w:rPr>
          <w:rtl/>
        </w:rPr>
      </w:pPr>
      <w:r w:rsidRPr="00CF0A84">
        <w:rPr>
          <w:rFonts w:hint="cs"/>
          <w:rtl/>
        </w:rPr>
        <w:t>لقد تمّ نشر النسخة المنق</w:t>
      </w:r>
      <w:r>
        <w:rPr>
          <w:rFonts w:hint="cs"/>
          <w:rtl/>
        </w:rPr>
        <w:t>َّ</w:t>
      </w:r>
      <w:r w:rsidRPr="00CF0A84">
        <w:rPr>
          <w:rFonts w:hint="cs"/>
          <w:rtl/>
        </w:rPr>
        <w:t xml:space="preserve">حة لكتاب </w:t>
      </w:r>
      <w:r w:rsidRPr="00A32FC0">
        <w:rPr>
          <w:rFonts w:hint="cs"/>
          <w:rtl/>
        </w:rPr>
        <w:t>«</w:t>
      </w:r>
      <w:r w:rsidRPr="00CF0A84">
        <w:rPr>
          <w:rFonts w:hint="cs"/>
          <w:rtl/>
        </w:rPr>
        <w:t>الحكومة الولائية</w:t>
      </w:r>
      <w:r w:rsidRPr="00A32FC0">
        <w:rPr>
          <w:rFonts w:hint="cs"/>
          <w:rtl/>
        </w:rPr>
        <w:t>»</w:t>
      </w:r>
      <w:r w:rsidRPr="00CF0A84">
        <w:rPr>
          <w:rFonts w:hint="cs"/>
          <w:rtl/>
        </w:rPr>
        <w:t xml:space="preserve"> في عا</w:t>
      </w:r>
      <w:r>
        <w:rPr>
          <w:rFonts w:hint="cs"/>
          <w:rtl/>
        </w:rPr>
        <w:t>م 1377</w:t>
      </w:r>
      <w:r w:rsidRPr="00CF0A84">
        <w:rPr>
          <w:rFonts w:hint="cs"/>
          <w:rtl/>
        </w:rPr>
        <w:t>هـ</w:t>
      </w:r>
      <w:r>
        <w:rPr>
          <w:rFonts w:hint="cs"/>
          <w:rtl/>
        </w:rPr>
        <w:t>.</w:t>
      </w:r>
      <w:r w:rsidRPr="00CF0A84">
        <w:rPr>
          <w:rFonts w:hint="cs"/>
          <w:rtl/>
        </w:rPr>
        <w:t>ش</w:t>
      </w:r>
      <w:r>
        <w:rPr>
          <w:rFonts w:hint="cs"/>
          <w:rtl/>
        </w:rPr>
        <w:t xml:space="preserve"> / 1998 م</w:t>
      </w:r>
      <w:r w:rsidRPr="00CF0A84">
        <w:rPr>
          <w:rFonts w:hint="cs"/>
          <w:rtl/>
        </w:rPr>
        <w:t>، والنسخة المنقّ</w:t>
      </w:r>
      <w:r>
        <w:rPr>
          <w:rFonts w:hint="cs"/>
          <w:rtl/>
        </w:rPr>
        <w:t>َحة الثانية في عام 1380</w:t>
      </w:r>
      <w:r w:rsidRPr="00CF0A84">
        <w:rPr>
          <w:rFonts w:hint="cs"/>
          <w:rtl/>
        </w:rPr>
        <w:t>هـ</w:t>
      </w:r>
      <w:r>
        <w:rPr>
          <w:rFonts w:hint="cs"/>
          <w:rtl/>
        </w:rPr>
        <w:t>.</w:t>
      </w:r>
      <w:r w:rsidRPr="00CF0A84">
        <w:rPr>
          <w:rFonts w:hint="cs"/>
          <w:rtl/>
        </w:rPr>
        <w:t>ش</w:t>
      </w:r>
      <w:r>
        <w:rPr>
          <w:rFonts w:hint="cs"/>
          <w:rtl/>
        </w:rPr>
        <w:t xml:space="preserve"> / 2001 م</w:t>
      </w:r>
      <w:r w:rsidRPr="00CF0A84">
        <w:rPr>
          <w:rFonts w:hint="cs"/>
          <w:rtl/>
        </w:rPr>
        <w:t>. أما الطبعة</w:t>
      </w:r>
      <w:r>
        <w:rPr>
          <w:rFonts w:hint="cs"/>
          <w:rtl/>
        </w:rPr>
        <w:t xml:space="preserve"> الخامسة</w:t>
      </w:r>
      <w:r w:rsidRPr="00CF0A84">
        <w:rPr>
          <w:rFonts w:hint="cs"/>
          <w:rtl/>
        </w:rPr>
        <w:t xml:space="preserve"> فهي ذات النسخة المنقّ</w:t>
      </w:r>
      <w:r>
        <w:rPr>
          <w:rFonts w:hint="cs"/>
          <w:rtl/>
        </w:rPr>
        <w:t>َ</w:t>
      </w:r>
      <w:r w:rsidRPr="00CF0A84">
        <w:rPr>
          <w:rFonts w:hint="cs"/>
          <w:rtl/>
        </w:rPr>
        <w:t>حة الثانية، مع إضافة تنقيح</w:t>
      </w:r>
      <w:r>
        <w:rPr>
          <w:rFonts w:hint="cs"/>
          <w:rtl/>
        </w:rPr>
        <w:t>ٍ</w:t>
      </w:r>
      <w:r w:rsidRPr="00CF0A84">
        <w:rPr>
          <w:rFonts w:hint="cs"/>
          <w:rtl/>
        </w:rPr>
        <w:t xml:space="preserve"> جديد في المقد</w:t>
      </w:r>
      <w:r>
        <w:rPr>
          <w:rFonts w:hint="cs"/>
          <w:rtl/>
        </w:rPr>
        <w:t>ّ</w:t>
      </w:r>
      <w:r w:rsidRPr="00CF0A84">
        <w:rPr>
          <w:rFonts w:hint="cs"/>
          <w:rtl/>
        </w:rPr>
        <w:t>مة. آمل أن أحصل على فرصة تنقيح</w:t>
      </w:r>
      <w:r>
        <w:rPr>
          <w:rFonts w:hint="cs"/>
          <w:rtl/>
        </w:rPr>
        <w:t>ٍ</w:t>
      </w:r>
      <w:r w:rsidRPr="00CF0A84">
        <w:rPr>
          <w:rFonts w:hint="cs"/>
          <w:rtl/>
        </w:rPr>
        <w:t xml:space="preserve"> جديدة لسلسلة </w:t>
      </w:r>
      <w:r w:rsidRPr="00A32FC0">
        <w:rPr>
          <w:rFonts w:hint="cs"/>
          <w:rtl/>
        </w:rPr>
        <w:t>«</w:t>
      </w:r>
      <w:r w:rsidRPr="00CF0A84">
        <w:rPr>
          <w:rFonts w:hint="cs"/>
          <w:rtl/>
        </w:rPr>
        <w:t>الفكر السياسي في الإسلام</w:t>
      </w:r>
      <w:r w:rsidRPr="00A32FC0">
        <w:rPr>
          <w:rFonts w:hint="cs"/>
          <w:rtl/>
        </w:rPr>
        <w:t>»</w:t>
      </w:r>
      <w:r w:rsidRPr="00CF0A84">
        <w:rPr>
          <w:rFonts w:hint="cs"/>
          <w:rtl/>
        </w:rPr>
        <w:t xml:space="preserve"> متضمّ</w:t>
      </w:r>
      <w:r>
        <w:rPr>
          <w:rFonts w:hint="cs"/>
          <w:rtl/>
        </w:rPr>
        <w:t>ِ</w:t>
      </w:r>
      <w:r w:rsidRPr="00CF0A84">
        <w:rPr>
          <w:rFonts w:hint="cs"/>
          <w:rtl/>
        </w:rPr>
        <w:t>نةً المجل</w:t>
      </w:r>
      <w:r>
        <w:rPr>
          <w:rFonts w:hint="cs"/>
          <w:rtl/>
        </w:rPr>
        <w:t>َّ</w:t>
      </w:r>
      <w:r w:rsidRPr="00CF0A84">
        <w:rPr>
          <w:rFonts w:hint="cs"/>
          <w:rtl/>
        </w:rPr>
        <w:t>د الثالث.</w:t>
      </w:r>
    </w:p>
    <w:p w:rsidR="00EA09EB" w:rsidRPr="00CF0A84" w:rsidRDefault="00EA09EB" w:rsidP="00A97582">
      <w:pPr>
        <w:pStyle w:val="Normal84"/>
      </w:pPr>
      <w:r w:rsidRPr="00EA09EB">
        <w:rPr>
          <w:rFonts w:hint="cs"/>
          <w:rtl/>
        </w:rPr>
        <w:t>ومن ناحيةٍ أخرى يمثِّل عنوان «الحكومة التنصيبية» المجلَّد الثالث من سلسلة «الفكر السياسي في الإسلام» ـ والذي يمثِّل هذا الكتاب مجلَّده الثاني ـ، ولم تتمّ طباعته على الورق حتّى الآن</w:t>
      </w:r>
      <w:r w:rsidRPr="00064619">
        <w:rPr>
          <w:rFonts w:cs="Taher"/>
          <w:vertAlign w:val="superscript"/>
          <w:rtl/>
        </w:rPr>
        <w:t>(</w:t>
      </w:r>
      <w:r w:rsidRPr="00064619">
        <w:rPr>
          <w:rFonts w:cs="Taher"/>
          <w:vertAlign w:val="superscript"/>
          <w:rtl/>
        </w:rPr>
        <w:footnoteReference w:id="6"/>
      </w:r>
      <w:r w:rsidRPr="00064619">
        <w:rPr>
          <w:rFonts w:cs="Taher"/>
          <w:vertAlign w:val="superscript"/>
          <w:rtl/>
        </w:rPr>
        <w:t>)</w:t>
      </w:r>
      <w:r w:rsidRPr="00EA09EB">
        <w:rPr>
          <w:rFonts w:hint="cs"/>
          <w:rtl/>
        </w:rPr>
        <w:t>. كما أنّ الترجمة الإندونيسية والإنجليزية للحكومة الولائية على وَشْك الإنجاز</w:t>
      </w:r>
      <w:r w:rsidRPr="00064619">
        <w:rPr>
          <w:rFonts w:cs="Taher"/>
          <w:vertAlign w:val="superscript"/>
          <w:rtl/>
        </w:rPr>
        <w:t>(</w:t>
      </w:r>
      <w:r w:rsidRPr="00064619">
        <w:rPr>
          <w:rFonts w:cs="Taher"/>
          <w:vertAlign w:val="superscript"/>
          <w:rtl/>
        </w:rPr>
        <w:footnoteReference w:id="7"/>
      </w:r>
      <w:r w:rsidRPr="00064619">
        <w:rPr>
          <w:rFonts w:cs="Taher"/>
          <w:vertAlign w:val="superscript"/>
          <w:rtl/>
        </w:rPr>
        <w:t>)</w:t>
      </w:r>
      <w:r w:rsidRPr="00CF0A84">
        <w:rPr>
          <w:rFonts w:hint="cs"/>
          <w:rtl/>
        </w:rPr>
        <w:t>.</w:t>
      </w:r>
    </w:p>
    <w:p w:rsidR="00EA09EB" w:rsidRPr="00EA09EB" w:rsidRDefault="00EA09EB" w:rsidP="00A97582">
      <w:pPr>
        <w:pStyle w:val="Normal87"/>
        <w:rPr>
          <w:rtl/>
        </w:rPr>
      </w:pPr>
      <w:r w:rsidRPr="00CF0A84">
        <w:rPr>
          <w:rFonts w:hint="cs"/>
          <w:rtl/>
        </w:rPr>
        <w:t>لحسن الحظ</w:t>
      </w:r>
      <w:r>
        <w:rPr>
          <w:rFonts w:hint="cs"/>
          <w:rtl/>
        </w:rPr>
        <w:t>ّ</w:t>
      </w:r>
      <w:r w:rsidRPr="00CF0A84">
        <w:rPr>
          <w:rFonts w:hint="cs"/>
          <w:rtl/>
        </w:rPr>
        <w:t xml:space="preserve"> فقد تحوّل كتاب الحكومة الولائية ليكون منهجاً دراسياً على مستوى الدراسات التكميلية في حقل الحقوق العامة والعلوم السياسية في عدّة جامعات معتبرة. وفي هذه المناسبة أعب</w:t>
      </w:r>
      <w:r>
        <w:rPr>
          <w:rFonts w:hint="cs"/>
          <w:rtl/>
        </w:rPr>
        <w:t>ِّ</w:t>
      </w:r>
      <w:r w:rsidRPr="00CF0A84">
        <w:rPr>
          <w:rFonts w:hint="cs"/>
          <w:rtl/>
        </w:rPr>
        <w:t>ر عن عظيم شكري لله تعالى على هذه النعمة، وأتقد</w:t>
      </w:r>
      <w:r>
        <w:rPr>
          <w:rFonts w:hint="cs"/>
          <w:rtl/>
        </w:rPr>
        <w:t>َّ</w:t>
      </w:r>
      <w:r w:rsidRPr="00CF0A84">
        <w:rPr>
          <w:rFonts w:hint="cs"/>
          <w:rtl/>
        </w:rPr>
        <w:t>م بالثناء الجميل على الأساتذة الفضلاء الذين أحي</w:t>
      </w:r>
      <w:r>
        <w:rPr>
          <w:rFonts w:hint="cs"/>
          <w:rtl/>
        </w:rPr>
        <w:t>َ</w:t>
      </w:r>
      <w:r w:rsidRPr="00CF0A84">
        <w:rPr>
          <w:rFonts w:hint="cs"/>
          <w:rtl/>
        </w:rPr>
        <w:t>و</w:t>
      </w:r>
      <w:r>
        <w:rPr>
          <w:rFonts w:hint="cs"/>
          <w:rtl/>
        </w:rPr>
        <w:t>ْ</w:t>
      </w:r>
      <w:r w:rsidRPr="00CF0A84">
        <w:rPr>
          <w:rFonts w:hint="cs"/>
          <w:rtl/>
        </w:rPr>
        <w:t>ا بشجاعتهم س</w:t>
      </w:r>
      <w:r>
        <w:rPr>
          <w:rFonts w:hint="cs"/>
          <w:rtl/>
        </w:rPr>
        <w:t>ُ</w:t>
      </w:r>
      <w:r w:rsidRPr="00CF0A84">
        <w:rPr>
          <w:rFonts w:hint="cs"/>
          <w:rtl/>
        </w:rPr>
        <w:t>نّ</w:t>
      </w:r>
      <w:r>
        <w:rPr>
          <w:rFonts w:hint="cs"/>
          <w:rtl/>
        </w:rPr>
        <w:t>َ</w:t>
      </w:r>
      <w:r w:rsidRPr="00CF0A84">
        <w:rPr>
          <w:rFonts w:hint="cs"/>
          <w:rtl/>
        </w:rPr>
        <w:t>ة البحث والنقد العلمي. ولا يفوتني أن أذك</w:t>
      </w:r>
      <w:r>
        <w:rPr>
          <w:rFonts w:hint="cs"/>
          <w:rtl/>
        </w:rPr>
        <w:t>ِّ</w:t>
      </w:r>
      <w:r w:rsidRPr="00CF0A84">
        <w:rPr>
          <w:rFonts w:hint="cs"/>
          <w:rtl/>
        </w:rPr>
        <w:t xml:space="preserve">ر بأن عناية الفضلاء والشباب الطلاب في الحوزة العلمية قد شملت هذا الكتاب من خلال مباحثاتهم حول موضوع </w:t>
      </w:r>
      <w:r w:rsidRPr="00A32FC0">
        <w:rPr>
          <w:rFonts w:hint="cs"/>
          <w:rtl/>
        </w:rPr>
        <w:t>«</w:t>
      </w:r>
      <w:r w:rsidRPr="00CF0A84">
        <w:rPr>
          <w:rFonts w:hint="cs"/>
          <w:rtl/>
        </w:rPr>
        <w:t>ولاية الفقيه</w:t>
      </w:r>
      <w:r w:rsidRPr="00A32FC0">
        <w:rPr>
          <w:rFonts w:hint="cs"/>
          <w:rtl/>
        </w:rPr>
        <w:t>»</w:t>
      </w:r>
      <w:r w:rsidRPr="00CF0A84">
        <w:rPr>
          <w:rFonts w:hint="cs"/>
          <w:rtl/>
        </w:rPr>
        <w:t xml:space="preserve"> أيضاً. وإن</w:t>
      </w:r>
      <w:r>
        <w:rPr>
          <w:rFonts w:hint="cs"/>
          <w:rtl/>
        </w:rPr>
        <w:t>ّ</w:t>
      </w:r>
      <w:r w:rsidRPr="00CF0A84">
        <w:rPr>
          <w:rFonts w:hint="cs"/>
          <w:rtl/>
        </w:rPr>
        <w:t xml:space="preserve"> تواصل نشر الانتقادات ودراسة الكتاب</w:t>
      </w:r>
      <w:r w:rsidRPr="00064619">
        <w:rPr>
          <w:rFonts w:cs="Taher"/>
          <w:vertAlign w:val="superscript"/>
          <w:rtl/>
        </w:rPr>
        <w:t>(</w:t>
      </w:r>
      <w:r w:rsidRPr="00064619">
        <w:rPr>
          <w:rFonts w:cs="Taher"/>
          <w:vertAlign w:val="superscript"/>
          <w:rtl/>
        </w:rPr>
        <w:footnoteReference w:id="8"/>
      </w:r>
      <w:r w:rsidRPr="00064619">
        <w:rPr>
          <w:rFonts w:cs="Taher"/>
          <w:vertAlign w:val="superscript"/>
          <w:rtl/>
        </w:rPr>
        <w:t>)</w:t>
      </w:r>
      <w:r w:rsidRPr="00EA09EB">
        <w:rPr>
          <w:rFonts w:hint="cs"/>
          <w:rtl/>
        </w:rPr>
        <w:t xml:space="preserve"> يعبِّر عن حيوية الآراء المبحوثة والمطروحة لدى المخالفين. وأتمنّى أن تتمتَّع الحكومة الولائية ـ كما كان ـ بنعمة النقد.</w:t>
      </w:r>
    </w:p>
    <w:p w:rsidR="00EA09EB" w:rsidRPr="00CF0A84" w:rsidRDefault="00EA09EB" w:rsidP="00A97582">
      <w:pPr>
        <w:pStyle w:val="Normal84"/>
        <w:rPr>
          <w:rtl/>
        </w:rPr>
      </w:pPr>
      <w:r w:rsidRPr="00CF0A84">
        <w:rPr>
          <w:rFonts w:hint="cs"/>
          <w:rtl/>
        </w:rPr>
        <w:t>إن</w:t>
      </w:r>
      <w:r>
        <w:rPr>
          <w:rFonts w:hint="cs"/>
          <w:rtl/>
        </w:rPr>
        <w:t>ّ</w:t>
      </w:r>
      <w:r w:rsidRPr="00CF0A84">
        <w:rPr>
          <w:rFonts w:hint="cs"/>
          <w:rtl/>
        </w:rPr>
        <w:t xml:space="preserve"> كتاب الحكومة الولائية كتاب فن</w:t>
      </w:r>
      <w:r>
        <w:rPr>
          <w:rFonts w:hint="cs"/>
          <w:rtl/>
        </w:rPr>
        <w:t>ّ</w:t>
      </w:r>
      <w:r w:rsidRPr="00CF0A84">
        <w:rPr>
          <w:rFonts w:hint="cs"/>
          <w:rtl/>
        </w:rPr>
        <w:t>ي، وهو دقيق</w:t>
      </w:r>
      <w:r>
        <w:rPr>
          <w:rFonts w:hint="cs"/>
          <w:rtl/>
        </w:rPr>
        <w:t>ٌ</w:t>
      </w:r>
      <w:r w:rsidRPr="00CF0A84">
        <w:rPr>
          <w:rFonts w:hint="cs"/>
          <w:rtl/>
        </w:rPr>
        <w:t xml:space="preserve"> ومعق</w:t>
      </w:r>
      <w:r>
        <w:rPr>
          <w:rFonts w:hint="cs"/>
          <w:rtl/>
        </w:rPr>
        <w:t>َّ</w:t>
      </w:r>
      <w:r w:rsidRPr="00CF0A84">
        <w:rPr>
          <w:rFonts w:hint="cs"/>
          <w:rtl/>
        </w:rPr>
        <w:t>د من حيث حساسية موضوعه. ولذلك ننصح الذين يقر</w:t>
      </w:r>
      <w:r>
        <w:rPr>
          <w:rFonts w:hint="cs"/>
          <w:rtl/>
        </w:rPr>
        <w:t>ؤ</w:t>
      </w:r>
      <w:r w:rsidRPr="00CF0A84">
        <w:rPr>
          <w:rFonts w:hint="cs"/>
          <w:rtl/>
        </w:rPr>
        <w:t>ون الكتاب من غير ذوي الاختصاص أن يبدأوا بقراءة الفصل الحادي عشر والثاني عشر قبل الفصول الأخرى.</w:t>
      </w:r>
    </w:p>
    <w:p w:rsidR="00EA09EB" w:rsidRPr="00CF0A84" w:rsidRDefault="00EA09EB" w:rsidP="00A97582">
      <w:pPr>
        <w:pStyle w:val="Normal84"/>
        <w:rPr>
          <w:rtl/>
        </w:rPr>
      </w:pPr>
      <w:r w:rsidRPr="00CF0A84">
        <w:rPr>
          <w:rFonts w:hint="cs"/>
          <w:rtl/>
        </w:rPr>
        <w:t>وكما تقد</w:t>
      </w:r>
      <w:r>
        <w:rPr>
          <w:rFonts w:hint="cs"/>
          <w:rtl/>
        </w:rPr>
        <w:t>َّ</w:t>
      </w:r>
      <w:r w:rsidRPr="00CF0A84">
        <w:rPr>
          <w:rFonts w:hint="cs"/>
          <w:rtl/>
        </w:rPr>
        <w:t>م أن نوّ</w:t>
      </w:r>
      <w:r>
        <w:rPr>
          <w:rFonts w:hint="cs"/>
          <w:rtl/>
        </w:rPr>
        <w:t>َ</w:t>
      </w:r>
      <w:r w:rsidRPr="00CF0A84">
        <w:rPr>
          <w:rFonts w:hint="cs"/>
          <w:rtl/>
        </w:rPr>
        <w:t>هنا في المقد</w:t>
      </w:r>
      <w:r>
        <w:rPr>
          <w:rFonts w:hint="cs"/>
          <w:rtl/>
        </w:rPr>
        <w:t>ّ</w:t>
      </w:r>
      <w:r w:rsidRPr="00CF0A84">
        <w:rPr>
          <w:rFonts w:hint="cs"/>
          <w:rtl/>
        </w:rPr>
        <w:t>مة فإن</w:t>
      </w:r>
      <w:r>
        <w:rPr>
          <w:rFonts w:hint="cs"/>
          <w:rtl/>
        </w:rPr>
        <w:t>ّ</w:t>
      </w:r>
      <w:r w:rsidRPr="00CF0A84">
        <w:rPr>
          <w:rFonts w:hint="cs"/>
          <w:rtl/>
        </w:rPr>
        <w:t xml:space="preserve"> القسم الثالث من كتاب الحكومة الولائية الخاص</w:t>
      </w:r>
      <w:r>
        <w:rPr>
          <w:rFonts w:hint="cs"/>
          <w:rtl/>
        </w:rPr>
        <w:t>ّ</w:t>
      </w:r>
      <w:r w:rsidRPr="00CF0A84">
        <w:rPr>
          <w:rFonts w:hint="cs"/>
          <w:rtl/>
        </w:rPr>
        <w:t xml:space="preserve"> ببيان اللوازم والتبعات الحقوقية والسياسية والفقهية للولاية لم يُن</w:t>
      </w:r>
      <w:r>
        <w:rPr>
          <w:rFonts w:hint="cs"/>
          <w:rtl/>
        </w:rPr>
        <w:t>ْ</w:t>
      </w:r>
      <w:r w:rsidRPr="00CF0A84">
        <w:rPr>
          <w:rFonts w:hint="cs"/>
          <w:rtl/>
        </w:rPr>
        <w:t>ش</w:t>
      </w:r>
      <w:r>
        <w:rPr>
          <w:rFonts w:hint="cs"/>
          <w:rtl/>
        </w:rPr>
        <w:t>َ</w:t>
      </w:r>
      <w:r w:rsidRPr="00CF0A84">
        <w:rPr>
          <w:rFonts w:hint="cs"/>
          <w:rtl/>
        </w:rPr>
        <w:t>ر حت</w:t>
      </w:r>
      <w:r>
        <w:rPr>
          <w:rFonts w:hint="cs"/>
          <w:rtl/>
        </w:rPr>
        <w:t>ّ</w:t>
      </w:r>
      <w:r w:rsidRPr="00CF0A84">
        <w:rPr>
          <w:rFonts w:hint="cs"/>
          <w:rtl/>
        </w:rPr>
        <w:t>ى الآن، على أمل أن ترتفع الموانع</w:t>
      </w:r>
      <w:r>
        <w:rPr>
          <w:rFonts w:hint="cs"/>
          <w:rtl/>
        </w:rPr>
        <w:t>،</w:t>
      </w:r>
      <w:r w:rsidRPr="00CF0A84">
        <w:rPr>
          <w:rFonts w:hint="cs"/>
          <w:rtl/>
        </w:rPr>
        <w:t xml:space="preserve"> ونتمك</w:t>
      </w:r>
      <w:r>
        <w:rPr>
          <w:rFonts w:hint="cs"/>
          <w:rtl/>
        </w:rPr>
        <w:t>َّ</w:t>
      </w:r>
      <w:r w:rsidRPr="00CF0A84">
        <w:rPr>
          <w:rFonts w:hint="cs"/>
          <w:rtl/>
        </w:rPr>
        <w:t>ن من إخراج الكتاب إلى النور بنصّ</w:t>
      </w:r>
      <w:r>
        <w:rPr>
          <w:rFonts w:hint="cs"/>
          <w:rtl/>
        </w:rPr>
        <w:t>ِ</w:t>
      </w:r>
      <w:r w:rsidRPr="00CF0A84">
        <w:rPr>
          <w:rFonts w:hint="cs"/>
          <w:rtl/>
        </w:rPr>
        <w:t>ه الكامل. ويشتمل هذا الكتاب على تقييم الحكومة الولائي</w:t>
      </w:r>
      <w:r>
        <w:rPr>
          <w:rFonts w:hint="cs"/>
          <w:rtl/>
        </w:rPr>
        <w:t>ّ</w:t>
      </w:r>
      <w:r w:rsidRPr="00CF0A84">
        <w:rPr>
          <w:rFonts w:hint="cs"/>
          <w:rtl/>
        </w:rPr>
        <w:t>ة من خلال قواعد الحكومات الديم</w:t>
      </w:r>
      <w:r>
        <w:rPr>
          <w:rFonts w:hint="cs"/>
          <w:rtl/>
        </w:rPr>
        <w:t>و</w:t>
      </w:r>
      <w:r w:rsidRPr="00CF0A84">
        <w:rPr>
          <w:rFonts w:hint="cs"/>
          <w:rtl/>
        </w:rPr>
        <w:t>قراطية من جهة</w:t>
      </w:r>
      <w:r>
        <w:rPr>
          <w:rFonts w:hint="cs"/>
          <w:rtl/>
        </w:rPr>
        <w:t>،</w:t>
      </w:r>
      <w:r w:rsidRPr="00CF0A84">
        <w:rPr>
          <w:rFonts w:hint="cs"/>
          <w:rtl/>
        </w:rPr>
        <w:t xml:space="preserve"> وملاكات الحكومات الأوتوقراطية الدكتاتورية والاستبدادية من جهة</w:t>
      </w:r>
      <w:r>
        <w:rPr>
          <w:rFonts w:hint="cs"/>
          <w:rtl/>
        </w:rPr>
        <w:t>ٍ</w:t>
      </w:r>
      <w:r w:rsidRPr="00CF0A84">
        <w:rPr>
          <w:rFonts w:hint="cs"/>
          <w:rtl/>
        </w:rPr>
        <w:t xml:space="preserve"> أخرى. وهنا يجدر طرح السؤال ال</w:t>
      </w:r>
      <w:r>
        <w:rPr>
          <w:rFonts w:hint="cs"/>
          <w:rtl/>
        </w:rPr>
        <w:t>تالي</w:t>
      </w:r>
      <w:r w:rsidRPr="00CF0A84">
        <w:rPr>
          <w:rFonts w:hint="cs"/>
          <w:rtl/>
        </w:rPr>
        <w:t>: هل الحكومة الولائية منسجمة مع الديم</w:t>
      </w:r>
      <w:r>
        <w:rPr>
          <w:rFonts w:hint="cs"/>
          <w:rtl/>
        </w:rPr>
        <w:t>و</w:t>
      </w:r>
      <w:r w:rsidRPr="00CF0A84">
        <w:rPr>
          <w:rFonts w:hint="cs"/>
          <w:rtl/>
        </w:rPr>
        <w:t xml:space="preserve">قراطية الدينية؟ </w:t>
      </w:r>
      <w:r>
        <w:rPr>
          <w:rFonts w:hint="cs"/>
          <w:rtl/>
        </w:rPr>
        <w:t>من الو</w:t>
      </w:r>
      <w:r w:rsidRPr="00CF0A84">
        <w:rPr>
          <w:rFonts w:hint="cs"/>
          <w:rtl/>
        </w:rPr>
        <w:t>اضح أن إضافة صفات من قبيل: الدينية</w:t>
      </w:r>
      <w:r>
        <w:rPr>
          <w:rFonts w:hint="cs"/>
          <w:rtl/>
        </w:rPr>
        <w:t>،</w:t>
      </w:r>
      <w:r w:rsidRPr="00CF0A84">
        <w:rPr>
          <w:rFonts w:hint="cs"/>
          <w:rtl/>
        </w:rPr>
        <w:t xml:space="preserve"> والإسلامية</w:t>
      </w:r>
      <w:r>
        <w:rPr>
          <w:rFonts w:hint="cs"/>
          <w:rtl/>
        </w:rPr>
        <w:t>،</w:t>
      </w:r>
      <w:r w:rsidRPr="00CF0A84">
        <w:rPr>
          <w:rFonts w:hint="cs"/>
          <w:rtl/>
        </w:rPr>
        <w:t xml:space="preserve"> إلى الديم</w:t>
      </w:r>
      <w:r>
        <w:rPr>
          <w:rFonts w:hint="cs"/>
          <w:rtl/>
        </w:rPr>
        <w:t>و</w:t>
      </w:r>
      <w:r w:rsidRPr="00CF0A84">
        <w:rPr>
          <w:rFonts w:hint="cs"/>
          <w:rtl/>
        </w:rPr>
        <w:t>قراطية والجمهورية يقترن بالتقيّ</w:t>
      </w:r>
      <w:r>
        <w:rPr>
          <w:rFonts w:hint="cs"/>
          <w:rtl/>
        </w:rPr>
        <w:t>ُ</w:t>
      </w:r>
      <w:r w:rsidRPr="00CF0A84">
        <w:rPr>
          <w:rFonts w:hint="cs"/>
          <w:rtl/>
        </w:rPr>
        <w:t>د بالموازين الدينية والإسلامية، ولكن</w:t>
      </w:r>
      <w:r>
        <w:rPr>
          <w:rFonts w:hint="cs"/>
          <w:rtl/>
        </w:rPr>
        <w:t>ْ</w:t>
      </w:r>
      <w:r w:rsidRPr="00CF0A84">
        <w:rPr>
          <w:rFonts w:hint="cs"/>
          <w:rtl/>
        </w:rPr>
        <w:t xml:space="preserve"> لا يمكن لذلك أن ينجرّ إلى انتهاك وإلغاء ذاتي</w:t>
      </w:r>
      <w:r>
        <w:rPr>
          <w:rFonts w:hint="cs"/>
          <w:rtl/>
        </w:rPr>
        <w:t>ّ</w:t>
      </w:r>
      <w:r w:rsidRPr="00CF0A84">
        <w:rPr>
          <w:rFonts w:hint="cs"/>
          <w:rtl/>
        </w:rPr>
        <w:t>ات ومقو</w:t>
      </w:r>
      <w:r>
        <w:rPr>
          <w:rFonts w:hint="cs"/>
          <w:rtl/>
        </w:rPr>
        <w:t>ّ</w:t>
      </w:r>
      <w:r w:rsidRPr="00CF0A84">
        <w:rPr>
          <w:rFonts w:hint="cs"/>
          <w:rtl/>
        </w:rPr>
        <w:t>مات وعناصر الديم</w:t>
      </w:r>
      <w:r>
        <w:rPr>
          <w:rFonts w:hint="cs"/>
          <w:rtl/>
        </w:rPr>
        <w:t>و</w:t>
      </w:r>
      <w:r w:rsidRPr="00CF0A84">
        <w:rPr>
          <w:rFonts w:hint="cs"/>
          <w:rtl/>
        </w:rPr>
        <w:t>قراطية والجمهورية التي لا تنفك</w:t>
      </w:r>
      <w:r>
        <w:rPr>
          <w:rFonts w:hint="cs"/>
          <w:rtl/>
        </w:rPr>
        <w:t>ّ</w:t>
      </w:r>
      <w:r w:rsidRPr="00CF0A84">
        <w:rPr>
          <w:rFonts w:hint="cs"/>
          <w:rtl/>
        </w:rPr>
        <w:t xml:space="preserve"> عنهما. إن</w:t>
      </w:r>
      <w:r>
        <w:rPr>
          <w:rFonts w:hint="cs"/>
          <w:rtl/>
        </w:rPr>
        <w:t>ّ</w:t>
      </w:r>
      <w:r w:rsidRPr="00CF0A84">
        <w:rPr>
          <w:rFonts w:hint="cs"/>
          <w:rtl/>
        </w:rPr>
        <w:t xml:space="preserve"> الاعتقاد بتساوي المواطنين في تعيين مصيرهم السياسي، وضرورة مشاركتهم في الشؤون العام</w:t>
      </w:r>
      <w:r>
        <w:rPr>
          <w:rFonts w:hint="cs"/>
          <w:rtl/>
        </w:rPr>
        <w:t>ّ</w:t>
      </w:r>
      <w:r w:rsidRPr="00CF0A84">
        <w:rPr>
          <w:rFonts w:hint="cs"/>
          <w:rtl/>
        </w:rPr>
        <w:t>ة</w:t>
      </w:r>
      <w:r>
        <w:rPr>
          <w:rFonts w:hint="cs"/>
          <w:rtl/>
        </w:rPr>
        <w:t>،</w:t>
      </w:r>
      <w:r w:rsidRPr="00CF0A84">
        <w:rPr>
          <w:rFonts w:hint="cs"/>
          <w:rtl/>
        </w:rPr>
        <w:t xml:space="preserve"> </w:t>
      </w:r>
      <w:r>
        <w:rPr>
          <w:rFonts w:hint="cs"/>
          <w:rtl/>
        </w:rPr>
        <w:t>و</w:t>
      </w:r>
      <w:r w:rsidRPr="00CF0A84">
        <w:rPr>
          <w:rFonts w:hint="cs"/>
          <w:rtl/>
        </w:rPr>
        <w:t>لا سيّما في محور رسم السياسة العام</w:t>
      </w:r>
      <w:r>
        <w:rPr>
          <w:rFonts w:hint="cs"/>
          <w:rtl/>
        </w:rPr>
        <w:t>ّ</w:t>
      </w:r>
      <w:r w:rsidRPr="00CF0A84">
        <w:rPr>
          <w:rFonts w:hint="cs"/>
          <w:rtl/>
        </w:rPr>
        <w:t>ة وانتخاب المسؤولين في سلك الدولة</w:t>
      </w:r>
      <w:r>
        <w:rPr>
          <w:rFonts w:hint="cs"/>
          <w:rtl/>
        </w:rPr>
        <w:t>،</w:t>
      </w:r>
      <w:r w:rsidRPr="00CF0A84">
        <w:rPr>
          <w:rFonts w:hint="cs"/>
          <w:rtl/>
        </w:rPr>
        <w:t xml:space="preserve"> من أهم</w:t>
      </w:r>
      <w:r>
        <w:rPr>
          <w:rFonts w:hint="cs"/>
          <w:rtl/>
        </w:rPr>
        <w:t>ّ</w:t>
      </w:r>
      <w:r w:rsidRPr="00CF0A84">
        <w:rPr>
          <w:rFonts w:hint="cs"/>
          <w:rtl/>
        </w:rPr>
        <w:t xml:space="preserve"> قواعد الديم</w:t>
      </w:r>
      <w:r>
        <w:rPr>
          <w:rFonts w:hint="cs"/>
          <w:rtl/>
        </w:rPr>
        <w:t>و</w:t>
      </w:r>
      <w:r w:rsidRPr="00CF0A84">
        <w:rPr>
          <w:rFonts w:hint="cs"/>
          <w:rtl/>
        </w:rPr>
        <w:t>قراطية. وعلى هذا الأساس فإن</w:t>
      </w:r>
      <w:r>
        <w:rPr>
          <w:rFonts w:hint="cs"/>
          <w:rtl/>
        </w:rPr>
        <w:t>ّ</w:t>
      </w:r>
      <w:r w:rsidRPr="00CF0A84">
        <w:rPr>
          <w:rFonts w:hint="cs"/>
          <w:rtl/>
        </w:rPr>
        <w:t xml:space="preserve"> المساحة العام</w:t>
      </w:r>
      <w:r>
        <w:rPr>
          <w:rFonts w:hint="cs"/>
          <w:rtl/>
        </w:rPr>
        <w:t>ّ</w:t>
      </w:r>
      <w:r w:rsidRPr="00CF0A84">
        <w:rPr>
          <w:rFonts w:hint="cs"/>
          <w:rtl/>
        </w:rPr>
        <w:t>ة هي ملك الشعب، ولا يحق</w:t>
      </w:r>
      <w:r>
        <w:rPr>
          <w:rFonts w:hint="cs"/>
          <w:rtl/>
        </w:rPr>
        <w:t>ّ</w:t>
      </w:r>
      <w:r w:rsidRPr="00CF0A84">
        <w:rPr>
          <w:rFonts w:hint="cs"/>
          <w:rtl/>
        </w:rPr>
        <w:t xml:space="preserve"> لأحد</w:t>
      </w:r>
      <w:r>
        <w:rPr>
          <w:rFonts w:hint="cs"/>
          <w:rtl/>
        </w:rPr>
        <w:t>ٍ</w:t>
      </w:r>
      <w:r w:rsidRPr="00CF0A84">
        <w:rPr>
          <w:rFonts w:hint="cs"/>
          <w:rtl/>
        </w:rPr>
        <w:t xml:space="preserve"> أن يتصرّ</w:t>
      </w:r>
      <w:r>
        <w:rPr>
          <w:rFonts w:hint="cs"/>
          <w:rtl/>
        </w:rPr>
        <w:t>َ</w:t>
      </w:r>
      <w:r w:rsidRPr="00CF0A84">
        <w:rPr>
          <w:rFonts w:hint="cs"/>
          <w:rtl/>
        </w:rPr>
        <w:t>ف أو يتدخّ</w:t>
      </w:r>
      <w:r>
        <w:rPr>
          <w:rFonts w:hint="cs"/>
          <w:rtl/>
        </w:rPr>
        <w:t>َ</w:t>
      </w:r>
      <w:r w:rsidRPr="00CF0A84">
        <w:rPr>
          <w:rFonts w:hint="cs"/>
          <w:rtl/>
        </w:rPr>
        <w:t>ل فيها دون أخذ ال</w:t>
      </w:r>
      <w:r>
        <w:rPr>
          <w:rFonts w:hint="cs"/>
          <w:rtl/>
        </w:rPr>
        <w:t>إ</w:t>
      </w:r>
      <w:r w:rsidRPr="00CF0A84">
        <w:rPr>
          <w:rFonts w:hint="cs"/>
          <w:rtl/>
        </w:rPr>
        <w:t>ذن من الأكثرية</w:t>
      </w:r>
      <w:r>
        <w:rPr>
          <w:rFonts w:hint="cs"/>
          <w:rtl/>
        </w:rPr>
        <w:t>،</w:t>
      </w:r>
      <w:r w:rsidRPr="00CF0A84">
        <w:rPr>
          <w:rFonts w:hint="cs"/>
          <w:rtl/>
        </w:rPr>
        <w:t xml:space="preserve"> وكسب رضا الشعب. وإن</w:t>
      </w:r>
      <w:r>
        <w:rPr>
          <w:rFonts w:hint="cs"/>
          <w:rtl/>
        </w:rPr>
        <w:t>ّ</w:t>
      </w:r>
      <w:r w:rsidRPr="00CF0A84">
        <w:rPr>
          <w:rFonts w:hint="cs"/>
          <w:rtl/>
        </w:rPr>
        <w:t xml:space="preserve"> المسؤولين في إدارة الدولة إن</w:t>
      </w:r>
      <w:r>
        <w:rPr>
          <w:rFonts w:hint="cs"/>
          <w:rtl/>
        </w:rPr>
        <w:t>ّ</w:t>
      </w:r>
      <w:r w:rsidRPr="00CF0A84">
        <w:rPr>
          <w:rFonts w:hint="cs"/>
          <w:rtl/>
        </w:rPr>
        <w:t>ما هم مجرّ</w:t>
      </w:r>
      <w:r>
        <w:rPr>
          <w:rFonts w:hint="cs"/>
          <w:rtl/>
        </w:rPr>
        <w:t>َ</w:t>
      </w:r>
      <w:r w:rsidRPr="00CF0A84">
        <w:rPr>
          <w:rFonts w:hint="cs"/>
          <w:rtl/>
        </w:rPr>
        <w:t>د وكلاء من قبل أفراد الشعب، ويجب عليهم العمل ط</w:t>
      </w:r>
      <w:r>
        <w:rPr>
          <w:rFonts w:hint="cs"/>
          <w:rtl/>
        </w:rPr>
        <w:t>ِ</w:t>
      </w:r>
      <w:r w:rsidRPr="00CF0A84">
        <w:rPr>
          <w:rFonts w:hint="cs"/>
          <w:rtl/>
        </w:rPr>
        <w:t>ب</w:t>
      </w:r>
      <w:r>
        <w:rPr>
          <w:rFonts w:hint="cs"/>
          <w:rtl/>
        </w:rPr>
        <w:t>ْ</w:t>
      </w:r>
      <w:r w:rsidRPr="00CF0A84">
        <w:rPr>
          <w:rFonts w:hint="cs"/>
          <w:rtl/>
        </w:rPr>
        <w:t>ق مطالب م</w:t>
      </w:r>
      <w:r>
        <w:rPr>
          <w:rFonts w:hint="cs"/>
          <w:rtl/>
        </w:rPr>
        <w:t>َ</w:t>
      </w:r>
      <w:r w:rsidRPr="00CF0A84">
        <w:rPr>
          <w:rFonts w:hint="cs"/>
          <w:rtl/>
        </w:rPr>
        <w:t>ن</w:t>
      </w:r>
      <w:r>
        <w:rPr>
          <w:rFonts w:hint="cs"/>
          <w:rtl/>
        </w:rPr>
        <w:t>ْ</w:t>
      </w:r>
      <w:r w:rsidRPr="00CF0A84">
        <w:rPr>
          <w:rFonts w:hint="cs"/>
          <w:rtl/>
        </w:rPr>
        <w:t xml:space="preserve"> وك</w:t>
      </w:r>
      <w:r>
        <w:rPr>
          <w:rFonts w:hint="cs"/>
          <w:rtl/>
        </w:rPr>
        <w:t>َّ</w:t>
      </w:r>
      <w:r w:rsidRPr="00CF0A84">
        <w:rPr>
          <w:rFonts w:hint="cs"/>
          <w:rtl/>
        </w:rPr>
        <w:t>ل</w:t>
      </w:r>
      <w:r>
        <w:rPr>
          <w:rFonts w:hint="cs"/>
          <w:rtl/>
        </w:rPr>
        <w:t>َ</w:t>
      </w:r>
      <w:r w:rsidRPr="00CF0A84">
        <w:rPr>
          <w:rFonts w:hint="cs"/>
          <w:rtl/>
        </w:rPr>
        <w:t>هم. يمكن تطبيق الديم</w:t>
      </w:r>
      <w:r>
        <w:rPr>
          <w:rFonts w:hint="cs"/>
          <w:rtl/>
        </w:rPr>
        <w:t>و</w:t>
      </w:r>
      <w:r w:rsidRPr="00CF0A84">
        <w:rPr>
          <w:rFonts w:hint="cs"/>
          <w:rtl/>
        </w:rPr>
        <w:t>قراطية الدينية في المجتمع الذي تتأل</w:t>
      </w:r>
      <w:r>
        <w:rPr>
          <w:rFonts w:hint="cs"/>
          <w:rtl/>
        </w:rPr>
        <w:t>َّ</w:t>
      </w:r>
      <w:r w:rsidRPr="00CF0A84">
        <w:rPr>
          <w:rFonts w:hint="cs"/>
          <w:rtl/>
        </w:rPr>
        <w:t>ف غالبية أفراده من المتدي</w:t>
      </w:r>
      <w:r>
        <w:rPr>
          <w:rFonts w:hint="cs"/>
          <w:rtl/>
        </w:rPr>
        <w:t>ِّ</w:t>
      </w:r>
      <w:r w:rsidRPr="00CF0A84">
        <w:rPr>
          <w:rFonts w:hint="cs"/>
          <w:rtl/>
        </w:rPr>
        <w:t>نين الذين يطالبون بتطبيق الضوابط والأحكام الدينية في الدائرة العام</w:t>
      </w:r>
      <w:r>
        <w:rPr>
          <w:rFonts w:hint="cs"/>
          <w:rtl/>
        </w:rPr>
        <w:t>ّ</w:t>
      </w:r>
      <w:r w:rsidRPr="00CF0A84">
        <w:rPr>
          <w:rFonts w:hint="cs"/>
          <w:rtl/>
        </w:rPr>
        <w:t>ة، وما دام أكثر المواطنين ـ وبتبعهم المسؤولون في الدولة ـ ملتزمين بتطبيق الأحكام الدينية تكون هذه الديم</w:t>
      </w:r>
      <w:r>
        <w:rPr>
          <w:rFonts w:hint="cs"/>
          <w:rtl/>
        </w:rPr>
        <w:t>و</w:t>
      </w:r>
      <w:r w:rsidRPr="00CF0A84">
        <w:rPr>
          <w:rFonts w:hint="cs"/>
          <w:rtl/>
        </w:rPr>
        <w:t>قراطية قابلة</w:t>
      </w:r>
      <w:r>
        <w:rPr>
          <w:rFonts w:hint="cs"/>
          <w:rtl/>
        </w:rPr>
        <w:t>ً</w:t>
      </w:r>
      <w:r w:rsidRPr="00CF0A84">
        <w:rPr>
          <w:rFonts w:hint="cs"/>
          <w:rtl/>
        </w:rPr>
        <w:t xml:space="preserve"> للبقاء والاستمرار.</w:t>
      </w:r>
    </w:p>
    <w:p w:rsidR="00EA09EB" w:rsidRPr="00CF0A84" w:rsidRDefault="00EA09EB" w:rsidP="00A97582">
      <w:pPr>
        <w:rPr>
          <w:rtl/>
        </w:rPr>
      </w:pPr>
      <w:r w:rsidRPr="00CF0A84">
        <w:rPr>
          <w:rFonts w:hint="cs"/>
          <w:rtl/>
        </w:rPr>
        <w:t>في الحكومة الولائية لا يتدخ</w:t>
      </w:r>
      <w:r>
        <w:rPr>
          <w:rFonts w:hint="cs"/>
          <w:rtl/>
        </w:rPr>
        <w:t>َّ</w:t>
      </w:r>
      <w:r w:rsidRPr="00CF0A84">
        <w:rPr>
          <w:rFonts w:hint="cs"/>
          <w:rtl/>
        </w:rPr>
        <w:t>ل أفراد الشعب ـ الم</w:t>
      </w:r>
      <w:r>
        <w:rPr>
          <w:rFonts w:hint="cs"/>
          <w:rtl/>
        </w:rPr>
        <w:t>ُ</w:t>
      </w:r>
      <w:r w:rsidRPr="00CF0A84">
        <w:rPr>
          <w:rFonts w:hint="cs"/>
          <w:rtl/>
        </w:rPr>
        <w:t>و</w:t>
      </w:r>
      <w:r>
        <w:rPr>
          <w:rFonts w:hint="cs"/>
          <w:rtl/>
        </w:rPr>
        <w:t>َ</w:t>
      </w:r>
      <w:r w:rsidRPr="00CF0A84">
        <w:rPr>
          <w:rFonts w:hint="cs"/>
          <w:rtl/>
        </w:rPr>
        <w:t>لّ</w:t>
      </w:r>
      <w:r>
        <w:rPr>
          <w:rFonts w:hint="cs"/>
          <w:rtl/>
        </w:rPr>
        <w:t>َ</w:t>
      </w:r>
      <w:r w:rsidRPr="00CF0A84">
        <w:rPr>
          <w:rFonts w:hint="cs"/>
          <w:rtl/>
        </w:rPr>
        <w:t>ى عليهم ـ في إضفاء المشروعية على الحكومة. إن</w:t>
      </w:r>
      <w:r>
        <w:rPr>
          <w:rFonts w:hint="cs"/>
          <w:rtl/>
        </w:rPr>
        <w:t>ّ</w:t>
      </w:r>
      <w:r w:rsidRPr="00CF0A84">
        <w:rPr>
          <w:rFonts w:hint="cs"/>
          <w:rtl/>
        </w:rPr>
        <w:t xml:space="preserve"> الحقل العام</w:t>
      </w:r>
      <w:r>
        <w:rPr>
          <w:rFonts w:hint="cs"/>
          <w:rtl/>
        </w:rPr>
        <w:t>ّ</w:t>
      </w:r>
      <w:r w:rsidRPr="00CF0A84">
        <w:rPr>
          <w:rFonts w:hint="cs"/>
          <w:rtl/>
        </w:rPr>
        <w:t xml:space="preserve"> ليس من شأن الشعب، ولا يعدّ من </w:t>
      </w:r>
      <w:r w:rsidRPr="00A32FC0">
        <w:rPr>
          <w:rFonts w:hint="cs"/>
          <w:rtl/>
        </w:rPr>
        <w:t>«</w:t>
      </w:r>
      <w:r w:rsidRPr="00CF0A84">
        <w:rPr>
          <w:rFonts w:hint="cs"/>
          <w:rtl/>
        </w:rPr>
        <w:t>أمر الناس</w:t>
      </w:r>
      <w:r w:rsidRPr="00A32FC0">
        <w:rPr>
          <w:rFonts w:hint="cs"/>
          <w:rtl/>
        </w:rPr>
        <w:t>»</w:t>
      </w:r>
      <w:r>
        <w:rPr>
          <w:rFonts w:hint="cs"/>
          <w:rtl/>
        </w:rPr>
        <w:t>؛</w:t>
      </w:r>
      <w:r w:rsidRPr="00CF0A84">
        <w:rPr>
          <w:rFonts w:hint="cs"/>
          <w:rtl/>
        </w:rPr>
        <w:t xml:space="preserve"> كي يتمّ تسليم زمامه إليهم، والحصول على رضاهم فيه، بل هو داخل</w:t>
      </w:r>
      <w:r>
        <w:rPr>
          <w:rFonts w:hint="cs"/>
          <w:rtl/>
        </w:rPr>
        <w:t>ٌ</w:t>
      </w:r>
      <w:r w:rsidRPr="00CF0A84">
        <w:rPr>
          <w:rFonts w:hint="cs"/>
          <w:rtl/>
        </w:rPr>
        <w:t xml:space="preserve"> في </w:t>
      </w:r>
      <w:r w:rsidRPr="00A32FC0">
        <w:rPr>
          <w:rFonts w:hint="cs"/>
          <w:rtl/>
        </w:rPr>
        <w:t>«</w:t>
      </w:r>
      <w:r w:rsidRPr="00CF0A84">
        <w:rPr>
          <w:rFonts w:hint="cs"/>
          <w:rtl/>
        </w:rPr>
        <w:t>أمر الله</w:t>
      </w:r>
      <w:r w:rsidRPr="00A32FC0">
        <w:rPr>
          <w:rFonts w:hint="cs"/>
          <w:rtl/>
        </w:rPr>
        <w:t>»</w:t>
      </w:r>
      <w:r w:rsidRPr="00CF0A84">
        <w:rPr>
          <w:rFonts w:hint="cs"/>
          <w:rtl/>
        </w:rPr>
        <w:t>، فهي منطقة</w:t>
      </w:r>
      <w:r>
        <w:rPr>
          <w:rFonts w:hint="cs"/>
          <w:rtl/>
        </w:rPr>
        <w:t>ٌ</w:t>
      </w:r>
      <w:r w:rsidRPr="00CF0A84">
        <w:rPr>
          <w:rFonts w:hint="cs"/>
          <w:rtl/>
        </w:rPr>
        <w:t xml:space="preserve"> يجب على الشارع أن يتول</w:t>
      </w:r>
      <w:r>
        <w:rPr>
          <w:rFonts w:hint="cs"/>
          <w:rtl/>
        </w:rPr>
        <w:t>ّ</w:t>
      </w:r>
      <w:r w:rsidRPr="00CF0A84">
        <w:rPr>
          <w:rFonts w:hint="cs"/>
          <w:rtl/>
        </w:rPr>
        <w:t>ى هو طريقة إدارتها وتدبير أمرها</w:t>
      </w:r>
      <w:r>
        <w:rPr>
          <w:rFonts w:hint="cs"/>
          <w:rtl/>
        </w:rPr>
        <w:t>،</w:t>
      </w:r>
      <w:r w:rsidRPr="00CF0A84">
        <w:rPr>
          <w:rFonts w:hint="cs"/>
          <w:rtl/>
        </w:rPr>
        <w:t xml:space="preserve"> وقد ترك الشارع أمر هذه المنطقة إلى الفقهاء. وعلى هذا الأساس يتمّ حظر كل</w:t>
      </w:r>
      <w:r>
        <w:rPr>
          <w:rFonts w:hint="cs"/>
          <w:rtl/>
        </w:rPr>
        <w:t>ّ</w:t>
      </w:r>
      <w:r w:rsidRPr="00CF0A84">
        <w:rPr>
          <w:rFonts w:hint="cs"/>
          <w:rtl/>
        </w:rPr>
        <w:t xml:space="preserve"> نوع</w:t>
      </w:r>
      <w:r>
        <w:rPr>
          <w:rFonts w:hint="cs"/>
          <w:rtl/>
        </w:rPr>
        <w:t>ٍ</w:t>
      </w:r>
      <w:r w:rsidRPr="00CF0A84">
        <w:rPr>
          <w:rFonts w:hint="cs"/>
          <w:rtl/>
        </w:rPr>
        <w:t xml:space="preserve"> من أنواع التدخ</w:t>
      </w:r>
      <w:r>
        <w:rPr>
          <w:rFonts w:hint="cs"/>
          <w:rtl/>
        </w:rPr>
        <w:t>ُّ</w:t>
      </w:r>
      <w:r w:rsidRPr="00CF0A84">
        <w:rPr>
          <w:rFonts w:hint="cs"/>
          <w:rtl/>
        </w:rPr>
        <w:t>ل والتصرّ</w:t>
      </w:r>
      <w:r>
        <w:rPr>
          <w:rFonts w:hint="cs"/>
          <w:rtl/>
        </w:rPr>
        <w:t>ُ</w:t>
      </w:r>
      <w:r w:rsidRPr="00CF0A84">
        <w:rPr>
          <w:rFonts w:hint="cs"/>
          <w:rtl/>
        </w:rPr>
        <w:t>ف في هذا الشأن العام</w:t>
      </w:r>
      <w:r>
        <w:rPr>
          <w:rFonts w:hint="cs"/>
          <w:rtl/>
        </w:rPr>
        <w:t>ّ</w:t>
      </w:r>
      <w:r w:rsidRPr="00CF0A84">
        <w:rPr>
          <w:rFonts w:hint="cs"/>
          <w:rtl/>
        </w:rPr>
        <w:t xml:space="preserve"> دون إذن سابق أو لاحق من </w:t>
      </w:r>
      <w:r w:rsidRPr="00A32FC0">
        <w:rPr>
          <w:rFonts w:hint="cs"/>
          <w:rtl/>
        </w:rPr>
        <w:t>«</w:t>
      </w:r>
      <w:r w:rsidRPr="00CF0A84">
        <w:rPr>
          <w:rFonts w:hint="cs"/>
          <w:rtl/>
        </w:rPr>
        <w:t>ولي</w:t>
      </w:r>
      <w:r>
        <w:rPr>
          <w:rFonts w:hint="cs"/>
          <w:rtl/>
        </w:rPr>
        <w:t>ّ</w:t>
      </w:r>
      <w:r w:rsidRPr="00CF0A84">
        <w:rPr>
          <w:rFonts w:hint="cs"/>
          <w:rtl/>
        </w:rPr>
        <w:t xml:space="preserve"> الأمر</w:t>
      </w:r>
      <w:r w:rsidRPr="00A32FC0">
        <w:rPr>
          <w:rFonts w:hint="cs"/>
          <w:rtl/>
        </w:rPr>
        <w:t>»</w:t>
      </w:r>
      <w:r w:rsidRPr="00CF0A84">
        <w:rPr>
          <w:rFonts w:hint="cs"/>
          <w:rtl/>
        </w:rPr>
        <w:t>. إن</w:t>
      </w:r>
      <w:r>
        <w:rPr>
          <w:rFonts w:hint="cs"/>
          <w:rtl/>
        </w:rPr>
        <w:t>ّ</w:t>
      </w:r>
      <w:r w:rsidRPr="00CF0A84">
        <w:rPr>
          <w:rFonts w:hint="cs"/>
          <w:rtl/>
        </w:rPr>
        <w:t xml:space="preserve"> القائد هو ولي</w:t>
      </w:r>
      <w:r>
        <w:rPr>
          <w:rFonts w:hint="cs"/>
          <w:rtl/>
        </w:rPr>
        <w:t>ّ</w:t>
      </w:r>
      <w:r w:rsidRPr="00CF0A84">
        <w:rPr>
          <w:rFonts w:hint="cs"/>
          <w:rtl/>
        </w:rPr>
        <w:t xml:space="preserve"> أمر الناس</w:t>
      </w:r>
      <w:r>
        <w:rPr>
          <w:rFonts w:hint="cs"/>
          <w:rtl/>
        </w:rPr>
        <w:t>،</w:t>
      </w:r>
      <w:r w:rsidRPr="00CF0A84">
        <w:rPr>
          <w:rFonts w:hint="cs"/>
          <w:rtl/>
        </w:rPr>
        <w:t xml:space="preserve"> وليس مجرّ</w:t>
      </w:r>
      <w:r>
        <w:rPr>
          <w:rFonts w:hint="cs"/>
          <w:rtl/>
        </w:rPr>
        <w:t>َ</w:t>
      </w:r>
      <w:r w:rsidRPr="00CF0A84">
        <w:rPr>
          <w:rFonts w:hint="cs"/>
          <w:rtl/>
        </w:rPr>
        <w:t>د وكيل</w:t>
      </w:r>
      <w:r>
        <w:rPr>
          <w:rFonts w:hint="cs"/>
          <w:rtl/>
        </w:rPr>
        <w:t>ٍ</w:t>
      </w:r>
      <w:r w:rsidRPr="00CF0A84">
        <w:rPr>
          <w:rFonts w:hint="cs"/>
          <w:rtl/>
        </w:rPr>
        <w:t xml:space="preserve"> من ق</w:t>
      </w:r>
      <w:r>
        <w:rPr>
          <w:rFonts w:hint="cs"/>
          <w:rtl/>
        </w:rPr>
        <w:t>ِ</w:t>
      </w:r>
      <w:r w:rsidRPr="00CF0A84">
        <w:rPr>
          <w:rFonts w:hint="cs"/>
          <w:rtl/>
        </w:rPr>
        <w:t>ب</w:t>
      </w:r>
      <w:r>
        <w:rPr>
          <w:rFonts w:hint="cs"/>
          <w:rtl/>
        </w:rPr>
        <w:t>َ</w:t>
      </w:r>
      <w:r w:rsidRPr="00CF0A84">
        <w:rPr>
          <w:rFonts w:hint="cs"/>
          <w:rtl/>
        </w:rPr>
        <w:t>لهم. وعلى هذا الأساس لا يحظى أي</w:t>
      </w:r>
      <w:r>
        <w:rPr>
          <w:rFonts w:hint="cs"/>
          <w:rtl/>
        </w:rPr>
        <w:t>ّ</w:t>
      </w:r>
      <w:r w:rsidRPr="00CF0A84">
        <w:rPr>
          <w:rFonts w:hint="cs"/>
          <w:rtl/>
        </w:rPr>
        <w:t xml:space="preserve"> قانون بالاعتبار من دون مصادقة الولي</w:t>
      </w:r>
      <w:r>
        <w:rPr>
          <w:rFonts w:hint="cs"/>
          <w:rtl/>
        </w:rPr>
        <w:t>ّ</w:t>
      </w:r>
      <w:r w:rsidRPr="00CF0A84">
        <w:rPr>
          <w:rFonts w:hint="cs"/>
          <w:rtl/>
        </w:rPr>
        <w:t xml:space="preserve"> الفقيه</w:t>
      </w:r>
      <w:r>
        <w:rPr>
          <w:rFonts w:hint="cs"/>
          <w:rtl/>
        </w:rPr>
        <w:t>،</w:t>
      </w:r>
      <w:r w:rsidRPr="00CF0A84">
        <w:rPr>
          <w:rFonts w:hint="cs"/>
          <w:rtl/>
        </w:rPr>
        <w:t xml:space="preserve"> أو المنصوبين من ق</w:t>
      </w:r>
      <w:r>
        <w:rPr>
          <w:rFonts w:hint="cs"/>
          <w:rtl/>
        </w:rPr>
        <w:t>ِ</w:t>
      </w:r>
      <w:r w:rsidRPr="00CF0A84">
        <w:rPr>
          <w:rFonts w:hint="cs"/>
          <w:rtl/>
        </w:rPr>
        <w:t>ب</w:t>
      </w:r>
      <w:r>
        <w:rPr>
          <w:rFonts w:hint="cs"/>
          <w:rtl/>
        </w:rPr>
        <w:t>َ</w:t>
      </w:r>
      <w:r w:rsidRPr="00CF0A84">
        <w:rPr>
          <w:rFonts w:hint="cs"/>
          <w:rtl/>
        </w:rPr>
        <w:t>له. كما أن</w:t>
      </w:r>
      <w:r>
        <w:rPr>
          <w:rFonts w:hint="cs"/>
          <w:rtl/>
        </w:rPr>
        <w:t>ّ</w:t>
      </w:r>
      <w:r w:rsidRPr="00CF0A84">
        <w:rPr>
          <w:rFonts w:hint="cs"/>
          <w:rtl/>
        </w:rPr>
        <w:t xml:space="preserve"> أيّ مسؤول</w:t>
      </w:r>
      <w:r>
        <w:rPr>
          <w:rFonts w:hint="cs"/>
          <w:rtl/>
        </w:rPr>
        <w:t>ٍ</w:t>
      </w:r>
      <w:r w:rsidRPr="00CF0A84">
        <w:rPr>
          <w:rFonts w:hint="cs"/>
          <w:rtl/>
        </w:rPr>
        <w:t xml:space="preserve"> ـ حت</w:t>
      </w:r>
      <w:r>
        <w:rPr>
          <w:rFonts w:hint="cs"/>
          <w:rtl/>
        </w:rPr>
        <w:t>ّ</w:t>
      </w:r>
      <w:r w:rsidRPr="00CF0A84">
        <w:rPr>
          <w:rFonts w:hint="cs"/>
          <w:rtl/>
        </w:rPr>
        <w:t>ى وإن</w:t>
      </w:r>
      <w:r>
        <w:rPr>
          <w:rFonts w:hint="cs"/>
          <w:rtl/>
        </w:rPr>
        <w:t>ْ</w:t>
      </w:r>
      <w:r w:rsidRPr="00CF0A84">
        <w:rPr>
          <w:rFonts w:hint="cs"/>
          <w:rtl/>
        </w:rPr>
        <w:t xml:space="preserve"> كان منت</w:t>
      </w:r>
      <w:r>
        <w:rPr>
          <w:rFonts w:hint="cs"/>
          <w:rtl/>
        </w:rPr>
        <w:t>َ</w:t>
      </w:r>
      <w:r w:rsidRPr="00CF0A84">
        <w:rPr>
          <w:rFonts w:hint="cs"/>
          <w:rtl/>
        </w:rPr>
        <w:t>خ</w:t>
      </w:r>
      <w:r>
        <w:rPr>
          <w:rFonts w:hint="cs"/>
          <w:rtl/>
        </w:rPr>
        <w:t>َ</w:t>
      </w:r>
      <w:r w:rsidRPr="00CF0A84">
        <w:rPr>
          <w:rFonts w:hint="cs"/>
          <w:rtl/>
        </w:rPr>
        <w:t>باً من جميع أفراد الشعب ـ لا يمكن له أن يحصل على الشرعي</w:t>
      </w:r>
      <w:r>
        <w:rPr>
          <w:rFonts w:hint="cs"/>
          <w:rtl/>
        </w:rPr>
        <w:t>ّ</w:t>
      </w:r>
      <w:r w:rsidRPr="00CF0A84">
        <w:rPr>
          <w:rFonts w:hint="cs"/>
          <w:rtl/>
        </w:rPr>
        <w:t>ة دون المصادقة عليه وإقراره من ق</w:t>
      </w:r>
      <w:r>
        <w:rPr>
          <w:rFonts w:hint="cs"/>
          <w:rtl/>
        </w:rPr>
        <w:t>ِ</w:t>
      </w:r>
      <w:r w:rsidRPr="00CF0A84">
        <w:rPr>
          <w:rFonts w:hint="cs"/>
          <w:rtl/>
        </w:rPr>
        <w:t>ب</w:t>
      </w:r>
      <w:r>
        <w:rPr>
          <w:rFonts w:hint="cs"/>
          <w:rtl/>
        </w:rPr>
        <w:t>َ</w:t>
      </w:r>
      <w:r w:rsidRPr="00CF0A84">
        <w:rPr>
          <w:rFonts w:hint="cs"/>
          <w:rtl/>
        </w:rPr>
        <w:t>ل ولي</w:t>
      </w:r>
      <w:r>
        <w:rPr>
          <w:rFonts w:hint="cs"/>
          <w:rtl/>
        </w:rPr>
        <w:t>ّ</w:t>
      </w:r>
      <w:r w:rsidRPr="00CF0A84">
        <w:rPr>
          <w:rFonts w:hint="cs"/>
          <w:rtl/>
        </w:rPr>
        <w:t xml:space="preserve"> الأمر. فالناس هم الذين يتعيّ</w:t>
      </w:r>
      <w:r>
        <w:rPr>
          <w:rFonts w:hint="cs"/>
          <w:rtl/>
        </w:rPr>
        <w:t>َ</w:t>
      </w:r>
      <w:r w:rsidRPr="00CF0A84">
        <w:rPr>
          <w:rFonts w:hint="cs"/>
          <w:rtl/>
        </w:rPr>
        <w:t>ن عليهم في الشأن العام</w:t>
      </w:r>
      <w:r>
        <w:rPr>
          <w:rFonts w:hint="cs"/>
          <w:rtl/>
        </w:rPr>
        <w:t>ّ</w:t>
      </w:r>
      <w:r w:rsidRPr="00CF0A84">
        <w:rPr>
          <w:rFonts w:hint="cs"/>
          <w:rtl/>
        </w:rPr>
        <w:t xml:space="preserve"> أن يتناغموا مع رأي الولي</w:t>
      </w:r>
      <w:r>
        <w:rPr>
          <w:rFonts w:hint="cs"/>
          <w:rtl/>
        </w:rPr>
        <w:t>ّ</w:t>
      </w:r>
      <w:r w:rsidRPr="00CF0A84">
        <w:rPr>
          <w:rFonts w:hint="cs"/>
          <w:rtl/>
        </w:rPr>
        <w:t xml:space="preserve"> الفقيه وإرادته، لا أن يكون ولي</w:t>
      </w:r>
      <w:r>
        <w:rPr>
          <w:rFonts w:hint="cs"/>
          <w:rtl/>
        </w:rPr>
        <w:t>ّ</w:t>
      </w:r>
      <w:r w:rsidRPr="00CF0A84">
        <w:rPr>
          <w:rFonts w:hint="cs"/>
          <w:rtl/>
        </w:rPr>
        <w:t xml:space="preserve"> الأمر هو المن</w:t>
      </w:r>
      <w:r>
        <w:rPr>
          <w:rFonts w:hint="cs"/>
          <w:rtl/>
        </w:rPr>
        <w:t>ْ</w:t>
      </w:r>
      <w:r w:rsidRPr="00CF0A84">
        <w:rPr>
          <w:rFonts w:hint="cs"/>
          <w:rtl/>
        </w:rPr>
        <w:t>س</w:t>
      </w:r>
      <w:r>
        <w:rPr>
          <w:rFonts w:hint="cs"/>
          <w:rtl/>
        </w:rPr>
        <w:t>َ</w:t>
      </w:r>
      <w:r w:rsidRPr="00CF0A84">
        <w:rPr>
          <w:rFonts w:hint="cs"/>
          <w:rtl/>
        </w:rPr>
        <w:t>ج</w:t>
      </w:r>
      <w:r>
        <w:rPr>
          <w:rFonts w:hint="cs"/>
          <w:rtl/>
        </w:rPr>
        <w:t>ِ</w:t>
      </w:r>
      <w:r w:rsidRPr="00CF0A84">
        <w:rPr>
          <w:rFonts w:hint="cs"/>
          <w:rtl/>
        </w:rPr>
        <w:t>م مع الإرادة الشعبي</w:t>
      </w:r>
      <w:r>
        <w:rPr>
          <w:rFonts w:hint="cs"/>
          <w:rtl/>
        </w:rPr>
        <w:t>ّ</w:t>
      </w:r>
      <w:r w:rsidRPr="00CF0A84">
        <w:rPr>
          <w:rFonts w:hint="cs"/>
          <w:rtl/>
        </w:rPr>
        <w:t>ة والوطنية. والسلام.</w:t>
      </w:r>
    </w:p>
    <w:p w:rsidR="00EA09EB" w:rsidRPr="00CF0A84" w:rsidRDefault="00EA09EB" w:rsidP="00EA09EB">
      <w:pPr>
        <w:jc w:val="center"/>
        <w:rPr>
          <w:rFonts w:cs="Abz-1 (Lotus)"/>
          <w:sz w:val="32"/>
          <w:szCs w:val="32"/>
          <w:lang w:bidi="ar-LB"/>
        </w:rPr>
      </w:pPr>
      <w:r w:rsidRPr="00CF0A84">
        <w:rPr>
          <w:rFonts w:cs="Abz-1 (Lotus)" w:hint="cs"/>
          <w:sz w:val="32"/>
          <w:szCs w:val="32"/>
          <w:rtl/>
          <w:lang w:bidi="ar-LB"/>
        </w:rPr>
        <w:t>* * *</w:t>
      </w:r>
    </w:p>
    <w:p w:rsidR="00064619" w:rsidRDefault="00EA09EB" w:rsidP="00064619">
      <w:r w:rsidRPr="00EA09EB">
        <w:rPr>
          <w:rtl/>
        </w:rPr>
        <w:br w:type="page"/>
      </w:r>
    </w:p>
    <w:p w:rsidR="00064619" w:rsidRDefault="00064619" w:rsidP="00064619">
      <w:pPr>
        <w:rPr>
          <w:rtl/>
        </w:rPr>
        <w:sectPr w:rsidR="00064619" w:rsidSect="009003FC">
          <w:headerReference w:type="first" r:id="rId13"/>
          <w:footnotePr>
            <w:numRestart w:val="eachPage"/>
          </w:footnotePr>
          <w:type w:val="oddPage"/>
          <w:pgSz w:w="11907" w:h="16840" w:code="9"/>
          <w:pgMar w:top="2835" w:right="2552" w:bottom="3232" w:left="2552" w:header="2268" w:footer="1106" w:gutter="0"/>
          <w:cols w:space="720"/>
          <w:titlePg/>
          <w:docGrid w:linePitch="360"/>
        </w:sectPr>
      </w:pPr>
    </w:p>
    <w:p w:rsidR="00064619" w:rsidRDefault="00064619" w:rsidP="00064619">
      <w:pPr>
        <w:rPr>
          <w:rtl/>
        </w:rPr>
      </w:pPr>
    </w:p>
    <w:p w:rsidR="00064619" w:rsidRDefault="00064619" w:rsidP="00064619">
      <w:pPr>
        <w:rPr>
          <w:rtl/>
        </w:rPr>
      </w:pPr>
    </w:p>
    <w:p w:rsidR="00064619" w:rsidRDefault="00064619" w:rsidP="00064619">
      <w:pPr>
        <w:rPr>
          <w:rtl/>
        </w:rPr>
      </w:pPr>
    </w:p>
    <w:p w:rsidR="00064619" w:rsidRDefault="00064619" w:rsidP="00A97582"/>
    <w:p w:rsidR="00EA09EB" w:rsidRPr="00884429" w:rsidRDefault="00EA09EB" w:rsidP="00064619">
      <w:pPr>
        <w:pStyle w:val="Heading2"/>
        <w:jc w:val="center"/>
        <w:rPr>
          <w:rtl/>
          <w:lang w:bidi="ar-LB"/>
        </w:rPr>
      </w:pPr>
      <w:bookmarkStart w:id="28" w:name="_Toc413658812"/>
      <w:r w:rsidRPr="00884429">
        <w:rPr>
          <w:rFonts w:hint="cs"/>
          <w:rtl/>
          <w:lang w:bidi="ar-LB"/>
        </w:rPr>
        <w:t>المقدم</w:t>
      </w:r>
      <w:r w:rsidRPr="00064619">
        <w:rPr>
          <w:rFonts w:hint="cs"/>
          <w:rtl/>
        </w:rPr>
        <w:t>ة</w:t>
      </w:r>
      <w:bookmarkEnd w:id="28"/>
    </w:p>
    <w:p w:rsidR="00EA09EB" w:rsidRPr="00884429" w:rsidRDefault="00EA09EB" w:rsidP="00EA09EB">
      <w:pPr>
        <w:jc w:val="center"/>
        <w:rPr>
          <w:rFonts w:cs="Abz-1 (Lotus)"/>
          <w:b/>
          <w:bCs/>
          <w:sz w:val="32"/>
          <w:szCs w:val="32"/>
          <w:rtl/>
          <w:lang w:bidi="ar-LB"/>
        </w:rPr>
      </w:pPr>
      <w:r w:rsidRPr="00884429">
        <w:rPr>
          <w:rFonts w:cs="Abz-1 (Lotus)" w:hint="cs"/>
          <w:b/>
          <w:bCs/>
          <w:sz w:val="32"/>
          <w:szCs w:val="32"/>
          <w:rtl/>
          <w:lang w:bidi="ar-LB"/>
        </w:rPr>
        <w:t>بسم الله الرحمن الرحيم</w:t>
      </w:r>
    </w:p>
    <w:p w:rsidR="00EA09EB" w:rsidRPr="00CF0A84" w:rsidRDefault="00EA09EB" w:rsidP="00EA09EB">
      <w:pPr>
        <w:rPr>
          <w:rtl/>
          <w:lang w:bidi="ar-LB"/>
        </w:rPr>
      </w:pPr>
      <w:r w:rsidRPr="00CF0A84">
        <w:rPr>
          <w:rFonts w:hint="cs"/>
          <w:rtl/>
          <w:lang w:bidi="ar-LB"/>
        </w:rPr>
        <w:t>الحمد لله ربّ العالمين، وصل</w:t>
      </w:r>
      <w:r>
        <w:rPr>
          <w:rFonts w:hint="cs"/>
          <w:rtl/>
          <w:lang w:bidi="ar-LB"/>
        </w:rPr>
        <w:t>ّ</w:t>
      </w:r>
      <w:r w:rsidRPr="00CF0A84">
        <w:rPr>
          <w:rFonts w:hint="cs"/>
          <w:rtl/>
          <w:lang w:bidi="ar-LB"/>
        </w:rPr>
        <w:t>ى الله على خاتم أنبيائه محم</w:t>
      </w:r>
      <w:r>
        <w:rPr>
          <w:rFonts w:hint="cs"/>
          <w:rtl/>
          <w:lang w:bidi="ar-LB"/>
        </w:rPr>
        <w:t>ّ</w:t>
      </w:r>
      <w:r w:rsidRPr="00CF0A84">
        <w:rPr>
          <w:rFonts w:hint="cs"/>
          <w:rtl/>
          <w:lang w:bidi="ar-LB"/>
        </w:rPr>
        <w:t>د وآله الأطهار.</w:t>
      </w:r>
    </w:p>
    <w:p w:rsidR="00B5080E" w:rsidRDefault="00B5080E" w:rsidP="00B5080E">
      <w:pPr>
        <w:rPr>
          <w:rtl/>
          <w:lang w:bidi="ar-LB"/>
        </w:rPr>
      </w:pPr>
    </w:p>
    <w:p w:rsidR="00EA09EB" w:rsidRPr="00884429" w:rsidRDefault="00EA09EB" w:rsidP="00B5080E">
      <w:pPr>
        <w:pStyle w:val="Heading3"/>
        <w:rPr>
          <w:rtl/>
          <w:lang w:bidi="ar-LB"/>
        </w:rPr>
      </w:pPr>
      <w:r w:rsidRPr="00884429">
        <w:rPr>
          <w:rFonts w:hint="cs"/>
          <w:rtl/>
          <w:lang w:bidi="ar-LB"/>
        </w:rPr>
        <w:t>تم</w:t>
      </w:r>
      <w:r w:rsidRPr="00064619">
        <w:rPr>
          <w:rFonts w:hint="cs"/>
          <w:rtl/>
        </w:rPr>
        <w:t>هي</w:t>
      </w:r>
      <w:r w:rsidRPr="00B5080E">
        <w:rPr>
          <w:rFonts w:hint="cs"/>
          <w:rtl/>
        </w:rPr>
        <w:t>د</w:t>
      </w:r>
    </w:p>
    <w:p w:rsidR="00EA09EB" w:rsidRPr="00CF0A84" w:rsidRDefault="00EA09EB" w:rsidP="00EA09EB">
      <w:pPr>
        <w:rPr>
          <w:rtl/>
          <w:lang w:bidi="ar-LB"/>
        </w:rPr>
      </w:pPr>
      <w:r w:rsidRPr="00A32FC0">
        <w:rPr>
          <w:rFonts w:hint="cs"/>
          <w:rtl/>
          <w:lang w:bidi="ar-LB"/>
        </w:rPr>
        <w:t>ما المراد من الولاية؟ وبأيّ معنى</w:t>
      </w:r>
      <w:r>
        <w:rPr>
          <w:rFonts w:hint="cs"/>
          <w:rtl/>
          <w:lang w:bidi="ar-LB"/>
        </w:rPr>
        <w:t>ً</w:t>
      </w:r>
      <w:r w:rsidRPr="00A32FC0">
        <w:rPr>
          <w:rFonts w:hint="cs"/>
          <w:rtl/>
          <w:lang w:bidi="ar-LB"/>
        </w:rPr>
        <w:t xml:space="preserve"> استعملت في القرآن والسنّة؟ وماذا أراد المتكلِّمون والمفسِّرون، وخاصّة الفقهاء، من معناها؟ وما هي الحكومة التي يطلق عليها «الحكومة الولائية»؟ وبماذا تتميز الحكومة الولائية عن غيرها من الحكومات؟ وهل يراد «بالولاية» ولاية الفقيه؟ وهل الحكومة الولائية هي الولاية العرفانية، أم أنّ المقصود منها الولاية العقائدية وولاية أهل البيت؟ وهل تعدّ ولاية الفقيه من أصول الدين الاعتقادية وأركان المذهب أم هي مجرّد مسألة كلامية بحتة؟ وهل تعدّ ولاية الفقيه من الأوّليات والبديهيات العقلية؟ وهل هي ضرورةٌ من ضروريات الدين أم من ضروريات المذهب؟ ثم هل تعدّ هذه الولاية ضرورة فقهية أم مسألة من المسائل المتَّفق عليها ومحلّ إجماع فقهاء الإمامية؟ وما هو المراد من «أصل عدم الولاية»؟ وهل تسانخ الولاية العامة للفقيه في أصل الولاية الولايات الشرعية الأخرى في الفقه أم تختلف عنها؟ وأساساً ما هو المراد من الولاية الشرعية؟ وهل تعتبر الولاية الشرعية ممكنة من دون </w:t>
      </w:r>
      <w:r w:rsidRPr="008C1FD9">
        <w:rPr>
          <w:rFonts w:hint="cs"/>
          <w:rtl/>
          <w:lang w:bidi="ar-LB"/>
        </w:rPr>
        <w:t>أولياء ومولّى عليهم؟ وما هي مقوّمات المولّى عليه وخصائصه؟ وهل للفقهاء ولاية شرعية على الأمة في شؤونها العامة؟ وما هو الدليل على تعيين الفقهاء ولاةً؟ وما هي الأدلة القرآنية والروائية</w:t>
      </w:r>
      <w:r w:rsidRPr="00A32FC0">
        <w:rPr>
          <w:rFonts w:hint="cs"/>
          <w:rtl/>
          <w:lang w:bidi="ar-LB"/>
        </w:rPr>
        <w:t xml:space="preserve"> لولاية الفقيه على الأمة؟ وهل هناك دليل عقليّ «مستقل</w:t>
      </w:r>
      <w:r>
        <w:rPr>
          <w:rFonts w:hint="cs"/>
          <w:rtl/>
          <w:lang w:bidi="ar-LB"/>
        </w:rPr>
        <w:t>ّ</w:t>
      </w:r>
      <w:r w:rsidRPr="00A32FC0">
        <w:rPr>
          <w:rFonts w:hint="cs"/>
          <w:rtl/>
          <w:lang w:bidi="ar-LB"/>
        </w:rPr>
        <w:t xml:space="preserve"> أو غير مستقل</w:t>
      </w:r>
      <w:r>
        <w:rPr>
          <w:rFonts w:hint="cs"/>
          <w:rtl/>
          <w:lang w:bidi="ar-LB"/>
        </w:rPr>
        <w:t>ّ</w:t>
      </w:r>
      <w:r w:rsidRPr="00A32FC0">
        <w:rPr>
          <w:rFonts w:hint="cs"/>
          <w:rtl/>
          <w:lang w:bidi="ar-LB"/>
        </w:rPr>
        <w:t xml:space="preserve">» عليها؟ وهل للأمة حقّ التصرّف في شؤونها العامة </w:t>
      </w:r>
      <w:r w:rsidRPr="00A32FC0">
        <w:rPr>
          <w:rtl/>
          <w:lang w:bidi="ar-LB"/>
        </w:rPr>
        <w:t>ـ</w:t>
      </w:r>
      <w:r w:rsidRPr="00A32FC0">
        <w:rPr>
          <w:rFonts w:hint="cs"/>
          <w:rtl/>
          <w:lang w:bidi="ar-LB"/>
        </w:rPr>
        <w:t xml:space="preserve"> سواء أكان هذا التصرّف قبل إذن سابق من الفقيه أم بعد إمضائه ـ أم أنها غير مؤهَّلة لذلك؟ وما هو الفرق بين الولاية على الأم</w:t>
      </w:r>
      <w:r>
        <w:rPr>
          <w:rFonts w:hint="cs"/>
          <w:rtl/>
          <w:lang w:bidi="ar-LB"/>
        </w:rPr>
        <w:t>ّ</w:t>
      </w:r>
      <w:r w:rsidRPr="00A32FC0">
        <w:rPr>
          <w:rFonts w:hint="cs"/>
          <w:rtl/>
          <w:lang w:bidi="ar-LB"/>
        </w:rPr>
        <w:t>ة والوكالة عنها؟ وهل يمكن الجمع بينهما؟ وما هو الفرق بين ولاية الفقيه على الأمة وإشرافه عليها؟ وما هو الفرق بين ولاية الفقيه وجواز التصرُّف من باب القدر المتيقَّن؟ وهل يمكن للأم</w:t>
      </w:r>
      <w:r>
        <w:rPr>
          <w:rFonts w:hint="cs"/>
          <w:rtl/>
          <w:lang w:bidi="ar-LB"/>
        </w:rPr>
        <w:t>ّ</w:t>
      </w:r>
      <w:r w:rsidRPr="00A32FC0">
        <w:rPr>
          <w:rFonts w:hint="cs"/>
          <w:rtl/>
          <w:lang w:bidi="ar-LB"/>
        </w:rPr>
        <w:t>ة انتخاب الولي</w:t>
      </w:r>
      <w:r>
        <w:rPr>
          <w:rFonts w:hint="cs"/>
          <w:rtl/>
          <w:lang w:bidi="ar-LB"/>
        </w:rPr>
        <w:t>ّ</w:t>
      </w:r>
      <w:r w:rsidRPr="00A32FC0">
        <w:rPr>
          <w:rFonts w:hint="cs"/>
          <w:rtl/>
          <w:lang w:bidi="ar-LB"/>
        </w:rPr>
        <w:t xml:space="preserve"> والفقيه وعزله في الحكومة الولائية؟ وهل يعتبر الفقيه مسؤولاً أمام الأمة وممثِّليها في الحكومة الولائية؟ وهل للأمة حقٌّ في الإشراف القانوني على أعمال الولي الفقيه؟ وهل يقيَّد الوليّ الفقيه بالدستور أم أنّ شرعية الدستور مستمدّة منه؟ وهل يمكن اعتبار الولاية عقداً بين الأمة والحاكم أم أنّها حكمٌ إلهيٌّ؟ وما هو دور الأمة وما هي وظيفتها في الحكومة الولائية؟ ومتى طرحت الولاية العامة للفقيه في الفقه الشيعي؟ ومتى كان طرحها في الشارع الإيراني من خلال شعارات الثورة وبيانات ال</w:t>
      </w:r>
      <w:r>
        <w:rPr>
          <w:rFonts w:hint="cs"/>
          <w:rtl/>
          <w:lang w:bidi="ar-LB"/>
        </w:rPr>
        <w:t>سيد</w:t>
      </w:r>
      <w:r w:rsidRPr="00A32FC0">
        <w:rPr>
          <w:rFonts w:hint="cs"/>
          <w:rtl/>
          <w:lang w:bidi="ar-LB"/>
        </w:rPr>
        <w:t xml:space="preserve"> الخميني العامّة؟ وهل كانت مسألة الحكومة الولائية في فكر</w:t>
      </w:r>
      <w:r>
        <w:rPr>
          <w:rFonts w:hint="cs"/>
          <w:rtl/>
          <w:lang w:bidi="ar-LB"/>
        </w:rPr>
        <w:t xml:space="preserve"> السيد</w:t>
      </w:r>
      <w:r w:rsidRPr="00A32FC0">
        <w:rPr>
          <w:rFonts w:hint="cs"/>
          <w:rtl/>
          <w:lang w:bidi="ar-LB"/>
        </w:rPr>
        <w:t xml:space="preserve"> الخميني ثابتة أم متغيِّرة؟ وما هو الفرق بين الجمهورية الإسلامية وبين نظام الملكيّة الدستوريّة والملكيّة المطلقة؟ ومتى وكيف تمّ تعريف الشعب الإيراني على نظام الجمهورية الإسلامية من قبل مؤسِّس هذا النظام</w:t>
      </w:r>
      <w:r>
        <w:rPr>
          <w:rFonts w:hint="cs"/>
          <w:rtl/>
          <w:lang w:bidi="ar-LB"/>
        </w:rPr>
        <w:t>، أي السيد</w:t>
      </w:r>
      <w:r w:rsidRPr="00A32FC0">
        <w:rPr>
          <w:rFonts w:hint="cs"/>
          <w:rtl/>
          <w:lang w:bidi="ar-LB"/>
        </w:rPr>
        <w:t xml:space="preserve"> الخميني؟ وما هي النسبة بين ولاية الفقيه والنظام الجمهوري؟ وكيف تمّ إدخال أصل ولاية الفقيه في دستور الجمهورية الإسلامية الإيرانية؟ وكيف تمّ تكييف ولاية الفقيه والحكومة الولائية مع نظام الجمهورية الإسلامية؟</w:t>
      </w:r>
    </w:p>
    <w:p w:rsidR="00EA09EB" w:rsidRPr="00CF0A84" w:rsidRDefault="00EA09EB" w:rsidP="00EA09EB">
      <w:pPr>
        <w:rPr>
          <w:rtl/>
          <w:lang w:bidi="ar-LB"/>
        </w:rPr>
      </w:pPr>
      <w:r w:rsidRPr="00CF0A84">
        <w:rPr>
          <w:rFonts w:hint="cs"/>
          <w:rtl/>
          <w:lang w:bidi="ar-LB"/>
        </w:rPr>
        <w:t xml:space="preserve">لقد تمّ تأليف كتاب </w:t>
      </w:r>
      <w:r w:rsidRPr="00A32FC0">
        <w:rPr>
          <w:rFonts w:hint="cs"/>
          <w:rtl/>
        </w:rPr>
        <w:t>«</w:t>
      </w:r>
      <w:r w:rsidRPr="00CF0A84">
        <w:rPr>
          <w:rFonts w:hint="cs"/>
          <w:rtl/>
          <w:lang w:bidi="ar-LB"/>
        </w:rPr>
        <w:t>الحكومة الولائية</w:t>
      </w:r>
      <w:r w:rsidRPr="00A32FC0">
        <w:rPr>
          <w:rFonts w:hint="cs"/>
          <w:rtl/>
        </w:rPr>
        <w:t>»</w:t>
      </w:r>
      <w:r w:rsidRPr="00CF0A84">
        <w:rPr>
          <w:rFonts w:hint="cs"/>
          <w:rtl/>
          <w:lang w:bidi="ar-LB"/>
        </w:rPr>
        <w:t xml:space="preserve"> في إطار الإجابة عن الأسئلة المتقد</w:t>
      </w:r>
      <w:r>
        <w:rPr>
          <w:rFonts w:hint="cs"/>
          <w:rtl/>
          <w:lang w:bidi="ar-LB"/>
        </w:rPr>
        <w:t>ِّ</w:t>
      </w:r>
      <w:r w:rsidRPr="00CF0A84">
        <w:rPr>
          <w:rFonts w:hint="cs"/>
          <w:rtl/>
          <w:lang w:bidi="ar-LB"/>
        </w:rPr>
        <w:t>مة وما كان على شاكلتها. ويتكف</w:t>
      </w:r>
      <w:r>
        <w:rPr>
          <w:rFonts w:hint="cs"/>
          <w:rtl/>
          <w:lang w:bidi="ar-LB"/>
        </w:rPr>
        <w:t>َّ</w:t>
      </w:r>
      <w:r w:rsidRPr="00CF0A84">
        <w:rPr>
          <w:rFonts w:hint="cs"/>
          <w:rtl/>
          <w:lang w:bidi="ar-LB"/>
        </w:rPr>
        <w:t xml:space="preserve">ل هذا الكتاب بالحديث عن محور </w:t>
      </w:r>
      <w:r w:rsidRPr="00A32FC0">
        <w:rPr>
          <w:rFonts w:hint="cs"/>
          <w:rtl/>
        </w:rPr>
        <w:t>«</w:t>
      </w:r>
      <w:r w:rsidRPr="00CF0A84">
        <w:rPr>
          <w:rFonts w:hint="cs"/>
          <w:rtl/>
          <w:lang w:bidi="ar-LB"/>
        </w:rPr>
        <w:t>الولاية</w:t>
      </w:r>
      <w:r w:rsidRPr="00A32FC0">
        <w:rPr>
          <w:rFonts w:hint="cs"/>
          <w:rtl/>
        </w:rPr>
        <w:t>»</w:t>
      </w:r>
      <w:r w:rsidRPr="00CF0A84">
        <w:rPr>
          <w:rFonts w:hint="cs"/>
          <w:rtl/>
          <w:lang w:bidi="ar-LB"/>
        </w:rPr>
        <w:t>. إن</w:t>
      </w:r>
      <w:r>
        <w:rPr>
          <w:rFonts w:hint="cs"/>
          <w:rtl/>
          <w:lang w:bidi="ar-LB"/>
        </w:rPr>
        <w:t>ّ</w:t>
      </w:r>
      <w:r w:rsidRPr="00CF0A84">
        <w:rPr>
          <w:rFonts w:hint="cs"/>
          <w:rtl/>
          <w:lang w:bidi="ar-LB"/>
        </w:rPr>
        <w:t xml:space="preserve"> محور </w:t>
      </w:r>
      <w:r w:rsidRPr="00A32FC0">
        <w:rPr>
          <w:rFonts w:hint="cs"/>
          <w:rtl/>
        </w:rPr>
        <w:t>«</w:t>
      </w:r>
      <w:r w:rsidRPr="00CF0A84">
        <w:rPr>
          <w:rFonts w:hint="cs"/>
          <w:rtl/>
          <w:lang w:bidi="ar-LB"/>
        </w:rPr>
        <w:t>الولاية</w:t>
      </w:r>
      <w:r w:rsidRPr="00A32FC0">
        <w:rPr>
          <w:rFonts w:hint="cs"/>
          <w:rtl/>
        </w:rPr>
        <w:t>»</w:t>
      </w:r>
      <w:r w:rsidRPr="00CF0A84">
        <w:rPr>
          <w:rFonts w:hint="cs"/>
          <w:rtl/>
          <w:lang w:bidi="ar-LB"/>
        </w:rPr>
        <w:t xml:space="preserve"> يعدّ واحداً من المحاور الأربعة لنظرية </w:t>
      </w:r>
      <w:r w:rsidRPr="00A32FC0">
        <w:rPr>
          <w:rFonts w:hint="cs"/>
          <w:rtl/>
        </w:rPr>
        <w:t>«</w:t>
      </w:r>
      <w:r w:rsidRPr="00CF0A84">
        <w:rPr>
          <w:rFonts w:hint="cs"/>
          <w:rtl/>
          <w:lang w:bidi="ar-LB"/>
        </w:rPr>
        <w:t>الولاية التنصيبية المطلقة للفقيه</w:t>
      </w:r>
      <w:r w:rsidRPr="00A32FC0">
        <w:rPr>
          <w:rFonts w:hint="cs"/>
          <w:rtl/>
        </w:rPr>
        <w:t>»</w:t>
      </w:r>
      <w:r w:rsidRPr="00CF0A84">
        <w:rPr>
          <w:rFonts w:hint="cs"/>
          <w:rtl/>
          <w:lang w:bidi="ar-LB"/>
        </w:rPr>
        <w:t>. وبالإضافة إلى تلك الولاية يقوم المحور المشترك لسائر النظريات على المشروعية الإلهية المباشرة (القيادة الرب</w:t>
      </w:r>
      <w:r>
        <w:rPr>
          <w:rFonts w:hint="cs"/>
          <w:rtl/>
          <w:lang w:bidi="ar-LB"/>
        </w:rPr>
        <w:t>ّ</w:t>
      </w:r>
      <w:r w:rsidRPr="00CF0A84">
        <w:rPr>
          <w:rFonts w:hint="cs"/>
          <w:rtl/>
          <w:lang w:bidi="ar-LB"/>
        </w:rPr>
        <w:t>انية)، أي نظرية السلطة المشروعة ونظرية الولاية التنصيبية لعام</w:t>
      </w:r>
      <w:r>
        <w:rPr>
          <w:rFonts w:hint="cs"/>
          <w:rtl/>
          <w:lang w:bidi="ar-LB"/>
        </w:rPr>
        <w:t>ّ</w:t>
      </w:r>
      <w:r w:rsidRPr="00CF0A84">
        <w:rPr>
          <w:rFonts w:hint="cs"/>
          <w:rtl/>
          <w:lang w:bidi="ar-LB"/>
        </w:rPr>
        <w:t>ة الفقهاء، وكذلك نظرية الولاية التنصيبية العام</w:t>
      </w:r>
      <w:r>
        <w:rPr>
          <w:rFonts w:hint="cs"/>
          <w:rtl/>
          <w:lang w:bidi="ar-LB"/>
        </w:rPr>
        <w:t>ّ</w:t>
      </w:r>
      <w:r w:rsidRPr="00CF0A84">
        <w:rPr>
          <w:rFonts w:hint="cs"/>
          <w:rtl/>
          <w:lang w:bidi="ar-LB"/>
        </w:rPr>
        <w:t>ة لشورى مراجع التقليد أيضاً. إن</w:t>
      </w:r>
      <w:r>
        <w:rPr>
          <w:rFonts w:hint="cs"/>
          <w:rtl/>
          <w:lang w:bidi="ar-LB"/>
        </w:rPr>
        <w:t>ّ</w:t>
      </w:r>
      <w:r w:rsidRPr="00CF0A84">
        <w:rPr>
          <w:rFonts w:hint="cs"/>
          <w:rtl/>
          <w:lang w:bidi="ar-LB"/>
        </w:rPr>
        <w:t xml:space="preserve"> الولاية هي نوع</w:t>
      </w:r>
      <w:r>
        <w:rPr>
          <w:rFonts w:hint="cs"/>
          <w:rtl/>
          <w:lang w:bidi="ar-LB"/>
        </w:rPr>
        <w:t>ٌ</w:t>
      </w:r>
      <w:r w:rsidRPr="00CF0A84">
        <w:rPr>
          <w:rFonts w:hint="cs"/>
          <w:rtl/>
          <w:lang w:bidi="ar-LB"/>
        </w:rPr>
        <w:t xml:space="preserve"> من العلاقة القائمة بين الحاكم الإلهي وأفراد الأم</w:t>
      </w:r>
      <w:r>
        <w:rPr>
          <w:rFonts w:hint="cs"/>
          <w:rtl/>
          <w:lang w:bidi="ar-LB"/>
        </w:rPr>
        <w:t>ّ</w:t>
      </w:r>
      <w:r w:rsidRPr="00CF0A84">
        <w:rPr>
          <w:rFonts w:hint="cs"/>
          <w:rtl/>
          <w:lang w:bidi="ar-LB"/>
        </w:rPr>
        <w:t>ة. وإن</w:t>
      </w:r>
      <w:r>
        <w:rPr>
          <w:rFonts w:hint="cs"/>
          <w:rtl/>
          <w:lang w:bidi="ar-LB"/>
        </w:rPr>
        <w:t>ّ</w:t>
      </w:r>
      <w:r w:rsidRPr="00CF0A84">
        <w:rPr>
          <w:rFonts w:hint="cs"/>
          <w:rtl/>
          <w:lang w:bidi="ar-LB"/>
        </w:rPr>
        <w:t xml:space="preserve"> الحكومة التي تقيم علاقتها مع الشعب على أساس الولاية ت</w:t>
      </w:r>
      <w:r>
        <w:rPr>
          <w:rFonts w:hint="cs"/>
          <w:rtl/>
          <w:lang w:bidi="ar-LB"/>
        </w:rPr>
        <w:t>ُ</w:t>
      </w:r>
      <w:r w:rsidRPr="00CF0A84">
        <w:rPr>
          <w:rFonts w:hint="cs"/>
          <w:rtl/>
          <w:lang w:bidi="ar-LB"/>
        </w:rPr>
        <w:t>سم</w:t>
      </w:r>
      <w:r>
        <w:rPr>
          <w:rFonts w:hint="cs"/>
          <w:rtl/>
          <w:lang w:bidi="ar-LB"/>
        </w:rPr>
        <w:t>ّ</w:t>
      </w:r>
      <w:r w:rsidRPr="00CF0A84">
        <w:rPr>
          <w:rFonts w:hint="cs"/>
          <w:rtl/>
          <w:lang w:bidi="ar-LB"/>
        </w:rPr>
        <w:t xml:space="preserve">ى بـ </w:t>
      </w:r>
      <w:r w:rsidRPr="00A32FC0">
        <w:rPr>
          <w:rFonts w:hint="cs"/>
          <w:rtl/>
        </w:rPr>
        <w:t>«</w:t>
      </w:r>
      <w:r w:rsidRPr="00CF0A84">
        <w:rPr>
          <w:rFonts w:hint="cs"/>
          <w:rtl/>
          <w:lang w:bidi="ar-LB"/>
        </w:rPr>
        <w:t>الحكومة الولائية</w:t>
      </w:r>
      <w:r w:rsidRPr="00A32FC0">
        <w:rPr>
          <w:rFonts w:hint="cs"/>
          <w:rtl/>
        </w:rPr>
        <w:t>»</w:t>
      </w:r>
      <w:r w:rsidRPr="00CF0A84">
        <w:rPr>
          <w:rFonts w:hint="cs"/>
          <w:rtl/>
          <w:lang w:bidi="ar-LB"/>
        </w:rPr>
        <w:t>.</w:t>
      </w:r>
    </w:p>
    <w:p w:rsidR="00EA09EB" w:rsidRPr="00CF0A84" w:rsidRDefault="00EA09EB" w:rsidP="00EA09EB">
      <w:pPr>
        <w:rPr>
          <w:rtl/>
          <w:lang w:bidi="ar-LB"/>
        </w:rPr>
      </w:pPr>
      <w:r w:rsidRPr="00CF0A84">
        <w:rPr>
          <w:rFonts w:hint="cs"/>
          <w:rtl/>
          <w:lang w:bidi="ar-LB"/>
        </w:rPr>
        <w:t>يجب تناول الحكومة الولائية بالدراسة والتحليل من ثلاث زوايا:</w:t>
      </w:r>
    </w:p>
    <w:p w:rsidR="00EA09EB" w:rsidRPr="00CF0A84" w:rsidRDefault="00EA09EB" w:rsidP="00EA09EB">
      <w:pPr>
        <w:rPr>
          <w:rtl/>
          <w:lang w:bidi="ar-LB"/>
        </w:rPr>
      </w:pPr>
      <w:r w:rsidRPr="00CF0A84">
        <w:rPr>
          <w:rFonts w:hint="cs"/>
          <w:rtl/>
          <w:lang w:bidi="ar-LB"/>
        </w:rPr>
        <w:t>الزاوية الأولى: المبادئ التصوّ</w:t>
      </w:r>
      <w:r>
        <w:rPr>
          <w:rFonts w:hint="cs"/>
          <w:rtl/>
          <w:lang w:bidi="ar-LB"/>
        </w:rPr>
        <w:t>ُ</w:t>
      </w:r>
      <w:r w:rsidRPr="00CF0A84">
        <w:rPr>
          <w:rFonts w:hint="cs"/>
          <w:rtl/>
          <w:lang w:bidi="ar-LB"/>
        </w:rPr>
        <w:t>رية للولاية.</w:t>
      </w:r>
    </w:p>
    <w:p w:rsidR="00EA09EB" w:rsidRPr="00CF0A84" w:rsidRDefault="00EA09EB" w:rsidP="00EA09EB">
      <w:pPr>
        <w:rPr>
          <w:rtl/>
          <w:lang w:bidi="ar-LB"/>
        </w:rPr>
      </w:pPr>
      <w:r w:rsidRPr="00CF0A84">
        <w:rPr>
          <w:rFonts w:hint="cs"/>
          <w:rtl/>
          <w:lang w:bidi="ar-LB"/>
        </w:rPr>
        <w:t>الزاوية الثانية: المباني التصديقية للولاية.</w:t>
      </w:r>
    </w:p>
    <w:p w:rsidR="00EA09EB" w:rsidRPr="00CF0A84" w:rsidRDefault="00EA09EB" w:rsidP="00EA09EB">
      <w:pPr>
        <w:rPr>
          <w:rtl/>
          <w:lang w:bidi="ar-LB"/>
        </w:rPr>
      </w:pPr>
      <w:r w:rsidRPr="00CF0A84">
        <w:rPr>
          <w:rFonts w:hint="cs"/>
          <w:rtl/>
          <w:lang w:bidi="ar-LB"/>
        </w:rPr>
        <w:t>الزاوية الثالثة: الانعكاسات واللوازم والج</w:t>
      </w:r>
      <w:r>
        <w:rPr>
          <w:rFonts w:hint="cs"/>
          <w:rtl/>
          <w:lang w:bidi="ar-LB"/>
        </w:rPr>
        <w:t>ذ</w:t>
      </w:r>
      <w:r w:rsidRPr="00CF0A84">
        <w:rPr>
          <w:rFonts w:hint="cs"/>
          <w:rtl/>
          <w:lang w:bidi="ar-LB"/>
        </w:rPr>
        <w:t>ور والأحكام الولائية.</w:t>
      </w:r>
    </w:p>
    <w:p w:rsidR="00EA09EB" w:rsidRPr="00CF0A84" w:rsidRDefault="00EA09EB" w:rsidP="00EA09EB">
      <w:pPr>
        <w:rPr>
          <w:rtl/>
          <w:lang w:bidi="ar-LB"/>
        </w:rPr>
      </w:pPr>
      <w:r w:rsidRPr="00CF0A84">
        <w:rPr>
          <w:rFonts w:hint="cs"/>
          <w:rtl/>
          <w:lang w:bidi="ar-LB"/>
        </w:rPr>
        <w:t>إن</w:t>
      </w:r>
      <w:r>
        <w:rPr>
          <w:rFonts w:hint="cs"/>
          <w:rtl/>
          <w:lang w:bidi="ar-LB"/>
        </w:rPr>
        <w:t>ّ</w:t>
      </w:r>
      <w:r w:rsidRPr="00CF0A84">
        <w:rPr>
          <w:rFonts w:hint="cs"/>
          <w:rtl/>
          <w:lang w:bidi="ar-LB"/>
        </w:rPr>
        <w:t xml:space="preserve"> الذي تمّ استعراضه في هذا الكتاب لا يشك</w:t>
      </w:r>
      <w:r>
        <w:rPr>
          <w:rFonts w:hint="cs"/>
          <w:rtl/>
          <w:lang w:bidi="ar-LB"/>
        </w:rPr>
        <w:t>ِّ</w:t>
      </w:r>
      <w:r w:rsidRPr="00CF0A84">
        <w:rPr>
          <w:rFonts w:hint="cs"/>
          <w:rtl/>
          <w:lang w:bidi="ar-LB"/>
        </w:rPr>
        <w:t>ل إلا</w:t>
      </w:r>
      <w:r>
        <w:rPr>
          <w:rFonts w:hint="cs"/>
          <w:rtl/>
          <w:lang w:bidi="ar-LB"/>
        </w:rPr>
        <w:t>ّ</w:t>
      </w:r>
      <w:r w:rsidRPr="00CF0A84">
        <w:rPr>
          <w:rFonts w:hint="cs"/>
          <w:rtl/>
          <w:lang w:bidi="ar-LB"/>
        </w:rPr>
        <w:t xml:space="preserve"> الثلثين من أبحاث الحكومة الولائية، أي الزاوية الأولى والثانية فقط. وأما دراسة الزاوية الثالثة فقد تمّ</w:t>
      </w:r>
      <w:r>
        <w:rPr>
          <w:rFonts w:hint="cs"/>
          <w:rtl/>
          <w:lang w:bidi="ar-LB"/>
        </w:rPr>
        <w:t>َ</w:t>
      </w:r>
      <w:r w:rsidRPr="00CF0A84">
        <w:rPr>
          <w:rFonts w:hint="cs"/>
          <w:rtl/>
          <w:lang w:bidi="ar-LB"/>
        </w:rPr>
        <w:t xml:space="preserve"> نقلها ـ لبعض الأسباب ـ إلى المجل</w:t>
      </w:r>
      <w:r>
        <w:rPr>
          <w:rFonts w:hint="cs"/>
          <w:rtl/>
          <w:lang w:bidi="ar-LB"/>
        </w:rPr>
        <w:t>َّ</w:t>
      </w:r>
      <w:r w:rsidRPr="00CF0A84">
        <w:rPr>
          <w:rFonts w:hint="cs"/>
          <w:rtl/>
          <w:lang w:bidi="ar-LB"/>
        </w:rPr>
        <w:t>دات اللاحقة.</w:t>
      </w:r>
    </w:p>
    <w:p w:rsidR="00EA09EB" w:rsidRPr="00CF0A84" w:rsidRDefault="00EA09EB" w:rsidP="00A94625">
      <w:pPr>
        <w:rPr>
          <w:rtl/>
          <w:lang w:bidi="ar-LB"/>
        </w:rPr>
      </w:pPr>
      <w:r w:rsidRPr="00CF0A84">
        <w:rPr>
          <w:rFonts w:hint="cs"/>
          <w:rtl/>
          <w:lang w:bidi="ar-LB"/>
        </w:rPr>
        <w:t>يشك</w:t>
      </w:r>
      <w:r>
        <w:rPr>
          <w:rFonts w:hint="cs"/>
          <w:rtl/>
          <w:lang w:bidi="ar-LB"/>
        </w:rPr>
        <w:t>ِّ</w:t>
      </w:r>
      <w:r w:rsidRPr="00CF0A84">
        <w:rPr>
          <w:rFonts w:hint="cs"/>
          <w:rtl/>
          <w:lang w:bidi="ar-LB"/>
        </w:rPr>
        <w:t>ل بحث الحكومة الولائية المجل</w:t>
      </w:r>
      <w:r>
        <w:rPr>
          <w:rFonts w:hint="cs"/>
          <w:rtl/>
          <w:lang w:bidi="ar-LB"/>
        </w:rPr>
        <w:t>َّ</w:t>
      </w:r>
      <w:r w:rsidRPr="00CF0A84">
        <w:rPr>
          <w:rFonts w:hint="cs"/>
          <w:rtl/>
          <w:lang w:bidi="ar-LB"/>
        </w:rPr>
        <w:t xml:space="preserve">د الأول من الأبحاث التحليلية لـ </w:t>
      </w:r>
      <w:r w:rsidRPr="00A32FC0">
        <w:rPr>
          <w:rFonts w:hint="cs"/>
          <w:rtl/>
        </w:rPr>
        <w:t>«</w:t>
      </w:r>
      <w:r w:rsidRPr="00CF0A84">
        <w:rPr>
          <w:rFonts w:hint="cs"/>
          <w:rtl/>
          <w:lang w:bidi="ar-LB"/>
        </w:rPr>
        <w:t>نظرية الولاية التنصيبية المطلقة للفقيه</w:t>
      </w:r>
      <w:r w:rsidRPr="00A32FC0">
        <w:rPr>
          <w:rFonts w:hint="cs"/>
          <w:rtl/>
        </w:rPr>
        <w:t>»</w:t>
      </w:r>
      <w:r w:rsidRPr="00CF0A84">
        <w:rPr>
          <w:rFonts w:hint="cs"/>
          <w:rtl/>
          <w:lang w:bidi="ar-LB"/>
        </w:rPr>
        <w:t>. ولذلك فإننا لم نتطر</w:t>
      </w:r>
      <w:r>
        <w:rPr>
          <w:rFonts w:hint="cs"/>
          <w:rtl/>
          <w:lang w:bidi="ar-LB"/>
        </w:rPr>
        <w:t>َّ</w:t>
      </w:r>
      <w:r w:rsidRPr="00CF0A84">
        <w:rPr>
          <w:rFonts w:hint="cs"/>
          <w:rtl/>
          <w:lang w:bidi="ar-LB"/>
        </w:rPr>
        <w:t>ق في هذا المجلد إلى التنصيب والإطلاق والفقاهة. إن</w:t>
      </w:r>
      <w:r>
        <w:rPr>
          <w:rFonts w:hint="cs"/>
          <w:rtl/>
          <w:lang w:bidi="ar-LB"/>
        </w:rPr>
        <w:t>ّ</w:t>
      </w:r>
      <w:r w:rsidRPr="00CF0A84">
        <w:rPr>
          <w:rFonts w:hint="cs"/>
          <w:rtl/>
          <w:lang w:bidi="ar-LB"/>
        </w:rPr>
        <w:t xml:space="preserve"> المعرفة والإحاطة الشاملة بهذه النظرية</w:t>
      </w:r>
      <w:r>
        <w:rPr>
          <w:rFonts w:hint="cs"/>
          <w:rtl/>
          <w:lang w:bidi="ar-LB"/>
        </w:rPr>
        <w:t>،</w:t>
      </w:r>
      <w:r w:rsidRPr="00CF0A84">
        <w:rPr>
          <w:rFonts w:hint="cs"/>
          <w:rtl/>
          <w:lang w:bidi="ar-LB"/>
        </w:rPr>
        <w:t xml:space="preserve"> علاوة على </w:t>
      </w:r>
      <w:r w:rsidRPr="00A32FC0">
        <w:rPr>
          <w:rFonts w:hint="cs"/>
          <w:rtl/>
        </w:rPr>
        <w:t>«</w:t>
      </w:r>
      <w:r w:rsidRPr="00CF0A84">
        <w:rPr>
          <w:rFonts w:hint="cs"/>
          <w:rtl/>
          <w:lang w:bidi="ar-LB"/>
        </w:rPr>
        <w:t>الحكومة الولائية</w:t>
      </w:r>
      <w:r w:rsidRPr="00A32FC0">
        <w:rPr>
          <w:rFonts w:hint="cs"/>
          <w:rtl/>
        </w:rPr>
        <w:t>»</w:t>
      </w:r>
      <w:r>
        <w:rPr>
          <w:rFonts w:hint="cs"/>
          <w:rtl/>
        </w:rPr>
        <w:t>،</w:t>
      </w:r>
      <w:r w:rsidRPr="00CF0A84">
        <w:rPr>
          <w:rFonts w:hint="cs"/>
          <w:rtl/>
          <w:lang w:bidi="ar-LB"/>
        </w:rPr>
        <w:t xml:space="preserve"> رهن</w:t>
      </w:r>
      <w:r>
        <w:rPr>
          <w:rFonts w:hint="cs"/>
          <w:rtl/>
          <w:lang w:bidi="ar-LB"/>
        </w:rPr>
        <w:t>ٌ</w:t>
      </w:r>
      <w:r w:rsidRPr="00CF0A84">
        <w:rPr>
          <w:rFonts w:hint="cs"/>
          <w:rtl/>
          <w:lang w:bidi="ar-LB"/>
        </w:rPr>
        <w:t xml:space="preserve">  بنشر سائر بحوث الكتاب الأخرى، أي </w:t>
      </w:r>
      <w:r w:rsidRPr="00A32FC0">
        <w:rPr>
          <w:rFonts w:hint="cs"/>
          <w:rtl/>
        </w:rPr>
        <w:t>«</w:t>
      </w:r>
      <w:r w:rsidRPr="00CF0A84">
        <w:rPr>
          <w:rFonts w:hint="cs"/>
          <w:rtl/>
          <w:lang w:bidi="ar-LB"/>
        </w:rPr>
        <w:t>الحكومة التنصيبية</w:t>
      </w:r>
      <w:r w:rsidRPr="00A32FC0">
        <w:rPr>
          <w:rFonts w:hint="cs"/>
          <w:rtl/>
        </w:rPr>
        <w:t>»</w:t>
      </w:r>
      <w:r w:rsidRPr="00CF0A84">
        <w:rPr>
          <w:rFonts w:hint="cs"/>
          <w:rtl/>
          <w:lang w:bidi="ar-LB"/>
        </w:rPr>
        <w:t>، و</w:t>
      </w:r>
      <w:r w:rsidRPr="00A32FC0">
        <w:rPr>
          <w:rFonts w:hint="cs"/>
          <w:rtl/>
        </w:rPr>
        <w:t>«</w:t>
      </w:r>
      <w:r w:rsidRPr="00CF0A84">
        <w:rPr>
          <w:rFonts w:hint="cs"/>
          <w:rtl/>
          <w:lang w:bidi="ar-LB"/>
        </w:rPr>
        <w:t>الحكومة المطلقة</w:t>
      </w:r>
      <w:r w:rsidRPr="00A32FC0">
        <w:rPr>
          <w:rFonts w:hint="cs"/>
          <w:rtl/>
        </w:rPr>
        <w:t>»</w:t>
      </w:r>
      <w:r w:rsidRPr="00CF0A84">
        <w:rPr>
          <w:rFonts w:hint="cs"/>
          <w:rtl/>
          <w:lang w:bidi="ar-LB"/>
        </w:rPr>
        <w:t>، و</w:t>
      </w:r>
      <w:r w:rsidRPr="00A32FC0">
        <w:rPr>
          <w:rFonts w:hint="cs"/>
          <w:rtl/>
        </w:rPr>
        <w:t>«</w:t>
      </w:r>
      <w:r w:rsidRPr="00CF0A84">
        <w:rPr>
          <w:rFonts w:hint="cs"/>
          <w:rtl/>
          <w:lang w:bidi="ar-LB"/>
        </w:rPr>
        <w:t>قيادة الفقيه والإدارة الفقهية</w:t>
      </w:r>
      <w:r w:rsidRPr="00A32FC0">
        <w:rPr>
          <w:rFonts w:hint="cs"/>
          <w:rtl/>
        </w:rPr>
        <w:t>»</w:t>
      </w:r>
      <w:r w:rsidRPr="00CF0A84">
        <w:rPr>
          <w:rFonts w:hint="cs"/>
          <w:rtl/>
          <w:lang w:bidi="ar-LB"/>
        </w:rPr>
        <w:t>. وقد تمّ نشر المجل</w:t>
      </w:r>
      <w:r>
        <w:rPr>
          <w:rFonts w:hint="cs"/>
          <w:rtl/>
          <w:lang w:bidi="ar-LB"/>
        </w:rPr>
        <w:t>َّ</w:t>
      </w:r>
      <w:r w:rsidRPr="00CF0A84">
        <w:rPr>
          <w:rFonts w:hint="cs"/>
          <w:rtl/>
          <w:lang w:bidi="ar-LB"/>
        </w:rPr>
        <w:t xml:space="preserve">د الأول من سلسلة الفكر السياسي في الإسلام، أي </w:t>
      </w:r>
      <w:r w:rsidRPr="00A32FC0">
        <w:rPr>
          <w:rFonts w:hint="cs"/>
          <w:rtl/>
        </w:rPr>
        <w:t>«</w:t>
      </w:r>
      <w:r w:rsidRPr="00CF0A84">
        <w:rPr>
          <w:rFonts w:hint="cs"/>
          <w:rtl/>
          <w:lang w:bidi="ar-LB"/>
        </w:rPr>
        <w:t>نظري</w:t>
      </w:r>
      <w:r>
        <w:rPr>
          <w:rFonts w:hint="cs"/>
          <w:rtl/>
          <w:lang w:bidi="ar-LB"/>
        </w:rPr>
        <w:t>ّ</w:t>
      </w:r>
      <w:r w:rsidRPr="00CF0A84">
        <w:rPr>
          <w:rFonts w:hint="cs"/>
          <w:rtl/>
          <w:lang w:bidi="ar-LB"/>
        </w:rPr>
        <w:t>ات الدولة في الفقه الشيعي</w:t>
      </w:r>
      <w:r w:rsidRPr="00A32FC0">
        <w:rPr>
          <w:rFonts w:hint="cs"/>
          <w:rtl/>
        </w:rPr>
        <w:t>»</w:t>
      </w:r>
      <w:r w:rsidRPr="00CF0A84">
        <w:rPr>
          <w:rFonts w:hint="cs"/>
          <w:rtl/>
          <w:lang w:bidi="ar-LB"/>
        </w:rPr>
        <w:t xml:space="preserve"> ـ المتكف</w:t>
      </w:r>
      <w:r>
        <w:rPr>
          <w:rFonts w:hint="cs"/>
          <w:rtl/>
          <w:lang w:bidi="ar-LB"/>
        </w:rPr>
        <w:t>ِّ</w:t>
      </w:r>
      <w:r w:rsidRPr="00CF0A84">
        <w:rPr>
          <w:rFonts w:hint="cs"/>
          <w:rtl/>
          <w:lang w:bidi="ar-LB"/>
        </w:rPr>
        <w:t xml:space="preserve">ل بالتبويب والتحليل الإجمالي لمختلف الآراء السياسية للفقهاء الشيعة ـ </w:t>
      </w:r>
      <w:r w:rsidR="00A94625">
        <w:rPr>
          <w:rFonts w:hint="cs"/>
          <w:rtl/>
          <w:lang w:bidi="ar-LB"/>
        </w:rPr>
        <w:t xml:space="preserve"> </w:t>
      </w:r>
      <w:r>
        <w:rPr>
          <w:rFonts w:hint="cs"/>
          <w:rtl/>
          <w:lang w:bidi="ar-LB"/>
        </w:rPr>
        <w:t>من عام 1376هـ.</w:t>
      </w:r>
      <w:r w:rsidRPr="00CF0A84">
        <w:rPr>
          <w:rFonts w:hint="cs"/>
          <w:rtl/>
          <w:lang w:bidi="ar-LB"/>
        </w:rPr>
        <w:t>ش</w:t>
      </w:r>
      <w:r>
        <w:rPr>
          <w:rFonts w:hint="cs"/>
          <w:rtl/>
          <w:lang w:bidi="ar-LB"/>
        </w:rPr>
        <w:t xml:space="preserve"> / 1997 م</w:t>
      </w:r>
      <w:r w:rsidRPr="00CF0A84">
        <w:rPr>
          <w:rFonts w:hint="cs"/>
          <w:rtl/>
          <w:lang w:bidi="ar-LB"/>
        </w:rPr>
        <w:t>.</w:t>
      </w:r>
    </w:p>
    <w:p w:rsidR="00EA09EB" w:rsidRPr="00CF0A84" w:rsidRDefault="00EA09EB" w:rsidP="00EA09EB">
      <w:pPr>
        <w:rPr>
          <w:rtl/>
          <w:lang w:bidi="ar-LB"/>
        </w:rPr>
      </w:pPr>
      <w:r w:rsidRPr="00CF0A84">
        <w:rPr>
          <w:rFonts w:hint="cs"/>
          <w:rtl/>
          <w:lang w:bidi="ar-LB"/>
        </w:rPr>
        <w:t>لقد تمّ تدوين بحوث هذا المجل</w:t>
      </w:r>
      <w:r>
        <w:rPr>
          <w:rFonts w:hint="cs"/>
          <w:rtl/>
          <w:lang w:bidi="ar-LB"/>
        </w:rPr>
        <w:t>َّ</w:t>
      </w:r>
      <w:r w:rsidRPr="00CF0A84">
        <w:rPr>
          <w:rFonts w:hint="cs"/>
          <w:rtl/>
          <w:lang w:bidi="ar-LB"/>
        </w:rPr>
        <w:t>د في إطار مقال</w:t>
      </w:r>
      <w:r>
        <w:rPr>
          <w:rFonts w:hint="cs"/>
          <w:rtl/>
          <w:lang w:bidi="ar-LB"/>
        </w:rPr>
        <w:t>ٍ طويل في عام 1373هـ.</w:t>
      </w:r>
      <w:r w:rsidRPr="00CF0A84">
        <w:rPr>
          <w:rFonts w:hint="cs"/>
          <w:rtl/>
          <w:lang w:bidi="ar-LB"/>
        </w:rPr>
        <w:t>ش</w:t>
      </w:r>
      <w:r>
        <w:rPr>
          <w:rFonts w:hint="cs"/>
          <w:rtl/>
          <w:lang w:bidi="ar-LB"/>
        </w:rPr>
        <w:t xml:space="preserve"> / 1994 م</w:t>
      </w:r>
      <w:r w:rsidRPr="00CF0A84">
        <w:rPr>
          <w:rFonts w:hint="cs"/>
          <w:rtl/>
          <w:lang w:bidi="ar-LB"/>
        </w:rPr>
        <w:t>، وإن</w:t>
      </w:r>
      <w:r>
        <w:rPr>
          <w:rFonts w:hint="cs"/>
          <w:rtl/>
          <w:lang w:bidi="ar-LB"/>
        </w:rPr>
        <w:t>ْ</w:t>
      </w:r>
      <w:r w:rsidRPr="00CF0A84">
        <w:rPr>
          <w:rFonts w:hint="cs"/>
          <w:rtl/>
          <w:lang w:bidi="ar-LB"/>
        </w:rPr>
        <w:t xml:space="preserve"> لم يحالفنا الحظ</w:t>
      </w:r>
      <w:r>
        <w:rPr>
          <w:rFonts w:hint="cs"/>
          <w:rtl/>
          <w:lang w:bidi="ar-LB"/>
        </w:rPr>
        <w:t>ّ</w:t>
      </w:r>
      <w:r w:rsidRPr="00CF0A84">
        <w:rPr>
          <w:rFonts w:hint="cs"/>
          <w:rtl/>
          <w:lang w:bidi="ar-LB"/>
        </w:rPr>
        <w:t xml:space="preserve"> حينها في نشره للأسف الشديد. ولك</w:t>
      </w:r>
      <w:r>
        <w:rPr>
          <w:rFonts w:hint="cs"/>
          <w:rtl/>
          <w:lang w:bidi="ar-LB"/>
        </w:rPr>
        <w:t>نْ</w:t>
      </w:r>
      <w:r w:rsidRPr="00CF0A84">
        <w:rPr>
          <w:rFonts w:hint="cs"/>
          <w:rtl/>
          <w:lang w:bidi="ar-LB"/>
        </w:rPr>
        <w:t xml:space="preserve"> طوال هذه الفترة الممتد</w:t>
      </w:r>
      <w:r>
        <w:rPr>
          <w:rFonts w:hint="cs"/>
          <w:rtl/>
          <w:lang w:bidi="ar-LB"/>
        </w:rPr>
        <w:t>ّ</w:t>
      </w:r>
      <w:r w:rsidRPr="00CF0A84">
        <w:rPr>
          <w:rFonts w:hint="cs"/>
          <w:rtl/>
          <w:lang w:bidi="ar-LB"/>
        </w:rPr>
        <w:t>ة لخمس سنوات و</w:t>
      </w:r>
      <w:r>
        <w:rPr>
          <w:rFonts w:hint="cs"/>
          <w:rtl/>
          <w:lang w:bidi="ar-LB"/>
        </w:rPr>
        <w:t>ُ</w:t>
      </w:r>
      <w:r w:rsidRPr="00CF0A84">
        <w:rPr>
          <w:rFonts w:hint="cs"/>
          <w:rtl/>
          <w:lang w:bidi="ar-LB"/>
        </w:rPr>
        <w:t>ضع هذا المقال في تصرّ</w:t>
      </w:r>
      <w:r>
        <w:rPr>
          <w:rFonts w:hint="cs"/>
          <w:rtl/>
          <w:lang w:bidi="ar-LB"/>
        </w:rPr>
        <w:t>ُ</w:t>
      </w:r>
      <w:r w:rsidRPr="00CF0A84">
        <w:rPr>
          <w:rFonts w:hint="cs"/>
          <w:rtl/>
          <w:lang w:bidi="ar-LB"/>
        </w:rPr>
        <w:t>ف عدد</w:t>
      </w:r>
      <w:r>
        <w:rPr>
          <w:rFonts w:hint="cs"/>
          <w:rtl/>
          <w:lang w:bidi="ar-LB"/>
        </w:rPr>
        <w:t>ٍ</w:t>
      </w:r>
      <w:r w:rsidRPr="00CF0A84">
        <w:rPr>
          <w:rFonts w:hint="cs"/>
          <w:rtl/>
          <w:lang w:bidi="ar-LB"/>
        </w:rPr>
        <w:t xml:space="preserve"> من العلماء والمفك</w:t>
      </w:r>
      <w:r>
        <w:rPr>
          <w:rFonts w:hint="cs"/>
          <w:rtl/>
          <w:lang w:bidi="ar-LB"/>
        </w:rPr>
        <w:t>ِّ</w:t>
      </w:r>
      <w:r w:rsidRPr="00CF0A84">
        <w:rPr>
          <w:rFonts w:hint="cs"/>
          <w:rtl/>
          <w:lang w:bidi="ar-LB"/>
        </w:rPr>
        <w:t xml:space="preserve">رين، كما تمّ تداوله في بعض المحافل الدراسية. وقد أسهمت الاقتراحات والانتقادات والاستفسارات والأسئلة الجديدة في التوسّع في هذا المقال. وأما التحرير الثاني للبحث فقد تمّ نشره في إطار سلسلة من المقالات في صحيفة (راه نو) الأسبوعية، في الأعداد 3 إلى 20، من شهر </w:t>
      </w:r>
      <w:r>
        <w:rPr>
          <w:rFonts w:hint="cs"/>
          <w:rtl/>
          <w:lang w:bidi="ar-LB"/>
        </w:rPr>
        <w:t>أرديبهشت إلى شهريور من عام 1377هـ.</w:t>
      </w:r>
      <w:r w:rsidRPr="00CF0A84">
        <w:rPr>
          <w:rFonts w:hint="cs"/>
          <w:rtl/>
          <w:lang w:bidi="ar-LB"/>
        </w:rPr>
        <w:t>ش</w:t>
      </w:r>
      <w:r>
        <w:rPr>
          <w:rFonts w:hint="cs"/>
          <w:rtl/>
          <w:lang w:bidi="ar-LB"/>
        </w:rPr>
        <w:t xml:space="preserve"> / 1998 م</w:t>
      </w:r>
      <w:r w:rsidRPr="00CF0A84">
        <w:rPr>
          <w:rFonts w:hint="cs"/>
          <w:rtl/>
          <w:lang w:bidi="ar-LB"/>
        </w:rPr>
        <w:t>. إن</w:t>
      </w:r>
      <w:r>
        <w:rPr>
          <w:rFonts w:hint="cs"/>
          <w:rtl/>
          <w:lang w:bidi="ar-LB"/>
        </w:rPr>
        <w:t>ّ</w:t>
      </w:r>
      <w:r w:rsidRPr="00CF0A84">
        <w:rPr>
          <w:rFonts w:hint="cs"/>
          <w:rtl/>
          <w:lang w:bidi="ar-LB"/>
        </w:rPr>
        <w:t xml:space="preserve"> كتاب </w:t>
      </w:r>
      <w:r w:rsidRPr="00A32FC0">
        <w:rPr>
          <w:rFonts w:hint="cs"/>
          <w:rtl/>
        </w:rPr>
        <w:t>«</w:t>
      </w:r>
      <w:r w:rsidRPr="00CF0A84">
        <w:rPr>
          <w:rFonts w:hint="cs"/>
          <w:rtl/>
          <w:lang w:bidi="ar-LB"/>
        </w:rPr>
        <w:t>الحكومة الولائية</w:t>
      </w:r>
      <w:r w:rsidRPr="00A32FC0">
        <w:rPr>
          <w:rFonts w:hint="cs"/>
          <w:rtl/>
        </w:rPr>
        <w:t>»</w:t>
      </w:r>
      <w:r w:rsidRPr="00CF0A84">
        <w:rPr>
          <w:rFonts w:hint="cs"/>
          <w:rtl/>
          <w:lang w:bidi="ar-LB"/>
        </w:rPr>
        <w:t xml:space="preserve"> هو هذا التحرير الثاني</w:t>
      </w:r>
      <w:r>
        <w:rPr>
          <w:rFonts w:hint="cs"/>
          <w:rtl/>
          <w:lang w:bidi="ar-LB"/>
        </w:rPr>
        <w:t>،</w:t>
      </w:r>
      <w:r w:rsidRPr="00CF0A84">
        <w:rPr>
          <w:rFonts w:hint="cs"/>
          <w:rtl/>
          <w:lang w:bidi="ar-LB"/>
        </w:rPr>
        <w:t xml:space="preserve"> مع تصحيح بعض الأخطاء المطبعية القليلة.</w:t>
      </w:r>
    </w:p>
    <w:p w:rsidR="00EA09EB" w:rsidRPr="00CF0A84" w:rsidRDefault="00EA09EB" w:rsidP="00EA09EB">
      <w:pPr>
        <w:rPr>
          <w:rtl/>
          <w:lang w:bidi="ar-LB"/>
        </w:rPr>
      </w:pPr>
      <w:r w:rsidRPr="00CF0A84">
        <w:rPr>
          <w:rFonts w:hint="cs"/>
          <w:rtl/>
          <w:lang w:bidi="ar-LB"/>
        </w:rPr>
        <w:t>وهنا نرى من المناسب أن نشير إلى خصائص الزاوية التي تعرّ</w:t>
      </w:r>
      <w:r>
        <w:rPr>
          <w:rFonts w:hint="cs"/>
          <w:rtl/>
          <w:lang w:bidi="ar-LB"/>
        </w:rPr>
        <w:t>َ</w:t>
      </w:r>
      <w:r w:rsidRPr="00CF0A84">
        <w:rPr>
          <w:rFonts w:hint="cs"/>
          <w:rtl/>
          <w:lang w:bidi="ar-LB"/>
        </w:rPr>
        <w:t xml:space="preserve">ضنا من خلالها إلى </w:t>
      </w:r>
      <w:r w:rsidRPr="00A32FC0">
        <w:rPr>
          <w:rFonts w:hint="cs"/>
          <w:rtl/>
        </w:rPr>
        <w:t>«</w:t>
      </w:r>
      <w:r w:rsidRPr="00CF0A84">
        <w:rPr>
          <w:rFonts w:hint="cs"/>
          <w:rtl/>
          <w:lang w:bidi="ar-LB"/>
        </w:rPr>
        <w:t>الحكومة الولائية</w:t>
      </w:r>
      <w:r w:rsidRPr="00A32FC0">
        <w:rPr>
          <w:rFonts w:hint="cs"/>
          <w:rtl/>
        </w:rPr>
        <w:t>»</w:t>
      </w:r>
      <w:r w:rsidRPr="00CF0A84">
        <w:rPr>
          <w:rFonts w:hint="cs"/>
          <w:rtl/>
          <w:lang w:bidi="ar-LB"/>
        </w:rPr>
        <w:t xml:space="preserve"> باختصار</w:t>
      </w:r>
      <w:r>
        <w:rPr>
          <w:rFonts w:hint="cs"/>
          <w:rtl/>
          <w:lang w:bidi="ar-LB"/>
        </w:rPr>
        <w:t>ٍ</w:t>
      </w:r>
      <w:r w:rsidRPr="00CF0A84">
        <w:rPr>
          <w:rFonts w:hint="cs"/>
          <w:rtl/>
          <w:lang w:bidi="ar-LB"/>
        </w:rPr>
        <w:t>:</w:t>
      </w:r>
    </w:p>
    <w:p w:rsidR="00EA09EB" w:rsidRPr="00CF0A84" w:rsidRDefault="00EA09EB" w:rsidP="00EA09EB">
      <w:pPr>
        <w:rPr>
          <w:rtl/>
          <w:lang w:bidi="ar-LB"/>
        </w:rPr>
      </w:pPr>
      <w:r w:rsidRPr="00CF0A84">
        <w:rPr>
          <w:rFonts w:hint="cs"/>
          <w:rtl/>
          <w:lang w:bidi="ar-LB"/>
        </w:rPr>
        <w:t>ـ التعاليم الإسلامية السامية ـ التي تضمن السعادة الحقيقية للإنسان ـ الشاملة للأصول والأحكام الفردية والاجتماعية.</w:t>
      </w:r>
    </w:p>
    <w:p w:rsidR="00EA09EB" w:rsidRPr="00CF0A84" w:rsidRDefault="00EA09EB" w:rsidP="00EA09EB">
      <w:pPr>
        <w:rPr>
          <w:rtl/>
          <w:lang w:bidi="ar-LB"/>
        </w:rPr>
      </w:pPr>
      <w:r w:rsidRPr="00CF0A84">
        <w:rPr>
          <w:rFonts w:hint="cs"/>
          <w:rtl/>
          <w:lang w:bidi="ar-LB"/>
        </w:rPr>
        <w:t>ـ إن</w:t>
      </w:r>
      <w:r>
        <w:rPr>
          <w:rFonts w:hint="cs"/>
          <w:rtl/>
          <w:lang w:bidi="ar-LB"/>
        </w:rPr>
        <w:t>ّ</w:t>
      </w:r>
      <w:r w:rsidRPr="00CF0A84">
        <w:rPr>
          <w:rFonts w:hint="cs"/>
          <w:rtl/>
          <w:lang w:bidi="ar-LB"/>
        </w:rPr>
        <w:t xml:space="preserve"> لإقامة الحكومة الدينية تأثيراً كبيراً في تحق</w:t>
      </w:r>
      <w:r>
        <w:rPr>
          <w:rFonts w:hint="cs"/>
          <w:rtl/>
          <w:lang w:bidi="ar-LB"/>
        </w:rPr>
        <w:t>ُّ</w:t>
      </w:r>
      <w:r w:rsidRPr="00CF0A84">
        <w:rPr>
          <w:rFonts w:hint="cs"/>
          <w:rtl/>
          <w:lang w:bidi="ar-LB"/>
        </w:rPr>
        <w:t>ق أهداف الدين العالية</w:t>
      </w:r>
      <w:r>
        <w:rPr>
          <w:rFonts w:hint="cs"/>
          <w:rtl/>
          <w:lang w:bidi="ar-LB"/>
        </w:rPr>
        <w:t xml:space="preserve">، </w:t>
      </w:r>
      <w:r w:rsidRPr="00CF0A84">
        <w:rPr>
          <w:rFonts w:hint="cs"/>
          <w:rtl/>
          <w:lang w:bidi="ar-LB"/>
        </w:rPr>
        <w:t>وتطبيق الأحكام الاجتماعية في الإسلام.</w:t>
      </w:r>
    </w:p>
    <w:p w:rsidR="00EA09EB" w:rsidRPr="00EA09EB" w:rsidRDefault="00EA09EB" w:rsidP="00064619">
      <w:pPr>
        <w:rPr>
          <w:rtl/>
        </w:rPr>
      </w:pPr>
      <w:r w:rsidRPr="00EA09EB">
        <w:rPr>
          <w:rFonts w:hint="cs"/>
          <w:rtl/>
        </w:rPr>
        <w:t xml:space="preserve">ـ إنّ الحكومة الدينية حكومة تنشد تحقيق الأهداف الدينية المتعالية في سياساتها العامّة، </w:t>
      </w:r>
      <w:r w:rsidRPr="007A340E">
        <w:rPr>
          <w:rFonts w:hint="cs"/>
          <w:b/>
          <w:bCs/>
          <w:rtl/>
        </w:rPr>
        <w:t>هذا أوّلاً</w:t>
      </w:r>
      <w:r w:rsidRPr="00EA09EB">
        <w:rPr>
          <w:rFonts w:hint="cs"/>
          <w:rtl/>
        </w:rPr>
        <w:t xml:space="preserve">. </w:t>
      </w:r>
      <w:r w:rsidRPr="007A340E">
        <w:rPr>
          <w:rFonts w:hint="cs"/>
          <w:b/>
          <w:bCs/>
          <w:rtl/>
        </w:rPr>
        <w:t>وثانياً</w:t>
      </w:r>
      <w:r w:rsidRPr="00EA09EB">
        <w:rPr>
          <w:rFonts w:hint="cs"/>
          <w:rtl/>
        </w:rPr>
        <w:t xml:space="preserve">: إنّ قوانينها لا تنافي أحكام الشريعة. </w:t>
      </w:r>
      <w:r w:rsidRPr="007A340E">
        <w:rPr>
          <w:rFonts w:hint="cs"/>
          <w:b/>
          <w:bCs/>
          <w:rtl/>
        </w:rPr>
        <w:t>وثالثاً</w:t>
      </w:r>
      <w:r w:rsidRPr="00EA09EB">
        <w:rPr>
          <w:rFonts w:hint="cs"/>
          <w:rtl/>
        </w:rPr>
        <w:t>: إنّها تقوم على إرادة وقناعة الغالبيّة من المتديِّنين ورأي الناس في حقل المباحات ومنطقة الفراغ.</w:t>
      </w:r>
    </w:p>
    <w:p w:rsidR="00EA09EB" w:rsidRPr="00CF0A84" w:rsidRDefault="00EA09EB" w:rsidP="00EA09EB">
      <w:pPr>
        <w:rPr>
          <w:rtl/>
          <w:lang w:bidi="ar-LB"/>
        </w:rPr>
      </w:pPr>
      <w:r w:rsidRPr="00CF0A84">
        <w:rPr>
          <w:rFonts w:hint="cs"/>
          <w:rtl/>
          <w:lang w:bidi="ar-LB"/>
        </w:rPr>
        <w:t>ـ إن نموذج الحكومة الدينية في عصر غيبة المعصوم</w:t>
      </w:r>
      <w:r>
        <w:rPr>
          <w:rFonts w:hint="cs"/>
          <w:rtl/>
        </w:rPr>
        <w:t>×</w:t>
      </w:r>
      <w:r w:rsidRPr="00CF0A84">
        <w:rPr>
          <w:rFonts w:hint="cs"/>
          <w:rtl/>
          <w:lang w:bidi="ar-LB"/>
        </w:rPr>
        <w:t xml:space="preserve"> ليست تعب</w:t>
      </w:r>
      <w:r>
        <w:rPr>
          <w:rFonts w:hint="cs"/>
          <w:rtl/>
          <w:lang w:bidi="ar-LB"/>
        </w:rPr>
        <w:t>ُّ</w:t>
      </w:r>
      <w:r w:rsidRPr="00CF0A84">
        <w:rPr>
          <w:rFonts w:hint="cs"/>
          <w:rtl/>
          <w:lang w:bidi="ar-LB"/>
        </w:rPr>
        <w:t>دية</w:t>
      </w:r>
      <w:r>
        <w:rPr>
          <w:rFonts w:hint="cs"/>
          <w:rtl/>
          <w:lang w:bidi="ar-LB"/>
        </w:rPr>
        <w:t>،</w:t>
      </w:r>
      <w:r w:rsidRPr="00CF0A84">
        <w:rPr>
          <w:rFonts w:hint="cs"/>
          <w:rtl/>
          <w:lang w:bidi="ar-LB"/>
        </w:rPr>
        <w:t xml:space="preserve"> ولا توقيفية</w:t>
      </w:r>
      <w:r>
        <w:rPr>
          <w:rFonts w:hint="cs"/>
          <w:rtl/>
          <w:lang w:bidi="ar-LB"/>
        </w:rPr>
        <w:t>،</w:t>
      </w:r>
      <w:r w:rsidRPr="00CF0A84">
        <w:rPr>
          <w:rFonts w:hint="cs"/>
          <w:rtl/>
          <w:lang w:bidi="ar-LB"/>
        </w:rPr>
        <w:t xml:space="preserve"> ولا تأسيسية، وإن</w:t>
      </w:r>
      <w:r>
        <w:rPr>
          <w:rFonts w:hint="cs"/>
          <w:rtl/>
          <w:lang w:bidi="ar-LB"/>
        </w:rPr>
        <w:t>ّ</w:t>
      </w:r>
      <w:r w:rsidRPr="00CF0A84">
        <w:rPr>
          <w:rFonts w:hint="cs"/>
          <w:rtl/>
          <w:lang w:bidi="ar-LB"/>
        </w:rPr>
        <w:t>ما يتمّ تعيينها على أساس العقل الجمعي للمسلمين والتجربة البشرية.</w:t>
      </w:r>
    </w:p>
    <w:p w:rsidR="00EA09EB" w:rsidRPr="00CF0A84" w:rsidRDefault="00EA09EB" w:rsidP="00EA09EB">
      <w:pPr>
        <w:rPr>
          <w:rtl/>
          <w:lang w:bidi="ar-LB"/>
        </w:rPr>
      </w:pPr>
      <w:r w:rsidRPr="00CF0A84">
        <w:rPr>
          <w:rFonts w:hint="cs"/>
          <w:rtl/>
          <w:lang w:bidi="ar-LB"/>
        </w:rPr>
        <w:t>إن</w:t>
      </w:r>
      <w:r>
        <w:rPr>
          <w:rFonts w:hint="cs"/>
          <w:rtl/>
          <w:lang w:bidi="ar-LB"/>
        </w:rPr>
        <w:t>ّ</w:t>
      </w:r>
      <w:r w:rsidRPr="00CF0A84">
        <w:rPr>
          <w:rFonts w:hint="cs"/>
          <w:rtl/>
          <w:lang w:bidi="ar-LB"/>
        </w:rPr>
        <w:t xml:space="preserve"> أمام تفكيرنا السياسي طريقاً طويلاً. والذين يد</w:t>
      </w:r>
      <w:r>
        <w:rPr>
          <w:rFonts w:hint="cs"/>
          <w:rtl/>
          <w:lang w:bidi="ar-LB"/>
        </w:rPr>
        <w:t>َّ</w:t>
      </w:r>
      <w:r w:rsidRPr="00CF0A84">
        <w:rPr>
          <w:rFonts w:hint="cs"/>
          <w:rtl/>
          <w:lang w:bidi="ar-LB"/>
        </w:rPr>
        <w:t>عون أنهم قد بلغوا الغاية في ذلك يجهلون عظمة هذه الغاية</w:t>
      </w:r>
      <w:r>
        <w:rPr>
          <w:rFonts w:hint="cs"/>
          <w:rtl/>
          <w:lang w:bidi="ar-LB"/>
        </w:rPr>
        <w:t>،</w:t>
      </w:r>
      <w:r w:rsidRPr="00CF0A84">
        <w:rPr>
          <w:rFonts w:hint="cs"/>
          <w:rtl/>
          <w:lang w:bidi="ar-LB"/>
        </w:rPr>
        <w:t xml:space="preserve"> وصعوبة هذا الطريق. هناك الكثير من الأسئلة الماثلة أمامنا</w:t>
      </w:r>
      <w:r>
        <w:rPr>
          <w:rFonts w:hint="cs"/>
          <w:rtl/>
          <w:lang w:bidi="ar-LB"/>
        </w:rPr>
        <w:t>،</w:t>
      </w:r>
      <w:r w:rsidRPr="00CF0A84">
        <w:rPr>
          <w:rFonts w:hint="cs"/>
          <w:rtl/>
          <w:lang w:bidi="ar-LB"/>
        </w:rPr>
        <w:t xml:space="preserve"> وقد طرحنا بعضها في هذا الكتاب وأج</w:t>
      </w:r>
      <w:r>
        <w:rPr>
          <w:rFonts w:hint="cs"/>
          <w:rtl/>
          <w:lang w:bidi="ar-LB"/>
        </w:rPr>
        <w:t>َ</w:t>
      </w:r>
      <w:r w:rsidRPr="00CF0A84">
        <w:rPr>
          <w:rFonts w:hint="cs"/>
          <w:rtl/>
          <w:lang w:bidi="ar-LB"/>
        </w:rPr>
        <w:t>ب</w:t>
      </w:r>
      <w:r>
        <w:rPr>
          <w:rFonts w:hint="cs"/>
          <w:rtl/>
          <w:lang w:bidi="ar-LB"/>
        </w:rPr>
        <w:t>ْ</w:t>
      </w:r>
      <w:r w:rsidRPr="00CF0A84">
        <w:rPr>
          <w:rFonts w:hint="cs"/>
          <w:rtl/>
          <w:lang w:bidi="ar-LB"/>
        </w:rPr>
        <w:t>نا عنها بأسلوب التحليل النقدي</w:t>
      </w:r>
      <w:r>
        <w:rPr>
          <w:rFonts w:hint="cs"/>
          <w:rtl/>
          <w:lang w:bidi="ar-LB"/>
        </w:rPr>
        <w:t>،</w:t>
      </w:r>
      <w:r w:rsidRPr="00CF0A84">
        <w:rPr>
          <w:rFonts w:hint="cs"/>
          <w:rtl/>
          <w:lang w:bidi="ar-LB"/>
        </w:rPr>
        <w:t xml:space="preserve"> وعلى أساس الضوابط الفقهية والحقوقية وقواعد التفكير السياسي</w:t>
      </w:r>
      <w:r>
        <w:rPr>
          <w:rFonts w:hint="cs"/>
          <w:rtl/>
          <w:lang w:bidi="ar-LB"/>
        </w:rPr>
        <w:t>،</w:t>
      </w:r>
      <w:r w:rsidRPr="00CF0A84">
        <w:rPr>
          <w:rFonts w:hint="cs"/>
          <w:rtl/>
          <w:lang w:bidi="ar-LB"/>
        </w:rPr>
        <w:t xml:space="preserve"> فإذا كان هناك من العلماء والمنظ</w:t>
      </w:r>
      <w:r>
        <w:rPr>
          <w:rFonts w:hint="cs"/>
          <w:rtl/>
          <w:lang w:bidi="ar-LB"/>
        </w:rPr>
        <w:t>ِّ</w:t>
      </w:r>
      <w:r w:rsidRPr="00CF0A84">
        <w:rPr>
          <w:rFonts w:hint="cs"/>
          <w:rtl/>
          <w:lang w:bidi="ar-LB"/>
        </w:rPr>
        <w:t>رين م</w:t>
      </w:r>
      <w:r>
        <w:rPr>
          <w:rFonts w:hint="cs"/>
          <w:rtl/>
          <w:lang w:bidi="ar-LB"/>
        </w:rPr>
        <w:t>َ</w:t>
      </w:r>
      <w:r w:rsidRPr="00CF0A84">
        <w:rPr>
          <w:rFonts w:hint="cs"/>
          <w:rtl/>
          <w:lang w:bidi="ar-LB"/>
        </w:rPr>
        <w:t>ن</w:t>
      </w:r>
      <w:r>
        <w:rPr>
          <w:rFonts w:hint="cs"/>
          <w:rtl/>
          <w:lang w:bidi="ar-LB"/>
        </w:rPr>
        <w:t>ْ</w:t>
      </w:r>
      <w:r w:rsidRPr="00CF0A84">
        <w:rPr>
          <w:rFonts w:hint="cs"/>
          <w:rtl/>
          <w:lang w:bidi="ar-LB"/>
        </w:rPr>
        <w:t xml:space="preserve"> لا تعجبه هذه الإجابات فإن</w:t>
      </w:r>
      <w:r>
        <w:rPr>
          <w:rFonts w:hint="cs"/>
          <w:rtl/>
          <w:lang w:bidi="ar-LB"/>
        </w:rPr>
        <w:t>ّ</w:t>
      </w:r>
      <w:r w:rsidRPr="00CF0A84">
        <w:rPr>
          <w:rFonts w:hint="cs"/>
          <w:rtl/>
          <w:lang w:bidi="ar-LB"/>
        </w:rPr>
        <w:t>ي أتوسّ</w:t>
      </w:r>
      <w:r>
        <w:rPr>
          <w:rFonts w:hint="cs"/>
          <w:rtl/>
          <w:lang w:bidi="ar-LB"/>
        </w:rPr>
        <w:t>َ</w:t>
      </w:r>
      <w:r w:rsidRPr="00CF0A84">
        <w:rPr>
          <w:rFonts w:hint="cs"/>
          <w:rtl/>
          <w:lang w:bidi="ar-LB"/>
        </w:rPr>
        <w:t>ل إليه أن يتناول القلم</w:t>
      </w:r>
      <w:r>
        <w:rPr>
          <w:rFonts w:hint="cs"/>
          <w:rtl/>
          <w:lang w:bidi="ar-LB"/>
        </w:rPr>
        <w:t>،</w:t>
      </w:r>
      <w:r w:rsidRPr="00CF0A84">
        <w:rPr>
          <w:rFonts w:hint="cs"/>
          <w:rtl/>
          <w:lang w:bidi="ar-LB"/>
        </w:rPr>
        <w:t xml:space="preserve"> وأن يكتب الإجابة المناسبة</w:t>
      </w:r>
      <w:r>
        <w:rPr>
          <w:rFonts w:hint="cs"/>
          <w:rtl/>
          <w:lang w:bidi="ar-LB"/>
        </w:rPr>
        <w:t>؛</w:t>
      </w:r>
      <w:r w:rsidRPr="00CF0A84">
        <w:rPr>
          <w:rFonts w:hint="cs"/>
          <w:rtl/>
          <w:lang w:bidi="ar-LB"/>
        </w:rPr>
        <w:t xml:space="preserve"> فأنا أدعو بإخلاص</w:t>
      </w:r>
      <w:r>
        <w:rPr>
          <w:rFonts w:hint="cs"/>
          <w:rtl/>
          <w:lang w:bidi="ar-LB"/>
        </w:rPr>
        <w:t>ٍ</w:t>
      </w:r>
      <w:r w:rsidRPr="00CF0A84">
        <w:rPr>
          <w:rFonts w:hint="cs"/>
          <w:rtl/>
          <w:lang w:bidi="ar-LB"/>
        </w:rPr>
        <w:t xml:space="preserve"> جميع العلماء والأساتذة والمول</w:t>
      </w:r>
      <w:r>
        <w:rPr>
          <w:rFonts w:hint="cs"/>
          <w:rtl/>
          <w:lang w:bidi="ar-LB"/>
        </w:rPr>
        <w:t>َ</w:t>
      </w:r>
      <w:r w:rsidRPr="00CF0A84">
        <w:rPr>
          <w:rFonts w:hint="cs"/>
          <w:rtl/>
          <w:lang w:bidi="ar-LB"/>
        </w:rPr>
        <w:t>عين بأبحاث الفكر السياسي والحقوق الأساسية والأحكام الفقهية أن ي</w:t>
      </w:r>
      <w:r>
        <w:rPr>
          <w:rFonts w:hint="cs"/>
          <w:rtl/>
          <w:lang w:bidi="ar-LB"/>
        </w:rPr>
        <w:t>ُ</w:t>
      </w:r>
      <w:r w:rsidRPr="00CF0A84">
        <w:rPr>
          <w:rFonts w:hint="cs"/>
          <w:rtl/>
          <w:lang w:bidi="ar-LB"/>
        </w:rPr>
        <w:t>س</w:t>
      </w:r>
      <w:r>
        <w:rPr>
          <w:rFonts w:hint="cs"/>
          <w:rtl/>
          <w:lang w:bidi="ar-LB"/>
        </w:rPr>
        <w:t>ْ</w:t>
      </w:r>
      <w:r w:rsidRPr="00CF0A84">
        <w:rPr>
          <w:rFonts w:hint="cs"/>
          <w:rtl/>
          <w:lang w:bidi="ar-LB"/>
        </w:rPr>
        <w:t>ه</w:t>
      </w:r>
      <w:r>
        <w:rPr>
          <w:rFonts w:hint="cs"/>
          <w:rtl/>
          <w:lang w:bidi="ar-LB"/>
        </w:rPr>
        <w:t>ِ</w:t>
      </w:r>
      <w:r w:rsidRPr="00CF0A84">
        <w:rPr>
          <w:rFonts w:hint="cs"/>
          <w:rtl/>
          <w:lang w:bidi="ar-LB"/>
        </w:rPr>
        <w:t>موا في إثراء البحث وتطوير هذا البرعم الفتي</w:t>
      </w:r>
      <w:r>
        <w:rPr>
          <w:rFonts w:hint="cs"/>
          <w:rtl/>
          <w:lang w:bidi="ar-LB"/>
        </w:rPr>
        <w:t>ّ</w:t>
      </w:r>
      <w:r w:rsidRPr="00CF0A84">
        <w:rPr>
          <w:rFonts w:hint="cs"/>
          <w:rtl/>
          <w:lang w:bidi="ar-LB"/>
        </w:rPr>
        <w:t xml:space="preserve"> للفكر الس</w:t>
      </w:r>
      <w:r>
        <w:rPr>
          <w:rFonts w:hint="cs"/>
          <w:rtl/>
          <w:lang w:bidi="ar-LB"/>
        </w:rPr>
        <w:t>ي</w:t>
      </w:r>
      <w:r w:rsidRPr="00CF0A84">
        <w:rPr>
          <w:rFonts w:hint="cs"/>
          <w:rtl/>
          <w:lang w:bidi="ar-LB"/>
        </w:rPr>
        <w:t>اسي في مجتمعنا</w:t>
      </w:r>
      <w:r>
        <w:rPr>
          <w:rFonts w:hint="cs"/>
          <w:rtl/>
          <w:lang w:bidi="ar-LB"/>
        </w:rPr>
        <w:t>،</w:t>
      </w:r>
      <w:r w:rsidRPr="00CF0A84">
        <w:rPr>
          <w:rFonts w:hint="cs"/>
          <w:rtl/>
          <w:lang w:bidi="ar-LB"/>
        </w:rPr>
        <w:t xml:space="preserve"> من خلال انتقاداتهم وتنويهاتهم وملاحظاتهم ومقترحاتهم القيّ</w:t>
      </w:r>
      <w:r>
        <w:rPr>
          <w:rFonts w:hint="cs"/>
          <w:rtl/>
          <w:lang w:bidi="ar-LB"/>
        </w:rPr>
        <w:t>ِ</w:t>
      </w:r>
      <w:r w:rsidRPr="00CF0A84">
        <w:rPr>
          <w:rFonts w:hint="cs"/>
          <w:rtl/>
          <w:lang w:bidi="ar-LB"/>
        </w:rPr>
        <w:t>مة</w:t>
      </w:r>
      <w:r>
        <w:rPr>
          <w:rFonts w:hint="cs"/>
          <w:rtl/>
          <w:lang w:bidi="ar-LB"/>
        </w:rPr>
        <w:t>،</w:t>
      </w:r>
      <w:r w:rsidRPr="00CF0A84">
        <w:rPr>
          <w:rFonts w:hint="cs"/>
          <w:rtl/>
          <w:lang w:bidi="ar-LB"/>
        </w:rPr>
        <w:t xml:space="preserve"> وعليهم أن يدركوا أن</w:t>
      </w:r>
      <w:r>
        <w:rPr>
          <w:rFonts w:hint="cs"/>
          <w:rtl/>
          <w:lang w:bidi="ar-LB"/>
        </w:rPr>
        <w:t>ّ</w:t>
      </w:r>
      <w:r w:rsidRPr="00CF0A84">
        <w:rPr>
          <w:rFonts w:hint="cs"/>
          <w:rtl/>
          <w:lang w:bidi="ar-LB"/>
        </w:rPr>
        <w:t>هم لن يتمك</w:t>
      </w:r>
      <w:r>
        <w:rPr>
          <w:rFonts w:hint="cs"/>
          <w:rtl/>
          <w:lang w:bidi="ar-LB"/>
        </w:rPr>
        <w:t>َّ</w:t>
      </w:r>
      <w:r w:rsidRPr="00CF0A84">
        <w:rPr>
          <w:rFonts w:hint="cs"/>
          <w:rtl/>
          <w:lang w:bidi="ar-LB"/>
        </w:rPr>
        <w:t>نوا من الوصول إلى مآربهم من خلال تجاهل أصل المسألة</w:t>
      </w:r>
      <w:r>
        <w:rPr>
          <w:rFonts w:hint="cs"/>
          <w:rtl/>
          <w:lang w:bidi="ar-LB"/>
        </w:rPr>
        <w:t>،</w:t>
      </w:r>
      <w:r w:rsidRPr="00CF0A84">
        <w:rPr>
          <w:rFonts w:hint="cs"/>
          <w:rtl/>
          <w:lang w:bidi="ar-LB"/>
        </w:rPr>
        <w:t xml:space="preserve"> والعمل على وضع الموانع والعراقيل</w:t>
      </w:r>
      <w:r>
        <w:rPr>
          <w:rFonts w:hint="cs"/>
          <w:rtl/>
          <w:lang w:bidi="ar-LB"/>
        </w:rPr>
        <w:t>،</w:t>
      </w:r>
      <w:r w:rsidRPr="00CF0A84">
        <w:rPr>
          <w:rFonts w:hint="cs"/>
          <w:rtl/>
          <w:lang w:bidi="ar-LB"/>
        </w:rPr>
        <w:t xml:space="preserve"> وسلب الحقوق الشرعية والقانونية عن الذين لا يفك</w:t>
      </w:r>
      <w:r>
        <w:rPr>
          <w:rFonts w:hint="cs"/>
          <w:rtl/>
          <w:lang w:bidi="ar-LB"/>
        </w:rPr>
        <w:t>ِّ</w:t>
      </w:r>
      <w:r w:rsidRPr="00CF0A84">
        <w:rPr>
          <w:rFonts w:hint="cs"/>
          <w:rtl/>
          <w:lang w:bidi="ar-LB"/>
        </w:rPr>
        <w:t>رون في الأمور بنفس طريقتهم</w:t>
      </w:r>
      <w:r>
        <w:rPr>
          <w:rFonts w:hint="cs"/>
          <w:rtl/>
          <w:lang w:bidi="ar-LB"/>
        </w:rPr>
        <w:t>،</w:t>
      </w:r>
      <w:r w:rsidRPr="00CF0A84">
        <w:rPr>
          <w:rFonts w:hint="cs"/>
          <w:rtl/>
          <w:lang w:bidi="ar-LB"/>
        </w:rPr>
        <w:t xml:space="preserve"> بل إن</w:t>
      </w:r>
      <w:r>
        <w:rPr>
          <w:rFonts w:hint="cs"/>
          <w:rtl/>
          <w:lang w:bidi="ar-LB"/>
        </w:rPr>
        <w:t>ّ</w:t>
      </w:r>
      <w:r w:rsidRPr="00CF0A84">
        <w:rPr>
          <w:rFonts w:hint="cs"/>
          <w:rtl/>
          <w:lang w:bidi="ar-LB"/>
        </w:rPr>
        <w:t xml:space="preserve"> ازدهار تفكيرنا السياسي لا يقوم إلا</w:t>
      </w:r>
      <w:r>
        <w:rPr>
          <w:rFonts w:hint="cs"/>
          <w:rtl/>
          <w:lang w:bidi="ar-LB"/>
        </w:rPr>
        <w:t>ّ</w:t>
      </w:r>
      <w:r w:rsidRPr="00CF0A84">
        <w:rPr>
          <w:rFonts w:hint="cs"/>
          <w:rtl/>
          <w:lang w:bidi="ar-LB"/>
        </w:rPr>
        <w:t xml:space="preserve"> على تضارب الآراء</w:t>
      </w:r>
      <w:r>
        <w:rPr>
          <w:rFonts w:hint="cs"/>
          <w:rtl/>
          <w:lang w:bidi="ar-LB"/>
        </w:rPr>
        <w:t>،</w:t>
      </w:r>
      <w:r w:rsidRPr="00CF0A84">
        <w:rPr>
          <w:rFonts w:hint="cs"/>
          <w:rtl/>
          <w:lang w:bidi="ar-LB"/>
        </w:rPr>
        <w:t xml:space="preserve"> وضمان حر</w:t>
      </w:r>
      <w:r>
        <w:rPr>
          <w:rFonts w:hint="cs"/>
          <w:rtl/>
          <w:lang w:bidi="ar-LB"/>
        </w:rPr>
        <w:t>ّ</w:t>
      </w:r>
      <w:r w:rsidRPr="00CF0A84">
        <w:rPr>
          <w:rFonts w:hint="cs"/>
          <w:rtl/>
          <w:lang w:bidi="ar-LB"/>
        </w:rPr>
        <w:t>ي</w:t>
      </w:r>
      <w:r>
        <w:rPr>
          <w:rFonts w:hint="cs"/>
          <w:rtl/>
          <w:lang w:bidi="ar-LB"/>
        </w:rPr>
        <w:t>ّ</w:t>
      </w:r>
      <w:r w:rsidRPr="00CF0A84">
        <w:rPr>
          <w:rFonts w:hint="cs"/>
          <w:rtl/>
          <w:lang w:bidi="ar-LB"/>
        </w:rPr>
        <w:t>ة البحث</w:t>
      </w:r>
      <w:r>
        <w:rPr>
          <w:rFonts w:hint="cs"/>
          <w:rtl/>
          <w:lang w:bidi="ar-LB"/>
        </w:rPr>
        <w:t>،</w:t>
      </w:r>
      <w:r w:rsidRPr="00CF0A84">
        <w:rPr>
          <w:rFonts w:hint="cs"/>
          <w:rtl/>
          <w:lang w:bidi="ar-LB"/>
        </w:rPr>
        <w:t xml:space="preserve"> وتوفير حق</w:t>
      </w:r>
      <w:r>
        <w:rPr>
          <w:rFonts w:hint="cs"/>
          <w:rtl/>
          <w:lang w:bidi="ar-LB"/>
        </w:rPr>
        <w:t>ّ</w:t>
      </w:r>
      <w:r w:rsidRPr="00CF0A84">
        <w:rPr>
          <w:rFonts w:hint="cs"/>
          <w:rtl/>
          <w:lang w:bidi="ar-LB"/>
        </w:rPr>
        <w:t xml:space="preserve"> النقد للجميع.</w:t>
      </w:r>
    </w:p>
    <w:p w:rsidR="00EA09EB" w:rsidRPr="00CF0A84" w:rsidRDefault="00EA09EB" w:rsidP="00EA09EB">
      <w:pPr>
        <w:rPr>
          <w:rtl/>
          <w:lang w:bidi="ar-LB"/>
        </w:rPr>
      </w:pPr>
      <w:r w:rsidRPr="00CF0A84">
        <w:rPr>
          <w:rFonts w:hint="cs"/>
          <w:rtl/>
          <w:lang w:bidi="ar-LB"/>
        </w:rPr>
        <w:t>أ</w:t>
      </w:r>
      <w:r>
        <w:rPr>
          <w:rFonts w:hint="cs"/>
          <w:rtl/>
          <w:lang w:bidi="ar-LB"/>
        </w:rPr>
        <w:t>ُ</w:t>
      </w:r>
      <w:r w:rsidRPr="00CF0A84">
        <w:rPr>
          <w:rFonts w:hint="cs"/>
          <w:rtl/>
          <w:lang w:bidi="ar-LB"/>
        </w:rPr>
        <w:t>هدي هذا الكتاب المتواضع إلى ذلك الذي عل</w:t>
      </w:r>
      <w:r>
        <w:rPr>
          <w:rFonts w:hint="cs"/>
          <w:rtl/>
          <w:lang w:bidi="ar-LB"/>
        </w:rPr>
        <w:t>َّ</w:t>
      </w:r>
      <w:r w:rsidRPr="00CF0A84">
        <w:rPr>
          <w:rFonts w:hint="cs"/>
          <w:rtl/>
          <w:lang w:bidi="ar-LB"/>
        </w:rPr>
        <w:t>منا العزّة والإخلاص</w:t>
      </w:r>
      <w:r>
        <w:rPr>
          <w:rFonts w:hint="cs"/>
          <w:rtl/>
          <w:lang w:bidi="ar-LB"/>
        </w:rPr>
        <w:t>،</w:t>
      </w:r>
      <w:r w:rsidRPr="00CF0A84">
        <w:rPr>
          <w:rFonts w:hint="cs"/>
          <w:rtl/>
          <w:lang w:bidi="ar-LB"/>
        </w:rPr>
        <w:t xml:space="preserve"> بوصفهما من أبلغ الدروس، وكان أهم</w:t>
      </w:r>
      <w:r>
        <w:rPr>
          <w:rFonts w:hint="cs"/>
          <w:rtl/>
          <w:lang w:bidi="ar-LB"/>
        </w:rPr>
        <w:t>ّ</w:t>
      </w:r>
      <w:r w:rsidRPr="00CF0A84">
        <w:rPr>
          <w:rFonts w:hint="cs"/>
          <w:rtl/>
          <w:lang w:bidi="ar-LB"/>
        </w:rPr>
        <w:t xml:space="preserve"> تراث</w:t>
      </w:r>
      <w:r>
        <w:rPr>
          <w:rFonts w:hint="cs"/>
          <w:rtl/>
          <w:lang w:bidi="ar-LB"/>
        </w:rPr>
        <w:t>ٍ</w:t>
      </w:r>
      <w:r w:rsidRPr="00CF0A84">
        <w:rPr>
          <w:rFonts w:hint="cs"/>
          <w:rtl/>
          <w:lang w:bidi="ar-LB"/>
        </w:rPr>
        <w:t xml:space="preserve"> تركه لنا هو تراث </w:t>
      </w:r>
      <w:r w:rsidRPr="00A32FC0">
        <w:rPr>
          <w:rFonts w:hint="cs"/>
          <w:rtl/>
        </w:rPr>
        <w:t>«</w:t>
      </w:r>
      <w:r w:rsidRPr="00CF0A84">
        <w:rPr>
          <w:rFonts w:hint="cs"/>
          <w:rtl/>
          <w:lang w:bidi="ar-LB"/>
        </w:rPr>
        <w:t>الجمهوري</w:t>
      </w:r>
      <w:r>
        <w:rPr>
          <w:rFonts w:hint="cs"/>
          <w:rtl/>
          <w:lang w:bidi="ar-LB"/>
        </w:rPr>
        <w:t>ّ</w:t>
      </w:r>
      <w:r w:rsidRPr="00CF0A84">
        <w:rPr>
          <w:rFonts w:hint="cs"/>
          <w:rtl/>
          <w:lang w:bidi="ar-LB"/>
        </w:rPr>
        <w:t>ة الإسلامية</w:t>
      </w:r>
      <w:r w:rsidRPr="00A32FC0">
        <w:rPr>
          <w:rFonts w:hint="cs"/>
          <w:rtl/>
        </w:rPr>
        <w:t>»</w:t>
      </w:r>
      <w:r w:rsidRPr="00CF0A84">
        <w:rPr>
          <w:rFonts w:hint="cs"/>
          <w:rtl/>
          <w:lang w:bidi="ar-LB"/>
        </w:rPr>
        <w:t>، وكان يعتبر نقد الأخ لأخي</w:t>
      </w:r>
      <w:r>
        <w:rPr>
          <w:rFonts w:hint="cs"/>
          <w:rtl/>
          <w:lang w:bidi="ar-LB"/>
        </w:rPr>
        <w:t>ه</w:t>
      </w:r>
      <w:r w:rsidRPr="00CF0A84">
        <w:rPr>
          <w:rFonts w:hint="cs"/>
          <w:rtl/>
          <w:lang w:bidi="ar-LB"/>
        </w:rPr>
        <w:t xml:space="preserve"> أفضل هدي</w:t>
      </w:r>
      <w:r>
        <w:rPr>
          <w:rFonts w:hint="cs"/>
          <w:rtl/>
          <w:lang w:bidi="ar-LB"/>
        </w:rPr>
        <w:t>ّ</w:t>
      </w:r>
      <w:r w:rsidRPr="00CF0A84">
        <w:rPr>
          <w:rFonts w:hint="cs"/>
          <w:rtl/>
          <w:lang w:bidi="ar-LB"/>
        </w:rPr>
        <w:t>ة</w:t>
      </w:r>
      <w:r>
        <w:rPr>
          <w:rFonts w:hint="cs"/>
          <w:rtl/>
          <w:lang w:bidi="ar-LB"/>
        </w:rPr>
        <w:t>ٍ</w:t>
      </w:r>
      <w:r w:rsidRPr="00CF0A84">
        <w:rPr>
          <w:rFonts w:hint="cs"/>
          <w:rtl/>
          <w:lang w:bidi="ar-LB"/>
        </w:rPr>
        <w:t xml:space="preserve"> إلهية يمكنه أن يقد</w:t>
      </w:r>
      <w:r>
        <w:rPr>
          <w:rFonts w:hint="cs"/>
          <w:rtl/>
          <w:lang w:bidi="ar-LB"/>
        </w:rPr>
        <w:t>ِّمها له... إلى السيد الخميني</w:t>
      </w:r>
      <w:r w:rsidRPr="00CF0A84">
        <w:rPr>
          <w:rFonts w:hint="cs"/>
          <w:rtl/>
          <w:lang w:bidi="ar-LB"/>
        </w:rPr>
        <w:t>(رضوان الله عليه) أقدّ</w:t>
      </w:r>
      <w:r>
        <w:rPr>
          <w:rFonts w:hint="cs"/>
          <w:rtl/>
          <w:lang w:bidi="ar-LB"/>
        </w:rPr>
        <w:t>ِ</w:t>
      </w:r>
      <w:r w:rsidRPr="00CF0A84">
        <w:rPr>
          <w:rFonts w:hint="cs"/>
          <w:rtl/>
          <w:lang w:bidi="ar-LB"/>
        </w:rPr>
        <w:t>م هذه البضاعة.</w:t>
      </w:r>
    </w:p>
    <w:p w:rsidR="00EA09EB" w:rsidRPr="007A340E" w:rsidRDefault="00EA09EB" w:rsidP="007A340E">
      <w:pPr>
        <w:rPr>
          <w:b/>
          <w:bCs/>
          <w:rtl/>
          <w:lang w:bidi="ar-LB"/>
        </w:rPr>
      </w:pPr>
    </w:p>
    <w:p w:rsidR="00EA09EB" w:rsidRPr="00A906F9" w:rsidRDefault="00EA09EB" w:rsidP="00064619">
      <w:pPr>
        <w:jc w:val="center"/>
        <w:rPr>
          <w:sz w:val="32"/>
          <w:szCs w:val="32"/>
          <w:rtl/>
          <w:lang w:bidi="ar-LB"/>
        </w:rPr>
      </w:pPr>
      <w:r w:rsidRPr="00F04934">
        <w:rPr>
          <w:rFonts w:hint="cs"/>
          <w:rtl/>
          <w:lang w:bidi="ar-LB"/>
        </w:rPr>
        <w:t xml:space="preserve">طهران، بتاريخ: شهر مهر، من عام 1377هـ.ش </w:t>
      </w:r>
      <w:r>
        <w:rPr>
          <w:rFonts w:hint="cs"/>
          <w:rtl/>
          <w:lang w:bidi="ar-LB"/>
        </w:rPr>
        <w:t xml:space="preserve">/ </w:t>
      </w:r>
      <w:r w:rsidRPr="00F04934">
        <w:rPr>
          <w:rFonts w:hint="cs"/>
          <w:rtl/>
          <w:lang w:bidi="ar-LB"/>
        </w:rPr>
        <w:t>1998 م</w:t>
      </w:r>
    </w:p>
    <w:p w:rsidR="00EA09EB" w:rsidRPr="00CF0A84" w:rsidRDefault="00EA09EB" w:rsidP="00EA09EB">
      <w:pPr>
        <w:jc w:val="center"/>
        <w:rPr>
          <w:rFonts w:cs="Abz-1 (Lotus)"/>
          <w:sz w:val="32"/>
          <w:szCs w:val="32"/>
          <w:lang w:bidi="ar-LB"/>
        </w:rPr>
      </w:pPr>
      <w:r w:rsidRPr="00CF0A84">
        <w:rPr>
          <w:rFonts w:cs="Abz-1 (Lotus)" w:hint="cs"/>
          <w:sz w:val="32"/>
          <w:szCs w:val="32"/>
          <w:rtl/>
          <w:lang w:bidi="ar-LB"/>
        </w:rPr>
        <w:t>* * *</w:t>
      </w:r>
    </w:p>
    <w:p w:rsidR="00064619" w:rsidRDefault="00EA09EB" w:rsidP="00064619">
      <w:pPr>
        <w:pStyle w:val="Heading2"/>
        <w:rPr>
          <w:rtl/>
        </w:rPr>
      </w:pPr>
      <w:r w:rsidRPr="00EA09EB">
        <w:rPr>
          <w:rtl/>
        </w:rPr>
        <w:br w:type="page"/>
      </w:r>
    </w:p>
    <w:p w:rsidR="00064619" w:rsidRDefault="00064619" w:rsidP="00064619">
      <w:pPr>
        <w:rPr>
          <w:rtl/>
        </w:rPr>
        <w:sectPr w:rsidR="00064619" w:rsidSect="009003FC">
          <w:footnotePr>
            <w:numRestart w:val="eachPage"/>
          </w:footnotePr>
          <w:type w:val="oddPage"/>
          <w:pgSz w:w="11907" w:h="16840" w:code="9"/>
          <w:pgMar w:top="2835" w:right="2552" w:bottom="3232" w:left="2552" w:header="2268" w:footer="1106" w:gutter="0"/>
          <w:cols w:space="720"/>
          <w:titlePg/>
          <w:docGrid w:linePitch="360"/>
        </w:sectPr>
      </w:pPr>
    </w:p>
    <w:p w:rsidR="00064619" w:rsidRDefault="00064619" w:rsidP="00064619">
      <w:pPr>
        <w:rPr>
          <w:rtl/>
        </w:rPr>
      </w:pPr>
    </w:p>
    <w:p w:rsidR="00064619" w:rsidRDefault="00064619" w:rsidP="00064619">
      <w:pPr>
        <w:rPr>
          <w:rtl/>
        </w:rPr>
      </w:pPr>
    </w:p>
    <w:p w:rsidR="00064619" w:rsidRDefault="00064619" w:rsidP="00064619">
      <w:pPr>
        <w:rPr>
          <w:rtl/>
        </w:rPr>
      </w:pPr>
    </w:p>
    <w:p w:rsidR="00064619" w:rsidRDefault="00064619" w:rsidP="00064619">
      <w:pPr>
        <w:rPr>
          <w:rtl/>
        </w:rPr>
      </w:pPr>
    </w:p>
    <w:p w:rsidR="00EA09EB" w:rsidRPr="00586160" w:rsidRDefault="00EA09EB" w:rsidP="00064619">
      <w:pPr>
        <w:pStyle w:val="Heading2"/>
        <w:jc w:val="center"/>
        <w:rPr>
          <w:rtl/>
          <w:lang w:bidi="ar-LB"/>
        </w:rPr>
      </w:pPr>
      <w:bookmarkStart w:id="29" w:name="_Toc413658813"/>
      <w:r w:rsidRPr="00586160">
        <w:rPr>
          <w:rFonts w:hint="cs"/>
          <w:rtl/>
          <w:lang w:bidi="ar-LB"/>
        </w:rPr>
        <w:t>الدي</w:t>
      </w:r>
      <w:r w:rsidRPr="00064619">
        <w:rPr>
          <w:rFonts w:hint="cs"/>
          <w:rtl/>
        </w:rPr>
        <w:t>باجة</w:t>
      </w:r>
      <w:bookmarkEnd w:id="29"/>
    </w:p>
    <w:p w:rsidR="00EA09EB" w:rsidRPr="00CF0A84" w:rsidRDefault="00EA09EB" w:rsidP="00EA09EB">
      <w:pPr>
        <w:rPr>
          <w:rtl/>
          <w:lang w:bidi="ar-LB"/>
        </w:rPr>
      </w:pPr>
      <w:r w:rsidRPr="00CF0A84">
        <w:rPr>
          <w:rFonts w:hint="cs"/>
          <w:rtl/>
          <w:lang w:bidi="ar-LB"/>
        </w:rPr>
        <w:t>ينقسم الفكر السياسي في الإسلام من الزاوية</w:t>
      </w:r>
      <w:r w:rsidRPr="00CF0A84">
        <w:rPr>
          <w:lang w:bidi="ar-LB"/>
        </w:rPr>
        <w:t xml:space="preserve"> </w:t>
      </w:r>
      <w:r w:rsidRPr="00CF0A84">
        <w:rPr>
          <w:rFonts w:hint="cs"/>
          <w:rtl/>
          <w:lang w:bidi="ar-LB"/>
        </w:rPr>
        <w:t>الشيعية إلى مرحلتين منفصلتين عن بعضهما تماماً:</w:t>
      </w:r>
    </w:p>
    <w:p w:rsidR="00EA09EB" w:rsidRPr="00CF0A84" w:rsidRDefault="00EA09EB" w:rsidP="00EA09EB">
      <w:pPr>
        <w:rPr>
          <w:rtl/>
          <w:lang w:bidi="ar-LB"/>
        </w:rPr>
      </w:pPr>
      <w:r w:rsidRPr="00CF0A84">
        <w:rPr>
          <w:rFonts w:hint="cs"/>
          <w:rtl/>
          <w:lang w:bidi="ar-LB"/>
        </w:rPr>
        <w:t>المرحلة الأولى: مرحلة حضور المعصوم في المجتمع.</w:t>
      </w:r>
    </w:p>
    <w:p w:rsidR="00EA09EB" w:rsidRPr="00CF0A84" w:rsidRDefault="00EA09EB" w:rsidP="00EA09EB">
      <w:pPr>
        <w:rPr>
          <w:rtl/>
          <w:lang w:bidi="ar-LB"/>
        </w:rPr>
      </w:pPr>
      <w:r w:rsidRPr="00CF0A84">
        <w:rPr>
          <w:rFonts w:hint="cs"/>
          <w:rtl/>
          <w:lang w:bidi="ar-LB"/>
        </w:rPr>
        <w:t>والمرحلة الثانية: مرحلة غ</w:t>
      </w:r>
      <w:r>
        <w:rPr>
          <w:rFonts w:hint="cs"/>
          <w:rtl/>
          <w:lang w:bidi="ar-LB"/>
        </w:rPr>
        <w:t>َ</w:t>
      </w:r>
      <w:r w:rsidRPr="00CF0A84">
        <w:rPr>
          <w:rFonts w:hint="cs"/>
          <w:rtl/>
          <w:lang w:bidi="ar-LB"/>
        </w:rPr>
        <w:t>ي</w:t>
      </w:r>
      <w:r>
        <w:rPr>
          <w:rFonts w:hint="cs"/>
          <w:rtl/>
          <w:lang w:bidi="ar-LB"/>
        </w:rPr>
        <w:t>ْ</w:t>
      </w:r>
      <w:r w:rsidRPr="00CF0A84">
        <w:rPr>
          <w:rFonts w:hint="cs"/>
          <w:rtl/>
          <w:lang w:bidi="ar-LB"/>
        </w:rPr>
        <w:t>بة المعصوم عن المجتمع.</w:t>
      </w:r>
    </w:p>
    <w:p w:rsidR="00EA09EB" w:rsidRPr="00CF0A84" w:rsidRDefault="00EA09EB" w:rsidP="00A97582">
      <w:pPr>
        <w:pStyle w:val="Normal93"/>
        <w:rPr>
          <w:rtl/>
        </w:rPr>
      </w:pPr>
      <w:r w:rsidRPr="00EA09EB">
        <w:rPr>
          <w:rFonts w:hint="cs"/>
          <w:rtl/>
        </w:rPr>
        <w:t>إن ملاك التمايز بين هاتين المرحلتين يكمن في الحضور والغَيْبة لإنسانٍ خاصّ يتمتع بثلاث صفات ممتازة، وهي: العلم اللدني، والعصمة، والنصّ الخاصّ الدالّ على نبوّته أو إمامته من قِبَل الله. ومن الواضح أنّ بين حضور هذا الشخص في المجتمع وغيابه عنه بَوْناً شاسعاً، وتفاوتاً جوهرياً. وقد امتدَّتْ المرحلة الأولى لثلاثة قرون ونصف القرن، أي من بدء البعثة النبويّة (ثلاث عشرة سنة قبل الهجرة) وحتّى عام 260هـ. وبالالتفات إلى المعيار والملاك المتقدِّم تلحق فترة الغَيْبة الصغرى (260 ـ 329هـ) بواسطة حضور النائب الخاصّ للمعصوم في المجتمع بهذا العصر أيضاً</w:t>
      </w:r>
      <w:r w:rsidRPr="00064619">
        <w:rPr>
          <w:rFonts w:cs="Taher"/>
          <w:vertAlign w:val="superscript"/>
          <w:rtl/>
        </w:rPr>
        <w:t>(</w:t>
      </w:r>
      <w:r w:rsidRPr="00064619">
        <w:rPr>
          <w:rFonts w:cs="Taher"/>
          <w:vertAlign w:val="superscript"/>
          <w:rtl/>
        </w:rPr>
        <w:footnoteReference w:id="9"/>
      </w:r>
      <w:r w:rsidRPr="00064619">
        <w:rPr>
          <w:rFonts w:cs="Taher"/>
          <w:vertAlign w:val="superscript"/>
          <w:rtl/>
        </w:rPr>
        <w:t>)</w:t>
      </w:r>
      <w:r w:rsidRPr="00EA09EB">
        <w:rPr>
          <w:rFonts w:hint="cs"/>
          <w:rtl/>
        </w:rPr>
        <w:t>. وأما المرحلة الثانية فقد بدأت منذ عام 329هـ (بداية الغيبة الكبرى)، وسوف تستمرّ إلى ظهور إمام العصر</w:t>
      </w:r>
      <w:r w:rsidRPr="00E2207F">
        <w:rPr>
          <w:rFonts w:cs="SKR HEAD1" w:hint="cs"/>
          <w:rtl/>
        </w:rPr>
        <w:sym w:font="Abz Roumouz" w:char="F02E"/>
      </w:r>
      <w:r w:rsidRPr="00CF0A84">
        <w:rPr>
          <w:rFonts w:hint="cs"/>
          <w:rtl/>
        </w:rPr>
        <w:t>. وقد مضى على هذه المرحلة حت</w:t>
      </w:r>
      <w:r>
        <w:rPr>
          <w:rFonts w:hint="cs"/>
          <w:rtl/>
        </w:rPr>
        <w:t>ّ</w:t>
      </w:r>
      <w:r w:rsidRPr="00CF0A84">
        <w:rPr>
          <w:rFonts w:hint="cs"/>
          <w:rtl/>
        </w:rPr>
        <w:t>ى الآن ما يقرب من أحد عشر قرناً.</w:t>
      </w:r>
    </w:p>
    <w:p w:rsidR="00EA09EB" w:rsidRPr="00CF0A84" w:rsidRDefault="00EA09EB" w:rsidP="00A97582">
      <w:pPr>
        <w:pStyle w:val="Normal87"/>
        <w:rPr>
          <w:rtl/>
        </w:rPr>
      </w:pPr>
      <w:r w:rsidRPr="00CF0A84">
        <w:rPr>
          <w:rFonts w:hint="cs"/>
          <w:rtl/>
        </w:rPr>
        <w:t>ينقسم الفكر السياسي الشيعي في عصر غ</w:t>
      </w:r>
      <w:r>
        <w:rPr>
          <w:rFonts w:hint="cs"/>
          <w:rtl/>
        </w:rPr>
        <w:t>َ</w:t>
      </w:r>
      <w:r w:rsidRPr="00CF0A84">
        <w:rPr>
          <w:rFonts w:hint="cs"/>
          <w:rtl/>
        </w:rPr>
        <w:t>ي</w:t>
      </w:r>
      <w:r>
        <w:rPr>
          <w:rFonts w:hint="cs"/>
          <w:rtl/>
        </w:rPr>
        <w:t>ْ</w:t>
      </w:r>
      <w:r w:rsidRPr="00CF0A84">
        <w:rPr>
          <w:rFonts w:hint="cs"/>
          <w:rtl/>
        </w:rPr>
        <w:t>بة المعصوم</w:t>
      </w:r>
      <w:r>
        <w:rPr>
          <w:rFonts w:hint="cs"/>
          <w:rtl/>
        </w:rPr>
        <w:t>×،</w:t>
      </w:r>
      <w:r w:rsidRPr="00CF0A84">
        <w:rPr>
          <w:rFonts w:hint="cs"/>
          <w:rtl/>
        </w:rPr>
        <w:t xml:space="preserve"> على أساس الفكر السائد في كل</w:t>
      </w:r>
      <w:r>
        <w:rPr>
          <w:rFonts w:hint="cs"/>
          <w:rtl/>
        </w:rPr>
        <w:t>ّ</w:t>
      </w:r>
      <w:r w:rsidRPr="00CF0A84">
        <w:rPr>
          <w:rFonts w:hint="cs"/>
          <w:rtl/>
        </w:rPr>
        <w:t xml:space="preserve"> عصر</w:t>
      </w:r>
      <w:r>
        <w:rPr>
          <w:rFonts w:hint="cs"/>
          <w:rtl/>
        </w:rPr>
        <w:t>ٍ،</w:t>
      </w:r>
      <w:r w:rsidRPr="00CF0A84">
        <w:rPr>
          <w:rFonts w:hint="cs"/>
          <w:rtl/>
        </w:rPr>
        <w:t xml:space="preserve"> إلى أربع مراحل، وهي</w:t>
      </w:r>
      <w:r w:rsidRPr="00064619">
        <w:rPr>
          <w:rFonts w:cs="Taher"/>
          <w:vertAlign w:val="superscript"/>
          <w:rtl/>
        </w:rPr>
        <w:t>(</w:t>
      </w:r>
      <w:r w:rsidRPr="00064619">
        <w:rPr>
          <w:rFonts w:cs="Taher"/>
          <w:vertAlign w:val="superscript"/>
          <w:rtl/>
        </w:rPr>
        <w:footnoteReference w:id="10"/>
      </w:r>
      <w:r w:rsidRPr="00064619">
        <w:rPr>
          <w:rFonts w:cs="Taher"/>
          <w:vertAlign w:val="superscript"/>
          <w:rtl/>
        </w:rPr>
        <w:t>)</w:t>
      </w:r>
      <w:r w:rsidRPr="00CF0A84">
        <w:rPr>
          <w:rFonts w:hint="cs"/>
          <w:rtl/>
        </w:rPr>
        <w:t>:</w:t>
      </w:r>
    </w:p>
    <w:p w:rsidR="00EA09EB" w:rsidRPr="00CF0A84" w:rsidRDefault="00EA09EB" w:rsidP="00A97582">
      <w:pPr>
        <w:pStyle w:val="Normal84"/>
        <w:rPr>
          <w:rtl/>
        </w:rPr>
      </w:pPr>
      <w:r w:rsidRPr="00CF0A84">
        <w:rPr>
          <w:rFonts w:hint="cs"/>
          <w:rtl/>
        </w:rPr>
        <w:t>المرحلة الأولى: مرحلة بلورة الهوية المذهبية للشيعة، حيث تبدأ من أوائل القرن الهجري الرابع إلى بدايات القرن الهجري العاشر. وفي هذه المرحلة كان التفكير السائد يذهب إلى إضفاء الشرعية على حكومة المعصوم فقط، ولذلك قل</w:t>
      </w:r>
      <w:r>
        <w:rPr>
          <w:rFonts w:hint="cs"/>
          <w:rtl/>
        </w:rPr>
        <w:t>َّ</w:t>
      </w:r>
      <w:r w:rsidRPr="00CF0A84">
        <w:rPr>
          <w:rFonts w:hint="cs"/>
          <w:rtl/>
        </w:rPr>
        <w:t>ما كانت تهتم</w:t>
      </w:r>
      <w:r>
        <w:rPr>
          <w:rFonts w:hint="cs"/>
          <w:rtl/>
        </w:rPr>
        <w:t>ّ</w:t>
      </w:r>
      <w:r w:rsidRPr="00CF0A84">
        <w:rPr>
          <w:rFonts w:hint="cs"/>
          <w:rtl/>
        </w:rPr>
        <w:t xml:space="preserve"> بأحكام الدائرة العام</w:t>
      </w:r>
      <w:r>
        <w:rPr>
          <w:rFonts w:hint="cs"/>
          <w:rtl/>
        </w:rPr>
        <w:t>ّ</w:t>
      </w:r>
      <w:r w:rsidRPr="00CF0A84">
        <w:rPr>
          <w:rFonts w:hint="cs"/>
          <w:rtl/>
        </w:rPr>
        <w:t>ة، وكانت ه</w:t>
      </w:r>
      <w:r>
        <w:rPr>
          <w:rFonts w:hint="cs"/>
          <w:rtl/>
        </w:rPr>
        <w:t>ِ</w:t>
      </w:r>
      <w:r w:rsidRPr="00CF0A84">
        <w:rPr>
          <w:rFonts w:hint="cs"/>
          <w:rtl/>
        </w:rPr>
        <w:t>مّ</w:t>
      </w:r>
      <w:r>
        <w:rPr>
          <w:rFonts w:hint="cs"/>
          <w:rtl/>
        </w:rPr>
        <w:t>َ</w:t>
      </w:r>
      <w:r w:rsidRPr="00CF0A84">
        <w:rPr>
          <w:rFonts w:hint="cs"/>
          <w:rtl/>
        </w:rPr>
        <w:t>ة علماء الدين ـ وخاصّة الفقهاء منهم ـ مشغولة</w:t>
      </w:r>
      <w:r>
        <w:rPr>
          <w:rFonts w:hint="cs"/>
          <w:rtl/>
        </w:rPr>
        <w:t>ً</w:t>
      </w:r>
      <w:r w:rsidRPr="00CF0A84">
        <w:rPr>
          <w:rFonts w:hint="cs"/>
          <w:rtl/>
        </w:rPr>
        <w:t xml:space="preserve"> باستنباط الأحكام في الدائرة الخاصة</w:t>
      </w:r>
      <w:r w:rsidRPr="00064619">
        <w:rPr>
          <w:rFonts w:cs="Taher"/>
          <w:vertAlign w:val="superscript"/>
          <w:rtl/>
        </w:rPr>
        <w:t>(</w:t>
      </w:r>
      <w:r w:rsidRPr="00064619">
        <w:rPr>
          <w:rFonts w:cs="Taher"/>
          <w:vertAlign w:val="superscript"/>
          <w:rtl/>
        </w:rPr>
        <w:footnoteReference w:id="11"/>
      </w:r>
      <w:r w:rsidRPr="00064619">
        <w:rPr>
          <w:rFonts w:cs="Taher"/>
          <w:vertAlign w:val="superscript"/>
          <w:rtl/>
        </w:rPr>
        <w:t>)</w:t>
      </w:r>
      <w:r w:rsidRPr="00CF0A84">
        <w:rPr>
          <w:rFonts w:hint="cs"/>
          <w:rtl/>
        </w:rPr>
        <w:t>.</w:t>
      </w:r>
    </w:p>
    <w:p w:rsidR="00EA09EB" w:rsidRPr="00CF0A84" w:rsidRDefault="00EA09EB" w:rsidP="00A97582">
      <w:pPr>
        <w:pStyle w:val="Normal87"/>
        <w:rPr>
          <w:rtl/>
        </w:rPr>
      </w:pPr>
      <w:r w:rsidRPr="00CF0A84">
        <w:rPr>
          <w:rFonts w:hint="cs"/>
          <w:rtl/>
        </w:rPr>
        <w:t>المرحلة الثانية: عصر السلطة والولاية، وتبدأ من بدايات القرن الهجري العاشر إلى أواخر القرن الثالث عشر. وفي هذه المرحلة يتمّ الاعتراف رسمي</w:t>
      </w:r>
      <w:r>
        <w:rPr>
          <w:rFonts w:hint="cs"/>
          <w:rtl/>
        </w:rPr>
        <w:t>ّ</w:t>
      </w:r>
      <w:r w:rsidRPr="00CF0A84">
        <w:rPr>
          <w:rFonts w:hint="cs"/>
          <w:rtl/>
        </w:rPr>
        <w:t>اً بسلطة المسلمين من ذوي الش</w:t>
      </w:r>
      <w:r>
        <w:rPr>
          <w:rFonts w:hint="cs"/>
          <w:rtl/>
        </w:rPr>
        <w:t>َّ</w:t>
      </w:r>
      <w:r w:rsidRPr="00CF0A84">
        <w:rPr>
          <w:rFonts w:hint="cs"/>
          <w:rtl/>
        </w:rPr>
        <w:t>و</w:t>
      </w:r>
      <w:r>
        <w:rPr>
          <w:rFonts w:hint="cs"/>
          <w:rtl/>
        </w:rPr>
        <w:t>ْ</w:t>
      </w:r>
      <w:r w:rsidRPr="00CF0A84">
        <w:rPr>
          <w:rFonts w:hint="cs"/>
          <w:rtl/>
        </w:rPr>
        <w:t>كة (الملك الشيعي). وفي هذه المرحلة أخذ</w:t>
      </w:r>
      <w:r>
        <w:rPr>
          <w:rFonts w:hint="cs"/>
          <w:rtl/>
        </w:rPr>
        <w:t>َ</w:t>
      </w:r>
      <w:r w:rsidRPr="00CF0A84">
        <w:rPr>
          <w:rFonts w:hint="cs"/>
          <w:rtl/>
        </w:rPr>
        <w:t>ت</w:t>
      </w:r>
      <w:r>
        <w:rPr>
          <w:rFonts w:hint="cs"/>
          <w:rtl/>
        </w:rPr>
        <w:t>ْ</w:t>
      </w:r>
      <w:r w:rsidRPr="00CF0A84">
        <w:rPr>
          <w:rFonts w:hint="cs"/>
          <w:rtl/>
        </w:rPr>
        <w:t xml:space="preserve"> فكرة الولاية السياسية لدى الفقهاء بالتبلور تدريجياً، وتمّ تدوين مختلف أبعادها</w:t>
      </w:r>
      <w:r w:rsidRPr="00064619">
        <w:rPr>
          <w:rFonts w:cs="Taher"/>
          <w:vertAlign w:val="superscript"/>
          <w:rtl/>
        </w:rPr>
        <w:t>(</w:t>
      </w:r>
      <w:r w:rsidRPr="00064619">
        <w:rPr>
          <w:rFonts w:cs="Taher"/>
          <w:vertAlign w:val="superscript"/>
          <w:rtl/>
        </w:rPr>
        <w:footnoteReference w:id="12"/>
      </w:r>
      <w:r w:rsidRPr="00064619">
        <w:rPr>
          <w:rFonts w:cs="Taher"/>
          <w:vertAlign w:val="superscript"/>
          <w:rtl/>
        </w:rPr>
        <w:t>)</w:t>
      </w:r>
      <w:r w:rsidRPr="00CF0A84">
        <w:rPr>
          <w:rFonts w:hint="cs"/>
          <w:rtl/>
        </w:rPr>
        <w:t>.</w:t>
      </w:r>
    </w:p>
    <w:p w:rsidR="00EA09EB" w:rsidRPr="00CF0A84" w:rsidRDefault="00EA09EB" w:rsidP="00A97582">
      <w:pPr>
        <w:pStyle w:val="Normal93"/>
        <w:rPr>
          <w:rtl/>
        </w:rPr>
      </w:pPr>
      <w:r w:rsidRPr="00CF0A84">
        <w:rPr>
          <w:rFonts w:hint="cs"/>
          <w:rtl/>
        </w:rPr>
        <w:t>المرحلة الثالثة: عصر الإشراف والمشروطة (الحركة الدستوري</w:t>
      </w:r>
      <w:r>
        <w:rPr>
          <w:rFonts w:hint="cs"/>
          <w:rtl/>
        </w:rPr>
        <w:t>ّ</w:t>
      </w:r>
      <w:r w:rsidRPr="00CF0A84">
        <w:rPr>
          <w:rFonts w:hint="cs"/>
          <w:rtl/>
        </w:rPr>
        <w:t xml:space="preserve">ة)، في القرن الرابع عشر </w:t>
      </w:r>
      <w:r>
        <w:rPr>
          <w:rFonts w:hint="cs"/>
          <w:rtl/>
        </w:rPr>
        <w:t>الهجري</w:t>
      </w:r>
      <w:r w:rsidRPr="00CF0A84">
        <w:rPr>
          <w:rFonts w:hint="cs"/>
          <w:rtl/>
        </w:rPr>
        <w:t>. في هذه المرحلة تمّ الاستناد إلى أصل المساواة والحر</w:t>
      </w:r>
      <w:r>
        <w:rPr>
          <w:rFonts w:hint="cs"/>
          <w:rtl/>
        </w:rPr>
        <w:t>ّ</w:t>
      </w:r>
      <w:r w:rsidRPr="00CF0A84">
        <w:rPr>
          <w:rFonts w:hint="cs"/>
          <w:rtl/>
        </w:rPr>
        <w:t>ي</w:t>
      </w:r>
      <w:r>
        <w:rPr>
          <w:rFonts w:hint="cs"/>
          <w:rtl/>
        </w:rPr>
        <w:t>ّ</w:t>
      </w:r>
      <w:r w:rsidRPr="00CF0A84">
        <w:rPr>
          <w:rFonts w:hint="cs"/>
          <w:rtl/>
        </w:rPr>
        <w:t>ة، وتم</w:t>
      </w:r>
      <w:r>
        <w:rPr>
          <w:rFonts w:hint="cs"/>
          <w:rtl/>
        </w:rPr>
        <w:t>َّ</w:t>
      </w:r>
      <w:r w:rsidRPr="00CF0A84">
        <w:rPr>
          <w:rFonts w:hint="cs"/>
          <w:rtl/>
        </w:rPr>
        <w:t xml:space="preserve"> تقييد مشروعية الحكومة والسلطة بإشراف وكلاء الناس</w:t>
      </w:r>
      <w:r>
        <w:rPr>
          <w:rFonts w:hint="cs"/>
          <w:rtl/>
        </w:rPr>
        <w:t>،</w:t>
      </w:r>
      <w:r w:rsidRPr="00CF0A84">
        <w:rPr>
          <w:rFonts w:hint="cs"/>
          <w:rtl/>
        </w:rPr>
        <w:t xml:space="preserve"> والعمل بقوانين الدستور، كما تمّ</w:t>
      </w:r>
      <w:r>
        <w:rPr>
          <w:rFonts w:hint="cs"/>
          <w:rtl/>
        </w:rPr>
        <w:t>َ</w:t>
      </w:r>
      <w:r w:rsidRPr="00CF0A84">
        <w:rPr>
          <w:rFonts w:hint="cs"/>
          <w:rtl/>
        </w:rPr>
        <w:t xml:space="preserve"> تأييد </w:t>
      </w:r>
      <w:r>
        <w:rPr>
          <w:rFonts w:hint="cs"/>
          <w:rtl/>
        </w:rPr>
        <w:t>إ</w:t>
      </w:r>
      <w:r w:rsidRPr="00CF0A84">
        <w:rPr>
          <w:rFonts w:hint="cs"/>
          <w:rtl/>
        </w:rPr>
        <w:t>سلامية الحكم من خلال إشراف الفقهاء (بانتخاب الممث</w:t>
      </w:r>
      <w:r>
        <w:rPr>
          <w:rFonts w:hint="cs"/>
          <w:rtl/>
        </w:rPr>
        <w:t>ِّ</w:t>
      </w:r>
      <w:r w:rsidRPr="00CF0A84">
        <w:rPr>
          <w:rFonts w:hint="cs"/>
          <w:rtl/>
        </w:rPr>
        <w:t>لين في المجلس من بين المجتهدين المرش</w:t>
      </w:r>
      <w:r>
        <w:rPr>
          <w:rFonts w:hint="cs"/>
          <w:rtl/>
        </w:rPr>
        <w:t>َّ</w:t>
      </w:r>
      <w:r w:rsidRPr="00CF0A84">
        <w:rPr>
          <w:rFonts w:hint="cs"/>
          <w:rtl/>
        </w:rPr>
        <w:t>حين من قبل مراجع التقليد)</w:t>
      </w:r>
      <w:r w:rsidRPr="00064619">
        <w:rPr>
          <w:rFonts w:cs="Taher"/>
          <w:vertAlign w:val="superscript"/>
          <w:rtl/>
        </w:rPr>
        <w:t>(</w:t>
      </w:r>
      <w:r w:rsidRPr="00064619">
        <w:rPr>
          <w:rFonts w:cs="Taher"/>
          <w:vertAlign w:val="superscript"/>
          <w:rtl/>
        </w:rPr>
        <w:footnoteReference w:id="13"/>
      </w:r>
      <w:r w:rsidRPr="00064619">
        <w:rPr>
          <w:rFonts w:cs="Taher"/>
          <w:vertAlign w:val="superscript"/>
          <w:rtl/>
        </w:rPr>
        <w:t>)</w:t>
      </w:r>
      <w:r w:rsidRPr="00CF0A84">
        <w:rPr>
          <w:rFonts w:hint="cs"/>
          <w:rtl/>
        </w:rPr>
        <w:t>.</w:t>
      </w:r>
    </w:p>
    <w:p w:rsidR="00EA09EB" w:rsidRPr="00EA09EB" w:rsidRDefault="00EA09EB" w:rsidP="00A97582">
      <w:pPr>
        <w:pStyle w:val="Normal93"/>
        <w:rPr>
          <w:rtl/>
        </w:rPr>
      </w:pPr>
      <w:r w:rsidRPr="00CF0A84">
        <w:rPr>
          <w:rFonts w:hint="cs"/>
          <w:rtl/>
        </w:rPr>
        <w:t xml:space="preserve">المرحلة الرابعة: عصر الجمهورية الإسلامية، القرن الهجري الخامس عشر. </w:t>
      </w:r>
      <w:r w:rsidRPr="00A32FC0">
        <w:rPr>
          <w:rFonts w:hint="cs"/>
          <w:rtl/>
        </w:rPr>
        <w:t>«</w:t>
      </w:r>
      <w:r w:rsidRPr="00CF0A84">
        <w:rPr>
          <w:rFonts w:hint="cs"/>
          <w:rtl/>
        </w:rPr>
        <w:t>ولكن</w:t>
      </w:r>
      <w:r>
        <w:rPr>
          <w:rFonts w:hint="cs"/>
          <w:rtl/>
        </w:rPr>
        <w:t>َّ</w:t>
      </w:r>
      <w:r w:rsidRPr="00CF0A84">
        <w:rPr>
          <w:rFonts w:hint="cs"/>
          <w:rtl/>
        </w:rPr>
        <w:t>ها الجمهورية بالمعنى المعروف للجمهورية في القاموس السياسي</w:t>
      </w:r>
      <w:r w:rsidRPr="00A32FC0">
        <w:rPr>
          <w:rFonts w:hint="cs"/>
          <w:rtl/>
        </w:rPr>
        <w:t>»</w:t>
      </w:r>
      <w:r w:rsidRPr="00064619">
        <w:rPr>
          <w:rFonts w:cs="Taher"/>
          <w:vertAlign w:val="superscript"/>
          <w:rtl/>
        </w:rPr>
        <w:t>(</w:t>
      </w:r>
      <w:r w:rsidRPr="00064619">
        <w:rPr>
          <w:rFonts w:cs="Taher"/>
          <w:vertAlign w:val="superscript"/>
          <w:rtl/>
        </w:rPr>
        <w:footnoteReference w:id="14"/>
      </w:r>
      <w:r w:rsidRPr="00064619">
        <w:rPr>
          <w:rFonts w:cs="Taher"/>
          <w:vertAlign w:val="superscript"/>
          <w:rtl/>
        </w:rPr>
        <w:t>)</w:t>
      </w:r>
      <w:r w:rsidRPr="00EA09EB">
        <w:rPr>
          <w:rFonts w:hint="cs"/>
          <w:rtl/>
        </w:rPr>
        <w:t>، «بمعنى الحكومة التي يتمّ تشكيلها عبر انتخاب رئيسها لفترةٍ محدَّدة، ويكون محتواها إسلامياً»</w:t>
      </w:r>
      <w:r w:rsidRPr="00064619">
        <w:rPr>
          <w:rFonts w:cs="Taher"/>
          <w:vertAlign w:val="superscript"/>
          <w:rtl/>
        </w:rPr>
        <w:t>(</w:t>
      </w:r>
      <w:r w:rsidRPr="00064619">
        <w:rPr>
          <w:rFonts w:cs="Taher"/>
          <w:vertAlign w:val="superscript"/>
          <w:rtl/>
        </w:rPr>
        <w:footnoteReference w:id="15"/>
      </w:r>
      <w:r w:rsidRPr="00064619">
        <w:rPr>
          <w:rFonts w:cs="Taher"/>
          <w:vertAlign w:val="superscript"/>
          <w:rtl/>
        </w:rPr>
        <w:t>)</w:t>
      </w:r>
      <w:r w:rsidRPr="00EA09EB">
        <w:rPr>
          <w:rFonts w:hint="cs"/>
          <w:rtl/>
        </w:rPr>
        <w:t>، يعني «أن تستند إلى دستورٍ مشتمل على قوانين الإسلام»</w:t>
      </w:r>
      <w:r w:rsidRPr="00064619">
        <w:rPr>
          <w:rFonts w:cs="Taher"/>
          <w:vertAlign w:val="superscript"/>
          <w:rtl/>
        </w:rPr>
        <w:t>(</w:t>
      </w:r>
      <w:r w:rsidRPr="00064619">
        <w:rPr>
          <w:rFonts w:cs="Taher"/>
          <w:vertAlign w:val="superscript"/>
          <w:rtl/>
        </w:rPr>
        <w:footnoteReference w:id="16"/>
      </w:r>
      <w:r w:rsidRPr="00064619">
        <w:rPr>
          <w:rFonts w:cs="Taher"/>
          <w:vertAlign w:val="superscript"/>
          <w:rtl/>
        </w:rPr>
        <w:t>)</w:t>
      </w:r>
      <w:r w:rsidRPr="00EA09EB">
        <w:rPr>
          <w:rFonts w:hint="cs"/>
          <w:rtl/>
        </w:rPr>
        <w:t>.</w:t>
      </w:r>
    </w:p>
    <w:p w:rsidR="00EA09EB" w:rsidRPr="00CF0A84" w:rsidRDefault="00EA09EB" w:rsidP="00A97582">
      <w:pPr>
        <w:pStyle w:val="Normal93"/>
        <w:rPr>
          <w:rtl/>
        </w:rPr>
      </w:pPr>
      <w:r>
        <w:rPr>
          <w:rFonts w:hint="cs"/>
          <w:rtl/>
        </w:rPr>
        <w:t>و</w:t>
      </w:r>
      <w:r w:rsidRPr="00CF0A84">
        <w:rPr>
          <w:rFonts w:hint="cs"/>
          <w:rtl/>
        </w:rPr>
        <w:t>رغم أن</w:t>
      </w:r>
      <w:r>
        <w:rPr>
          <w:rFonts w:hint="cs"/>
          <w:rtl/>
        </w:rPr>
        <w:t>ّ</w:t>
      </w:r>
      <w:r w:rsidRPr="00CF0A84">
        <w:rPr>
          <w:rFonts w:hint="cs"/>
          <w:rtl/>
        </w:rPr>
        <w:t xml:space="preserve"> </w:t>
      </w:r>
      <w:r w:rsidRPr="00A32FC0">
        <w:rPr>
          <w:rFonts w:hint="cs"/>
          <w:rtl/>
        </w:rPr>
        <w:t>«</w:t>
      </w:r>
      <w:r w:rsidRPr="00CF0A84">
        <w:rPr>
          <w:rFonts w:hint="cs"/>
          <w:rtl/>
        </w:rPr>
        <w:t>الولاية</w:t>
      </w:r>
      <w:r w:rsidRPr="00A32FC0">
        <w:rPr>
          <w:rFonts w:hint="cs"/>
          <w:rtl/>
        </w:rPr>
        <w:t>»</w:t>
      </w:r>
      <w:r w:rsidRPr="00CF0A84">
        <w:rPr>
          <w:rFonts w:hint="cs"/>
          <w:rtl/>
        </w:rPr>
        <w:t xml:space="preserve"> ت</w:t>
      </w:r>
      <w:r>
        <w:rPr>
          <w:rFonts w:hint="cs"/>
          <w:rtl/>
        </w:rPr>
        <w:t>ُ</w:t>
      </w:r>
      <w:r w:rsidRPr="00CF0A84">
        <w:rPr>
          <w:rFonts w:hint="cs"/>
          <w:rtl/>
        </w:rPr>
        <w:t>ع</w:t>
      </w:r>
      <w:r>
        <w:rPr>
          <w:rFonts w:hint="cs"/>
          <w:rtl/>
        </w:rPr>
        <w:t>َ</w:t>
      </w:r>
      <w:r w:rsidRPr="00CF0A84">
        <w:rPr>
          <w:rFonts w:hint="cs"/>
          <w:rtl/>
        </w:rPr>
        <w:t>د</w:t>
      </w:r>
      <w:r>
        <w:rPr>
          <w:rFonts w:hint="cs"/>
          <w:rtl/>
        </w:rPr>
        <w:t>ّ</w:t>
      </w:r>
      <w:r w:rsidRPr="00CF0A84">
        <w:rPr>
          <w:rFonts w:hint="cs"/>
          <w:rtl/>
        </w:rPr>
        <w:t xml:space="preserve"> من المفاهيم الأساسية في المرحلة الثانية، </w:t>
      </w:r>
      <w:r>
        <w:rPr>
          <w:rFonts w:hint="cs"/>
          <w:rtl/>
        </w:rPr>
        <w:t>فقد</w:t>
      </w:r>
      <w:r w:rsidRPr="00CF0A84">
        <w:rPr>
          <w:rFonts w:hint="cs"/>
          <w:rtl/>
        </w:rPr>
        <w:t xml:space="preserve"> أ</w:t>
      </w:r>
      <w:r>
        <w:rPr>
          <w:rFonts w:hint="cs"/>
          <w:rtl/>
        </w:rPr>
        <w:t>ُ</w:t>
      </w:r>
      <w:r w:rsidRPr="00CF0A84">
        <w:rPr>
          <w:rFonts w:hint="cs"/>
          <w:rtl/>
        </w:rPr>
        <w:t>عيد طرح</w:t>
      </w:r>
      <w:r>
        <w:rPr>
          <w:rFonts w:hint="cs"/>
          <w:rtl/>
        </w:rPr>
        <w:t>ُ</w:t>
      </w:r>
      <w:r w:rsidRPr="00CF0A84">
        <w:rPr>
          <w:rFonts w:hint="cs"/>
          <w:rtl/>
        </w:rPr>
        <w:t xml:space="preserve">ها بعد قيام </w:t>
      </w:r>
      <w:r w:rsidRPr="00A32FC0">
        <w:rPr>
          <w:rFonts w:hint="cs"/>
          <w:rtl/>
        </w:rPr>
        <w:t>«</w:t>
      </w:r>
      <w:r w:rsidRPr="00CF0A84">
        <w:rPr>
          <w:rFonts w:hint="cs"/>
          <w:rtl/>
        </w:rPr>
        <w:t>الجمهورية الإسلامية</w:t>
      </w:r>
      <w:r w:rsidRPr="00A32FC0">
        <w:rPr>
          <w:rFonts w:hint="cs"/>
          <w:rtl/>
        </w:rPr>
        <w:t>»</w:t>
      </w:r>
      <w:r w:rsidRPr="00CF0A84">
        <w:rPr>
          <w:rFonts w:hint="cs"/>
          <w:rtl/>
        </w:rPr>
        <w:t xml:space="preserve"> في إيران</w:t>
      </w:r>
      <w:r>
        <w:rPr>
          <w:rFonts w:hint="cs"/>
          <w:rtl/>
        </w:rPr>
        <w:t>،</w:t>
      </w:r>
      <w:r w:rsidRPr="00CF0A84">
        <w:rPr>
          <w:rFonts w:hint="cs"/>
          <w:rtl/>
        </w:rPr>
        <w:t xml:space="preserve"> وعند تدوين الدستور، وات</w:t>
      </w:r>
      <w:r>
        <w:rPr>
          <w:rFonts w:hint="cs"/>
          <w:rtl/>
        </w:rPr>
        <w:t>َّ</w:t>
      </w:r>
      <w:r w:rsidRPr="00CF0A84">
        <w:rPr>
          <w:rFonts w:hint="cs"/>
          <w:rtl/>
        </w:rPr>
        <w:t>سعت بشكل</w:t>
      </w:r>
      <w:r>
        <w:rPr>
          <w:rFonts w:hint="cs"/>
          <w:rtl/>
        </w:rPr>
        <w:t>ٍ</w:t>
      </w:r>
      <w:r w:rsidRPr="00CF0A84">
        <w:rPr>
          <w:rFonts w:hint="cs"/>
          <w:rtl/>
        </w:rPr>
        <w:t xml:space="preserve"> متزايد</w:t>
      </w:r>
      <w:r>
        <w:rPr>
          <w:rFonts w:hint="cs"/>
          <w:rtl/>
        </w:rPr>
        <w:t>،</w:t>
      </w:r>
      <w:r w:rsidRPr="00CF0A84">
        <w:rPr>
          <w:rFonts w:hint="cs"/>
          <w:rtl/>
        </w:rPr>
        <w:t xml:space="preserve"> حت</w:t>
      </w:r>
      <w:r>
        <w:rPr>
          <w:rFonts w:hint="cs"/>
          <w:rtl/>
        </w:rPr>
        <w:t>ّ</w:t>
      </w:r>
      <w:r w:rsidRPr="00CF0A84">
        <w:rPr>
          <w:rFonts w:hint="cs"/>
          <w:rtl/>
        </w:rPr>
        <w:t xml:space="preserve">ى أضحت </w:t>
      </w:r>
      <w:r w:rsidRPr="00A32FC0">
        <w:rPr>
          <w:rFonts w:hint="cs"/>
          <w:rtl/>
        </w:rPr>
        <w:t>«</w:t>
      </w:r>
      <w:r w:rsidRPr="00CF0A84">
        <w:rPr>
          <w:rFonts w:hint="cs"/>
          <w:rtl/>
        </w:rPr>
        <w:t>الولاية المطلقة</w:t>
      </w:r>
      <w:r w:rsidRPr="00A32FC0">
        <w:rPr>
          <w:rFonts w:hint="cs"/>
          <w:rtl/>
        </w:rPr>
        <w:t>»</w:t>
      </w:r>
      <w:r w:rsidRPr="00CF0A84">
        <w:rPr>
          <w:rFonts w:hint="cs"/>
          <w:rtl/>
        </w:rPr>
        <w:t xml:space="preserve"> اليوم تشك</w:t>
      </w:r>
      <w:r>
        <w:rPr>
          <w:rFonts w:hint="cs"/>
          <w:rtl/>
        </w:rPr>
        <w:t>ِّ</w:t>
      </w:r>
      <w:r w:rsidRPr="00CF0A84">
        <w:rPr>
          <w:rFonts w:hint="cs"/>
          <w:rtl/>
        </w:rPr>
        <w:t>ل الركن الأول من أركان الحكومة الإسلامية. وعلى هذا الأساس من الطبيعي جد</w:t>
      </w:r>
      <w:r>
        <w:rPr>
          <w:rFonts w:hint="cs"/>
          <w:rtl/>
        </w:rPr>
        <w:t>ّ</w:t>
      </w:r>
      <w:r w:rsidRPr="00CF0A84">
        <w:rPr>
          <w:rFonts w:hint="cs"/>
          <w:rtl/>
        </w:rPr>
        <w:t>اً أن نتأم</w:t>
      </w:r>
      <w:r>
        <w:rPr>
          <w:rFonts w:hint="cs"/>
          <w:rtl/>
        </w:rPr>
        <w:t>َّ</w:t>
      </w:r>
      <w:r w:rsidRPr="00CF0A84">
        <w:rPr>
          <w:rFonts w:hint="cs"/>
          <w:rtl/>
        </w:rPr>
        <w:t>ل ونحق</w:t>
      </w:r>
      <w:r>
        <w:rPr>
          <w:rFonts w:hint="cs"/>
          <w:rtl/>
        </w:rPr>
        <w:t>ِّ</w:t>
      </w:r>
      <w:r w:rsidRPr="00CF0A84">
        <w:rPr>
          <w:rFonts w:hint="cs"/>
          <w:rtl/>
        </w:rPr>
        <w:t xml:space="preserve">ق في </w:t>
      </w:r>
      <w:r w:rsidRPr="00A32FC0">
        <w:rPr>
          <w:rFonts w:hint="cs"/>
          <w:rtl/>
        </w:rPr>
        <w:t>«</w:t>
      </w:r>
      <w:r w:rsidRPr="00CF0A84">
        <w:rPr>
          <w:rFonts w:hint="cs"/>
          <w:rtl/>
        </w:rPr>
        <w:t>الولاية</w:t>
      </w:r>
      <w:r w:rsidRPr="00A32FC0">
        <w:rPr>
          <w:rFonts w:hint="cs"/>
          <w:rtl/>
        </w:rPr>
        <w:t>»</w:t>
      </w:r>
      <w:r>
        <w:rPr>
          <w:rFonts w:hint="cs"/>
          <w:rtl/>
        </w:rPr>
        <w:t>؛</w:t>
      </w:r>
      <w:r w:rsidRPr="00CF0A84">
        <w:rPr>
          <w:rFonts w:hint="cs"/>
          <w:rtl/>
        </w:rPr>
        <w:t xml:space="preserve"> بغية </w:t>
      </w:r>
      <w:r>
        <w:rPr>
          <w:rFonts w:hint="cs"/>
          <w:rtl/>
        </w:rPr>
        <w:t>التعرُّ</w:t>
      </w:r>
      <w:r w:rsidRPr="00CF0A84">
        <w:rPr>
          <w:rFonts w:hint="cs"/>
          <w:rtl/>
        </w:rPr>
        <w:t>ف إلى ماهية الحكومة الإسلامية المعاصرة، وأن نتطرّ</w:t>
      </w:r>
      <w:r>
        <w:rPr>
          <w:rFonts w:hint="cs"/>
          <w:rtl/>
        </w:rPr>
        <w:t>َ</w:t>
      </w:r>
      <w:r w:rsidRPr="00CF0A84">
        <w:rPr>
          <w:rFonts w:hint="cs"/>
          <w:rtl/>
        </w:rPr>
        <w:t xml:space="preserve">ق إلى مختلف أبعاد </w:t>
      </w:r>
      <w:r w:rsidRPr="00A32FC0">
        <w:rPr>
          <w:rFonts w:hint="cs"/>
          <w:rtl/>
        </w:rPr>
        <w:t>«</w:t>
      </w:r>
      <w:r w:rsidRPr="00CF0A84">
        <w:rPr>
          <w:rFonts w:hint="cs"/>
          <w:rtl/>
        </w:rPr>
        <w:t>الحكومة الولائية</w:t>
      </w:r>
      <w:r w:rsidRPr="00A32FC0">
        <w:rPr>
          <w:rFonts w:hint="cs"/>
          <w:rtl/>
        </w:rPr>
        <w:t>»</w:t>
      </w:r>
      <w:r w:rsidRPr="00CF0A84">
        <w:rPr>
          <w:rFonts w:hint="cs"/>
          <w:rtl/>
        </w:rPr>
        <w:t xml:space="preserve"> (الحكومة القائمة على الولاية التنصيبية المطلقة للفقيه). إن</w:t>
      </w:r>
      <w:r>
        <w:rPr>
          <w:rFonts w:hint="cs"/>
          <w:rtl/>
        </w:rPr>
        <w:t>ّ</w:t>
      </w:r>
      <w:r w:rsidRPr="00CF0A84">
        <w:rPr>
          <w:rFonts w:hint="cs"/>
          <w:rtl/>
        </w:rPr>
        <w:t xml:space="preserve"> نظرية </w:t>
      </w:r>
      <w:r w:rsidRPr="00A32FC0">
        <w:rPr>
          <w:rFonts w:hint="cs"/>
          <w:rtl/>
        </w:rPr>
        <w:t>«</w:t>
      </w:r>
      <w:r w:rsidRPr="00CF0A84">
        <w:rPr>
          <w:rFonts w:hint="cs"/>
          <w:rtl/>
        </w:rPr>
        <w:t>الولاية التنصيبية المطلقة للفقيه</w:t>
      </w:r>
      <w:r w:rsidRPr="00A32FC0">
        <w:rPr>
          <w:rFonts w:hint="cs"/>
          <w:rtl/>
        </w:rPr>
        <w:t>»</w:t>
      </w:r>
      <w:r w:rsidRPr="00CF0A84">
        <w:rPr>
          <w:rFonts w:hint="cs"/>
          <w:rtl/>
        </w:rPr>
        <w:t xml:space="preserve"> (التي يتمّ تداولها اليوم في مجتمعنا بوصفها النظرية المعت</w:t>
      </w:r>
      <w:r>
        <w:rPr>
          <w:rFonts w:hint="cs"/>
          <w:rtl/>
        </w:rPr>
        <w:t>َ</w:t>
      </w:r>
      <w:r w:rsidRPr="00CF0A84">
        <w:rPr>
          <w:rFonts w:hint="cs"/>
          <w:rtl/>
        </w:rPr>
        <w:t>ر</w:t>
      </w:r>
      <w:r>
        <w:rPr>
          <w:rFonts w:hint="cs"/>
          <w:rtl/>
        </w:rPr>
        <w:t>َ</w:t>
      </w:r>
      <w:r w:rsidRPr="00CF0A84">
        <w:rPr>
          <w:rFonts w:hint="cs"/>
          <w:rtl/>
        </w:rPr>
        <w:t xml:space="preserve">ف بها رسمياً) تقوم على أربعة أركان، وهي </w:t>
      </w:r>
      <w:r>
        <w:rPr>
          <w:rFonts w:hint="cs"/>
          <w:rtl/>
        </w:rPr>
        <w:t>كالتالي</w:t>
      </w:r>
      <w:r w:rsidRPr="00CF0A84">
        <w:rPr>
          <w:rFonts w:hint="cs"/>
          <w:rtl/>
        </w:rPr>
        <w:t>:</w:t>
      </w:r>
    </w:p>
    <w:p w:rsidR="00EA09EB" w:rsidRPr="00CF0A84" w:rsidRDefault="00EA09EB" w:rsidP="00EA09EB">
      <w:pPr>
        <w:rPr>
          <w:rtl/>
          <w:lang w:bidi="ar-LB"/>
        </w:rPr>
      </w:pPr>
      <w:r>
        <w:rPr>
          <w:rFonts w:hint="cs"/>
          <w:rtl/>
          <w:lang w:bidi="ar-LB"/>
        </w:rPr>
        <w:t>1</w:t>
      </w:r>
      <w:r w:rsidRPr="00CF0A84">
        <w:rPr>
          <w:rFonts w:hint="cs"/>
          <w:rtl/>
          <w:lang w:bidi="ar-LB"/>
        </w:rPr>
        <w:t>ـ الولاية.</w:t>
      </w:r>
    </w:p>
    <w:p w:rsidR="00EA09EB" w:rsidRPr="00CF0A84" w:rsidRDefault="00EA09EB" w:rsidP="00EA09EB">
      <w:pPr>
        <w:rPr>
          <w:rtl/>
          <w:lang w:bidi="ar-LB"/>
        </w:rPr>
      </w:pPr>
      <w:r>
        <w:rPr>
          <w:rFonts w:hint="cs"/>
          <w:rtl/>
          <w:lang w:bidi="ar-LB"/>
        </w:rPr>
        <w:t>2</w:t>
      </w:r>
      <w:r w:rsidRPr="00CF0A84">
        <w:rPr>
          <w:rFonts w:hint="cs"/>
          <w:rtl/>
          <w:lang w:bidi="ar-LB"/>
        </w:rPr>
        <w:t>ـ التنصيب.</w:t>
      </w:r>
    </w:p>
    <w:p w:rsidR="00EA09EB" w:rsidRPr="00CF0A84" w:rsidRDefault="00EA09EB" w:rsidP="00EA09EB">
      <w:pPr>
        <w:rPr>
          <w:rtl/>
          <w:lang w:bidi="ar-LB"/>
        </w:rPr>
      </w:pPr>
      <w:r>
        <w:rPr>
          <w:rFonts w:hint="cs"/>
          <w:rtl/>
          <w:lang w:bidi="ar-LB"/>
        </w:rPr>
        <w:t>3</w:t>
      </w:r>
      <w:r w:rsidRPr="00CF0A84">
        <w:rPr>
          <w:rFonts w:hint="cs"/>
          <w:rtl/>
          <w:lang w:bidi="ar-LB"/>
        </w:rPr>
        <w:t>ـ الإطلاق.</w:t>
      </w:r>
    </w:p>
    <w:p w:rsidR="00EA09EB" w:rsidRPr="00CF0A84" w:rsidRDefault="00EA09EB" w:rsidP="00EA09EB">
      <w:pPr>
        <w:rPr>
          <w:rtl/>
          <w:lang w:bidi="ar-LB"/>
        </w:rPr>
      </w:pPr>
      <w:r>
        <w:rPr>
          <w:rFonts w:hint="cs"/>
          <w:rtl/>
          <w:lang w:bidi="ar-LB"/>
        </w:rPr>
        <w:t>4</w:t>
      </w:r>
      <w:r w:rsidRPr="00CF0A84">
        <w:rPr>
          <w:rFonts w:hint="cs"/>
          <w:rtl/>
          <w:lang w:bidi="ar-LB"/>
        </w:rPr>
        <w:t>ـ الفقاهة.</w:t>
      </w:r>
    </w:p>
    <w:p w:rsidR="00EA09EB" w:rsidRPr="00CF0A84" w:rsidRDefault="00EA09EB" w:rsidP="00EA09EB">
      <w:pPr>
        <w:rPr>
          <w:rtl/>
          <w:lang w:bidi="ar-LB"/>
        </w:rPr>
      </w:pPr>
      <w:r w:rsidRPr="00CF0A84">
        <w:rPr>
          <w:rFonts w:hint="cs"/>
          <w:rtl/>
          <w:lang w:bidi="ar-LB"/>
        </w:rPr>
        <w:t>ومن هذه الأركان الأربعة تحظى (الولاية) بأهم</w:t>
      </w:r>
      <w:r>
        <w:rPr>
          <w:rFonts w:hint="cs"/>
          <w:rtl/>
          <w:lang w:bidi="ar-LB"/>
        </w:rPr>
        <w:t>ّ</w:t>
      </w:r>
      <w:r w:rsidRPr="00CF0A84">
        <w:rPr>
          <w:rFonts w:hint="cs"/>
          <w:rtl/>
          <w:lang w:bidi="ar-LB"/>
        </w:rPr>
        <w:t>ية</w:t>
      </w:r>
      <w:r>
        <w:rPr>
          <w:rFonts w:hint="cs"/>
          <w:rtl/>
          <w:lang w:bidi="ar-LB"/>
        </w:rPr>
        <w:t>ٍ</w:t>
      </w:r>
      <w:r w:rsidRPr="00CF0A84">
        <w:rPr>
          <w:rFonts w:hint="cs"/>
          <w:rtl/>
          <w:lang w:bidi="ar-LB"/>
        </w:rPr>
        <w:t xml:space="preserve"> زائدة على الأركان الأخرى. إن</w:t>
      </w:r>
      <w:r>
        <w:rPr>
          <w:rFonts w:hint="cs"/>
          <w:rtl/>
          <w:lang w:bidi="ar-LB"/>
        </w:rPr>
        <w:t>ّ</w:t>
      </w:r>
      <w:r w:rsidRPr="00CF0A84">
        <w:rPr>
          <w:rFonts w:hint="cs"/>
          <w:rtl/>
          <w:lang w:bidi="ar-LB"/>
        </w:rPr>
        <w:t xml:space="preserve"> هذه المفاهيم الجوهرية الأربعة تمث</w:t>
      </w:r>
      <w:r>
        <w:rPr>
          <w:rFonts w:hint="cs"/>
          <w:rtl/>
          <w:lang w:bidi="ar-LB"/>
        </w:rPr>
        <w:t>ِّ</w:t>
      </w:r>
      <w:r w:rsidRPr="00CF0A84">
        <w:rPr>
          <w:rFonts w:hint="cs"/>
          <w:rtl/>
          <w:lang w:bidi="ar-LB"/>
        </w:rPr>
        <w:t>ل في الواقع الإجابة عن أربعة أسئلة</w:t>
      </w:r>
      <w:r>
        <w:rPr>
          <w:rFonts w:hint="cs"/>
          <w:rtl/>
          <w:lang w:bidi="ar-LB"/>
        </w:rPr>
        <w:t>ٍ</w:t>
      </w:r>
      <w:r w:rsidRPr="00CF0A84">
        <w:rPr>
          <w:rFonts w:hint="cs"/>
          <w:rtl/>
          <w:lang w:bidi="ar-LB"/>
        </w:rPr>
        <w:t xml:space="preserve"> جوهرية عن أساس </w:t>
      </w:r>
      <w:r w:rsidRPr="00A32FC0">
        <w:rPr>
          <w:rFonts w:hint="cs"/>
          <w:rtl/>
        </w:rPr>
        <w:t>«</w:t>
      </w:r>
      <w:r w:rsidRPr="00CF0A84">
        <w:rPr>
          <w:rFonts w:hint="cs"/>
          <w:rtl/>
          <w:lang w:bidi="ar-LB"/>
        </w:rPr>
        <w:t>المشروعية الإلهية المباشرة</w:t>
      </w:r>
      <w:r w:rsidRPr="00A32FC0">
        <w:rPr>
          <w:rFonts w:hint="cs"/>
          <w:rtl/>
        </w:rPr>
        <w:t>»</w:t>
      </w:r>
      <w:r w:rsidRPr="00CF0A84">
        <w:rPr>
          <w:rFonts w:hint="cs"/>
          <w:rtl/>
          <w:lang w:bidi="ar-LB"/>
        </w:rPr>
        <w:t xml:space="preserve"> (القيادة الرب</w:t>
      </w:r>
      <w:r>
        <w:rPr>
          <w:rFonts w:hint="cs"/>
          <w:rtl/>
          <w:lang w:bidi="ar-LB"/>
        </w:rPr>
        <w:t>ّ</w:t>
      </w:r>
      <w:r w:rsidRPr="00CF0A84">
        <w:rPr>
          <w:rFonts w:hint="cs"/>
          <w:rtl/>
          <w:lang w:bidi="ar-LB"/>
        </w:rPr>
        <w:t>انية دون تدخّ</w:t>
      </w:r>
      <w:r>
        <w:rPr>
          <w:rFonts w:hint="cs"/>
          <w:rtl/>
          <w:lang w:bidi="ar-LB"/>
        </w:rPr>
        <w:t>ُ</w:t>
      </w:r>
      <w:r w:rsidRPr="00CF0A84">
        <w:rPr>
          <w:rFonts w:hint="cs"/>
          <w:rtl/>
          <w:lang w:bidi="ar-LB"/>
        </w:rPr>
        <w:t xml:space="preserve">ل الأمّة في إضفاء المشروعية على الحكومة)، وهي الأسئلة </w:t>
      </w:r>
      <w:r>
        <w:rPr>
          <w:rFonts w:hint="cs"/>
          <w:rtl/>
          <w:lang w:bidi="ar-LB"/>
        </w:rPr>
        <w:t>التالية</w:t>
      </w:r>
      <w:r w:rsidRPr="00CF0A84">
        <w:rPr>
          <w:rFonts w:hint="cs"/>
          <w:rtl/>
          <w:lang w:bidi="ar-LB"/>
        </w:rPr>
        <w:t>:</w:t>
      </w:r>
    </w:p>
    <w:p w:rsidR="00EA09EB" w:rsidRPr="00CF0A84" w:rsidRDefault="00EA09EB" w:rsidP="00A97582">
      <w:pPr>
        <w:pStyle w:val="Normal93"/>
        <w:rPr>
          <w:rtl/>
        </w:rPr>
      </w:pPr>
      <w:r w:rsidRPr="00CF0A84">
        <w:rPr>
          <w:rFonts w:hint="cs"/>
          <w:rtl/>
        </w:rPr>
        <w:t>السؤال الأول: ما هو نوع الحكومة التي فوّ</w:t>
      </w:r>
      <w:r>
        <w:rPr>
          <w:rFonts w:hint="cs"/>
          <w:rtl/>
        </w:rPr>
        <w:t>َ</w:t>
      </w:r>
      <w:r w:rsidRPr="00CF0A84">
        <w:rPr>
          <w:rFonts w:hint="cs"/>
          <w:rtl/>
        </w:rPr>
        <w:t>ضها الشارع للحاكم الإلهي؟ وما هو نوع الحكومة الإلهية؟ وما هو نوع علاقة الحاكم الإلهي بالناس؟</w:t>
      </w:r>
    </w:p>
    <w:p w:rsidR="00EA09EB" w:rsidRPr="00CF0A84" w:rsidRDefault="00EA09EB" w:rsidP="00EA09EB">
      <w:pPr>
        <w:rPr>
          <w:rtl/>
          <w:lang w:bidi="ar-LB"/>
        </w:rPr>
      </w:pPr>
      <w:r w:rsidRPr="00CF0A84">
        <w:rPr>
          <w:rFonts w:hint="cs"/>
          <w:rtl/>
          <w:lang w:bidi="ar-LB"/>
        </w:rPr>
        <w:t>السؤال الثاني: ما هي طريقة الشارع في إيصال الحاكم الإلهي إلى السلطة؟ وما هو نوع العلاقة القائمة بين الحاكم الإلهي والشارع؟</w:t>
      </w:r>
    </w:p>
    <w:p w:rsidR="00EA09EB" w:rsidRPr="00CF0A84" w:rsidRDefault="00EA09EB" w:rsidP="00EA09EB">
      <w:pPr>
        <w:rPr>
          <w:rtl/>
          <w:lang w:bidi="ar-LB"/>
        </w:rPr>
      </w:pPr>
      <w:r w:rsidRPr="00CF0A84">
        <w:rPr>
          <w:rFonts w:hint="cs"/>
          <w:rtl/>
          <w:lang w:bidi="ar-LB"/>
        </w:rPr>
        <w:t>السؤال الثالث: ما هي حدود خيارات الحاكم الإلهية الممنوحة له من ق</w:t>
      </w:r>
      <w:r>
        <w:rPr>
          <w:rFonts w:hint="cs"/>
          <w:rtl/>
          <w:lang w:bidi="ar-LB"/>
        </w:rPr>
        <w:t>ِ</w:t>
      </w:r>
      <w:r w:rsidRPr="00CF0A84">
        <w:rPr>
          <w:rFonts w:hint="cs"/>
          <w:rtl/>
          <w:lang w:bidi="ar-LB"/>
        </w:rPr>
        <w:t>ب</w:t>
      </w:r>
      <w:r>
        <w:rPr>
          <w:rFonts w:hint="cs"/>
          <w:rtl/>
          <w:lang w:bidi="ar-LB"/>
        </w:rPr>
        <w:t>َ</w:t>
      </w:r>
      <w:r w:rsidRPr="00CF0A84">
        <w:rPr>
          <w:rFonts w:hint="cs"/>
          <w:rtl/>
          <w:lang w:bidi="ar-LB"/>
        </w:rPr>
        <w:t>ل الشارع؟ وما هي حدود دائرة نشاط الحاكم الإلهي؟</w:t>
      </w:r>
    </w:p>
    <w:p w:rsidR="00EA09EB" w:rsidRPr="00CF0A84" w:rsidRDefault="00EA09EB" w:rsidP="00EA09EB">
      <w:pPr>
        <w:rPr>
          <w:rtl/>
          <w:lang w:bidi="ar-LB"/>
        </w:rPr>
      </w:pPr>
      <w:r w:rsidRPr="00CF0A84">
        <w:rPr>
          <w:rFonts w:hint="cs"/>
          <w:rtl/>
          <w:lang w:bidi="ar-LB"/>
        </w:rPr>
        <w:t>السؤال الرابع: م</w:t>
      </w:r>
      <w:r>
        <w:rPr>
          <w:rFonts w:hint="cs"/>
          <w:rtl/>
          <w:lang w:bidi="ar-LB"/>
        </w:rPr>
        <w:t>َ</w:t>
      </w:r>
      <w:r w:rsidRPr="00CF0A84">
        <w:rPr>
          <w:rFonts w:hint="cs"/>
          <w:rtl/>
          <w:lang w:bidi="ar-LB"/>
        </w:rPr>
        <w:t>ن</w:t>
      </w:r>
      <w:r>
        <w:rPr>
          <w:rFonts w:hint="cs"/>
          <w:rtl/>
          <w:lang w:bidi="ar-LB"/>
        </w:rPr>
        <w:t>ْ</w:t>
      </w:r>
      <w:r w:rsidRPr="00CF0A84">
        <w:rPr>
          <w:rFonts w:hint="cs"/>
          <w:rtl/>
          <w:lang w:bidi="ar-LB"/>
        </w:rPr>
        <w:t xml:space="preserve"> هم الذين نصّ</w:t>
      </w:r>
      <w:r>
        <w:rPr>
          <w:rFonts w:hint="cs"/>
          <w:rtl/>
          <w:lang w:bidi="ar-LB"/>
        </w:rPr>
        <w:t>َ</w:t>
      </w:r>
      <w:r w:rsidRPr="00CF0A84">
        <w:rPr>
          <w:rFonts w:hint="cs"/>
          <w:rtl/>
          <w:lang w:bidi="ar-LB"/>
        </w:rPr>
        <w:t>بهم الشارع حك</w:t>
      </w:r>
      <w:r>
        <w:rPr>
          <w:rFonts w:hint="cs"/>
          <w:rtl/>
          <w:lang w:bidi="ar-LB"/>
        </w:rPr>
        <w:t>ّ</w:t>
      </w:r>
      <w:r w:rsidRPr="00CF0A84">
        <w:rPr>
          <w:rFonts w:hint="cs"/>
          <w:rtl/>
          <w:lang w:bidi="ar-LB"/>
        </w:rPr>
        <w:t xml:space="preserve">اماً على الناس؟ </w:t>
      </w:r>
      <w:r>
        <w:rPr>
          <w:rFonts w:hint="cs"/>
          <w:rtl/>
          <w:lang w:bidi="ar-LB"/>
        </w:rPr>
        <w:t>و</w:t>
      </w:r>
      <w:r w:rsidRPr="00CF0A84">
        <w:rPr>
          <w:rFonts w:hint="cs"/>
          <w:rtl/>
          <w:lang w:bidi="ar-LB"/>
        </w:rPr>
        <w:t>ما هي الشروط التي يجب توف</w:t>
      </w:r>
      <w:r>
        <w:rPr>
          <w:rFonts w:hint="cs"/>
          <w:rtl/>
          <w:lang w:bidi="ar-LB"/>
        </w:rPr>
        <w:t>ُّ</w:t>
      </w:r>
      <w:r w:rsidRPr="00CF0A84">
        <w:rPr>
          <w:rFonts w:hint="cs"/>
          <w:rtl/>
          <w:lang w:bidi="ar-LB"/>
        </w:rPr>
        <w:t>رها في الحاكم الإلهي؟</w:t>
      </w:r>
    </w:p>
    <w:p w:rsidR="00EA09EB" w:rsidRPr="00EA09EB" w:rsidRDefault="00EA09EB" w:rsidP="007A340E">
      <w:pPr>
        <w:ind w:firstLine="283"/>
        <w:rPr>
          <w:rtl/>
        </w:rPr>
      </w:pPr>
      <w:r w:rsidRPr="00EA09EB">
        <w:rPr>
          <w:rFonts w:hint="cs"/>
          <w:rtl/>
        </w:rPr>
        <w:t>إنّ هذا الجزء من «بحوث الفكر السياسي في الإسلام»</w:t>
      </w:r>
      <w:r w:rsidRPr="00064619">
        <w:rPr>
          <w:rFonts w:cs="Taher"/>
          <w:sz w:val="32"/>
          <w:vertAlign w:val="superscript"/>
          <w:rtl/>
          <w:lang w:bidi="ar-LB"/>
        </w:rPr>
        <w:t>(</w:t>
      </w:r>
      <w:r w:rsidRPr="00064619">
        <w:rPr>
          <w:rFonts w:cs="Taher"/>
          <w:sz w:val="32"/>
          <w:vertAlign w:val="superscript"/>
          <w:rtl/>
          <w:lang w:bidi="ar-LB"/>
        </w:rPr>
        <w:footnoteReference w:id="17"/>
      </w:r>
      <w:r w:rsidRPr="00064619">
        <w:rPr>
          <w:rFonts w:cs="Taher"/>
          <w:sz w:val="32"/>
          <w:vertAlign w:val="superscript"/>
          <w:rtl/>
          <w:lang w:bidi="ar-LB"/>
        </w:rPr>
        <w:t>)</w:t>
      </w:r>
      <w:r w:rsidRPr="00EA09EB">
        <w:rPr>
          <w:rFonts w:hint="cs"/>
          <w:rtl/>
        </w:rPr>
        <w:t xml:space="preserve"> يبحث في الإجابة التفصيلية عن السؤال الأوّل، ويتمّ تقديمه، تحت عنوان «الحكومة الولائية»، للراغبين في أبحاث الفكر السياسي والحقوق العامّة والفقه الشيعي</w:t>
      </w:r>
      <w:r w:rsidRPr="00064619">
        <w:rPr>
          <w:rFonts w:cs="Taher"/>
          <w:sz w:val="32"/>
          <w:vertAlign w:val="superscript"/>
          <w:rtl/>
          <w:lang w:bidi="ar-LB"/>
        </w:rPr>
        <w:t>(</w:t>
      </w:r>
      <w:r w:rsidRPr="00064619">
        <w:rPr>
          <w:rFonts w:cs="Taher"/>
          <w:sz w:val="32"/>
          <w:vertAlign w:val="superscript"/>
          <w:rtl/>
          <w:lang w:bidi="ar-LB"/>
        </w:rPr>
        <w:footnoteReference w:id="18"/>
      </w:r>
      <w:r w:rsidRPr="00064619">
        <w:rPr>
          <w:rFonts w:cs="Taher"/>
          <w:sz w:val="32"/>
          <w:vertAlign w:val="superscript"/>
          <w:rtl/>
          <w:lang w:bidi="ar-LB"/>
        </w:rPr>
        <w:t>)</w:t>
      </w:r>
      <w:r w:rsidRPr="00EA09EB">
        <w:rPr>
          <w:rFonts w:hint="cs"/>
          <w:rtl/>
        </w:rPr>
        <w:t>. يتألَّف بحث «الحكومة الولائية» من ثلاثة أقسام رئيسة، وهي:</w:t>
      </w:r>
    </w:p>
    <w:p w:rsidR="00EA09EB" w:rsidRPr="00CF0A84" w:rsidRDefault="00EA09EB" w:rsidP="00064619">
      <w:pPr>
        <w:rPr>
          <w:rtl/>
          <w:lang w:bidi="ar-LB"/>
        </w:rPr>
      </w:pPr>
      <w:r w:rsidRPr="00CF0A84">
        <w:rPr>
          <w:rFonts w:hint="cs"/>
          <w:rtl/>
          <w:lang w:bidi="ar-LB"/>
        </w:rPr>
        <w:t>القسم الأول: يتكف</w:t>
      </w:r>
      <w:r>
        <w:rPr>
          <w:rFonts w:hint="cs"/>
          <w:rtl/>
          <w:lang w:bidi="ar-LB"/>
        </w:rPr>
        <w:t>َّ</w:t>
      </w:r>
      <w:r w:rsidRPr="00CF0A84">
        <w:rPr>
          <w:rFonts w:hint="cs"/>
          <w:rtl/>
          <w:lang w:bidi="ar-LB"/>
        </w:rPr>
        <w:t>ل ببيان المبادئ التصوّ</w:t>
      </w:r>
      <w:r>
        <w:rPr>
          <w:rFonts w:hint="cs"/>
          <w:rtl/>
          <w:lang w:bidi="ar-LB"/>
        </w:rPr>
        <w:t>ُ</w:t>
      </w:r>
      <w:r w:rsidRPr="00CF0A84">
        <w:rPr>
          <w:rFonts w:hint="cs"/>
          <w:rtl/>
          <w:lang w:bidi="ar-LB"/>
        </w:rPr>
        <w:t>رية للولاية</w:t>
      </w:r>
      <w:r>
        <w:rPr>
          <w:rFonts w:hint="cs"/>
          <w:rtl/>
          <w:lang w:bidi="ar-LB"/>
        </w:rPr>
        <w:t>،</w:t>
      </w:r>
      <w:r w:rsidRPr="00CF0A84">
        <w:rPr>
          <w:rFonts w:hint="cs"/>
          <w:rtl/>
          <w:lang w:bidi="ar-LB"/>
        </w:rPr>
        <w:t xml:space="preserve"> حيث يتمّ تناول مفهوم الولاية من مختلف الأبعاد والزوايا.</w:t>
      </w:r>
    </w:p>
    <w:p w:rsidR="00EA09EB" w:rsidRPr="00EA09EB" w:rsidRDefault="00EA09EB" w:rsidP="00064619">
      <w:pPr>
        <w:rPr>
          <w:rtl/>
        </w:rPr>
      </w:pPr>
      <w:r w:rsidRPr="00EA09EB">
        <w:rPr>
          <w:rFonts w:hint="cs"/>
          <w:rtl/>
        </w:rPr>
        <w:t>القسم الثاني: يتكفَّل بعرض المباني التصديقية للولاية، حيث يتمّ استعراض الأدلة والبراهين على إثبات الولاية من الكتاب والسنّة والعقل والإجماع</w:t>
      </w:r>
      <w:r w:rsidRPr="00064619">
        <w:rPr>
          <w:rFonts w:cs="Taher"/>
          <w:sz w:val="32"/>
          <w:vertAlign w:val="superscript"/>
          <w:rtl/>
          <w:lang w:bidi="ar-LB"/>
        </w:rPr>
        <w:t>(</w:t>
      </w:r>
      <w:r w:rsidRPr="00064619">
        <w:rPr>
          <w:rFonts w:cs="Taher"/>
          <w:sz w:val="32"/>
          <w:vertAlign w:val="superscript"/>
          <w:rtl/>
          <w:lang w:bidi="ar-LB"/>
        </w:rPr>
        <w:footnoteReference w:id="19"/>
      </w:r>
      <w:r w:rsidRPr="00064619">
        <w:rPr>
          <w:rFonts w:cs="Taher"/>
          <w:sz w:val="32"/>
          <w:vertAlign w:val="superscript"/>
          <w:rtl/>
          <w:lang w:bidi="ar-LB"/>
        </w:rPr>
        <w:t>)</w:t>
      </w:r>
      <w:r w:rsidRPr="00EA09EB">
        <w:rPr>
          <w:rFonts w:hint="cs"/>
          <w:rtl/>
        </w:rPr>
        <w:t>.</w:t>
      </w:r>
    </w:p>
    <w:p w:rsidR="00EA09EB" w:rsidRPr="00CF0A84" w:rsidRDefault="00EA09EB" w:rsidP="00EA09EB">
      <w:pPr>
        <w:jc w:val="center"/>
        <w:rPr>
          <w:rFonts w:cs="Abz-1 (Lotus)"/>
          <w:sz w:val="32"/>
          <w:szCs w:val="32"/>
          <w:lang w:bidi="ar-LB"/>
        </w:rPr>
      </w:pPr>
      <w:r w:rsidRPr="00CF0A84">
        <w:rPr>
          <w:rFonts w:cs="Abz-1 (Lotus)" w:hint="cs"/>
          <w:sz w:val="32"/>
          <w:szCs w:val="32"/>
          <w:rtl/>
          <w:lang w:bidi="ar-LB"/>
        </w:rPr>
        <w:t>* * *</w:t>
      </w:r>
    </w:p>
    <w:p w:rsidR="00064619" w:rsidRDefault="00064619" w:rsidP="00064619">
      <w:pPr>
        <w:ind w:firstLine="0"/>
        <w:rPr>
          <w:rtl/>
        </w:rPr>
        <w:sectPr w:rsidR="00064619" w:rsidSect="009003FC">
          <w:headerReference w:type="even" r:id="rId14"/>
          <w:headerReference w:type="default" r:id="rId15"/>
          <w:footnotePr>
            <w:numRestart w:val="eachPage"/>
          </w:footnotePr>
          <w:type w:val="oddPage"/>
          <w:pgSz w:w="11907" w:h="16840" w:code="9"/>
          <w:pgMar w:top="2835" w:right="2552" w:bottom="3232" w:left="2552" w:header="2268" w:footer="1106" w:gutter="0"/>
          <w:cols w:space="720"/>
          <w:titlePg/>
          <w:docGrid w:linePitch="360"/>
        </w:sectPr>
      </w:pPr>
    </w:p>
    <w:p w:rsidR="00064619" w:rsidRDefault="00064619" w:rsidP="00064619">
      <w:pPr>
        <w:ind w:firstLine="0"/>
        <w:rPr>
          <w:rtl/>
        </w:rPr>
      </w:pPr>
      <w:r w:rsidRPr="0086303D">
        <w:rPr>
          <w:rFonts w:eastAsiaTheme="majorEastAsia" w:cs="AL-Mateen"/>
          <w:b/>
          <w:noProof/>
          <w:sz w:val="44"/>
          <w:szCs w:val="82"/>
          <w:rtl/>
        </w:rPr>
        <w:drawing>
          <wp:anchor distT="0" distB="0" distL="114300" distR="114300" simplePos="0" relativeHeight="251652096" behindDoc="1" locked="0" layoutInCell="1" allowOverlap="1" wp14:anchorId="4D414E0A" wp14:editId="5D5BA667">
            <wp:simplePos x="0" y="0"/>
            <wp:positionH relativeFrom="margin">
              <wp:align>center</wp:align>
            </wp:positionH>
            <wp:positionV relativeFrom="margin">
              <wp:align>center</wp:align>
            </wp:positionV>
            <wp:extent cx="4319905" cy="6487160"/>
            <wp:effectExtent l="0" t="0" r="4445" b="8890"/>
            <wp:wrapNone/>
            <wp:docPr id="13" name="Picture 13"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Description: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19905" cy="648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619" w:rsidRDefault="00064619" w:rsidP="00064619"/>
    <w:p w:rsidR="00064619" w:rsidRDefault="00064619" w:rsidP="00064619"/>
    <w:p w:rsidR="00064619" w:rsidRDefault="00064619" w:rsidP="00064619"/>
    <w:p w:rsidR="00064619" w:rsidRDefault="00064619" w:rsidP="00064619"/>
    <w:p w:rsidR="00064619" w:rsidRDefault="00064619" w:rsidP="00064619"/>
    <w:p w:rsidR="00064619" w:rsidRDefault="00064619" w:rsidP="00064619"/>
    <w:p w:rsidR="00064619" w:rsidRDefault="00064619" w:rsidP="00064619"/>
    <w:p w:rsidR="00064619" w:rsidRDefault="00064619" w:rsidP="00064619">
      <w:pPr>
        <w:rPr>
          <w:rtl/>
        </w:rPr>
      </w:pPr>
    </w:p>
    <w:p w:rsidR="00064619" w:rsidRDefault="00064619" w:rsidP="00064619"/>
    <w:p w:rsidR="00064619" w:rsidRDefault="00064619" w:rsidP="00064619"/>
    <w:p w:rsidR="00064619" w:rsidRDefault="00064619" w:rsidP="00064619">
      <w:pPr>
        <w:pStyle w:val="Heading1"/>
      </w:pPr>
      <w:bookmarkStart w:id="30" w:name="_Toc413658814"/>
      <w:r>
        <w:rPr>
          <w:rFonts w:hint="cs"/>
          <w:rtl/>
        </w:rPr>
        <w:t>القسم الأوّل</w:t>
      </w:r>
      <w:bookmarkEnd w:id="30"/>
    </w:p>
    <w:p w:rsidR="00064619" w:rsidRPr="00137D4F" w:rsidRDefault="00064619" w:rsidP="00064619">
      <w:pPr>
        <w:pStyle w:val="Heading1"/>
      </w:pPr>
      <w:bookmarkStart w:id="31" w:name="_Toc406415776"/>
      <w:bookmarkStart w:id="32" w:name="_Toc413658815"/>
      <w:r w:rsidRPr="00064619">
        <w:rPr>
          <w:rFonts w:hint="cs"/>
          <w:rtl/>
        </w:rPr>
        <w:t>المبادئ التصوّرية للولاية</w:t>
      </w:r>
      <w:bookmarkEnd w:id="31"/>
      <w:bookmarkEnd w:id="32"/>
    </w:p>
    <w:p w:rsidR="00EA09EB" w:rsidRPr="008A4886" w:rsidRDefault="00064619" w:rsidP="00064619">
      <w:pPr>
        <w:rPr>
          <w:rFonts w:cs="Abz-1 (Lotus)"/>
          <w:sz w:val="32"/>
          <w:szCs w:val="32"/>
          <w:rtl/>
          <w:lang w:bidi="ar-LB"/>
        </w:rPr>
      </w:pPr>
      <w:r>
        <w:rPr>
          <w:rtl/>
        </w:rPr>
        <w:br w:type="page"/>
      </w:r>
    </w:p>
    <w:p w:rsidR="00064619" w:rsidRPr="007A340E" w:rsidRDefault="00064619" w:rsidP="007A340E">
      <w:pPr>
        <w:rPr>
          <w:b/>
          <w:bCs/>
          <w:rtl/>
          <w:lang w:bidi="ar-LB"/>
        </w:rPr>
        <w:sectPr w:rsidR="00064619" w:rsidRPr="007A340E" w:rsidSect="009003FC">
          <w:headerReference w:type="first" r:id="rId17"/>
          <w:footnotePr>
            <w:numRestart w:val="eachPage"/>
          </w:footnotePr>
          <w:type w:val="oddPage"/>
          <w:pgSz w:w="11907" w:h="16840" w:code="9"/>
          <w:pgMar w:top="2835" w:right="2552" w:bottom="3232" w:left="2552" w:header="2268" w:footer="1106" w:gutter="0"/>
          <w:cols w:space="720"/>
          <w:titlePg/>
          <w:docGrid w:linePitch="360"/>
        </w:sectPr>
      </w:pPr>
    </w:p>
    <w:p w:rsidR="00EA09EB" w:rsidRPr="007A340E" w:rsidRDefault="00EA09EB" w:rsidP="007A340E">
      <w:pPr>
        <w:rPr>
          <w:b/>
          <w:bCs/>
          <w:rtl/>
          <w:lang w:bidi="ar-LB"/>
        </w:rPr>
      </w:pPr>
    </w:p>
    <w:p w:rsidR="00064619" w:rsidRPr="007A340E" w:rsidRDefault="00064619" w:rsidP="007A340E">
      <w:pPr>
        <w:rPr>
          <w:b/>
          <w:bCs/>
          <w:rtl/>
          <w:lang w:bidi="ar-LB"/>
        </w:rPr>
      </w:pPr>
    </w:p>
    <w:p w:rsidR="00064619" w:rsidRPr="007A340E" w:rsidRDefault="00064619" w:rsidP="007A340E">
      <w:pPr>
        <w:rPr>
          <w:b/>
          <w:bCs/>
          <w:rtl/>
          <w:lang w:bidi="ar-LB"/>
        </w:rPr>
      </w:pPr>
    </w:p>
    <w:p w:rsidR="00064619" w:rsidRPr="007A340E" w:rsidRDefault="00064619" w:rsidP="007A340E">
      <w:pPr>
        <w:rPr>
          <w:b/>
          <w:bCs/>
          <w:rtl/>
          <w:lang w:bidi="ar-LB"/>
        </w:rPr>
      </w:pPr>
    </w:p>
    <w:p w:rsidR="00EA09EB" w:rsidRPr="008A4886" w:rsidRDefault="00EA09EB" w:rsidP="00B5080E">
      <w:pPr>
        <w:pStyle w:val="Heading2"/>
        <w:jc w:val="center"/>
        <w:rPr>
          <w:rtl/>
          <w:lang w:bidi="ar-LB"/>
        </w:rPr>
      </w:pPr>
      <w:bookmarkStart w:id="33" w:name="_Toc413658816"/>
      <w:r w:rsidRPr="008A4886">
        <w:rPr>
          <w:rFonts w:hint="cs"/>
          <w:rtl/>
          <w:lang w:bidi="ar-LB"/>
        </w:rPr>
        <w:t>المقد</w:t>
      </w:r>
      <w:r w:rsidRPr="00B5080E">
        <w:rPr>
          <w:rFonts w:hint="cs"/>
          <w:rtl/>
        </w:rPr>
        <w:t>مة</w:t>
      </w:r>
      <w:bookmarkEnd w:id="33"/>
    </w:p>
    <w:p w:rsidR="00EA09EB" w:rsidRPr="00EA09EB" w:rsidRDefault="00EA09EB" w:rsidP="007A340E">
      <w:pPr>
        <w:ind w:firstLine="283"/>
        <w:rPr>
          <w:rtl/>
        </w:rPr>
      </w:pPr>
      <w:r w:rsidRPr="00EA09EB">
        <w:rPr>
          <w:rFonts w:hint="cs"/>
          <w:rtl/>
        </w:rPr>
        <w:t>إن المراد من المبادئ التصوُّرية هي تلك المفاهيم التي تلعب دوراً أساسياً في بحث الولاية، والتي يكون الفهم الصحيح للولاية رهناً بفهمها، حتّى أنّ التصوُّر الصحيح لهذه المفاهيم قد يُغنينا أحياناً عن الاستدلال وإقامة البرهان</w:t>
      </w:r>
      <w:r w:rsidRPr="00064619">
        <w:rPr>
          <w:rFonts w:cs="Taher"/>
          <w:sz w:val="32"/>
          <w:vertAlign w:val="superscript"/>
          <w:rtl/>
          <w:lang w:bidi="ar-LB"/>
        </w:rPr>
        <w:t>(</w:t>
      </w:r>
      <w:r w:rsidRPr="00064619">
        <w:rPr>
          <w:rFonts w:cs="Taher"/>
          <w:sz w:val="32"/>
          <w:vertAlign w:val="superscript"/>
          <w:rtl/>
          <w:lang w:bidi="ar-LB"/>
        </w:rPr>
        <w:footnoteReference w:id="20"/>
      </w:r>
      <w:r w:rsidRPr="00064619">
        <w:rPr>
          <w:rFonts w:cs="Taher"/>
          <w:sz w:val="32"/>
          <w:vertAlign w:val="superscript"/>
          <w:rtl/>
          <w:lang w:bidi="ar-LB"/>
        </w:rPr>
        <w:t>)</w:t>
      </w:r>
      <w:r w:rsidRPr="00EA09EB">
        <w:rPr>
          <w:rFonts w:hint="cs"/>
          <w:rtl/>
        </w:rPr>
        <w:t xml:space="preserve">. للأسف الشديد نجد هِمَّة الفقهاء في بحث ولاية الفقيه تصبّ غالباً في بحث الأدلّة، وإثبات هذه النظرية، وبيان حدود اختياراتها، وقلَّما يبحثون في المبادئ التصوُّرية لهذه النظريّة. وعلى أيّ حال فإنّ قسم المبادئ التصوُّرية للولاية ـ بوصفه من أهمّ أقسام بحث الولاية ـ بحاجةٍ إلى دراسةٍ أعمق، وتحقيق أوسع. وقد عمدنا في رسم المبادئ التصوُّرية للولاية إلى انتهاج «أسلوب التحليل اللاحق»، فلم نقُلْ: ما الذي يتعيَّن على الفقهاء قوله بشأن مبادئ الولاية، بل كنّا بصدد بيان ما الذي قاله الفقهاء (بوصفهم المبتكرين لنظرية الولاية السياسية للفقيه)، وكيف قاموا بتصوير هذا المفهوم؟ وكيف فهموه؟ وما هي مقوِّمات وقيود هذا المفهوم من وجهة نظرهم؟ وبالإضافة إلى اعتماد تراث السلف الصالح، كان لنا اهتمامٌ خاصّ بآراء المعاصرين من الفقهاء أيضاً. وكان مستند البحث على المصادر الفقهية من الدرجة الأولى، فلم نعتمد على غير آراء العلماء الذين يصنَّفون في عُرْف العلوم الدينية والحوزات العلمية في أعلى مدارج الاعتبار. وسعَيْنا أن لا نعدل عن أسلوب «التحليل النقدي». </w:t>
      </w:r>
    </w:p>
    <w:p w:rsidR="00EA09EB" w:rsidRPr="00CF0A84" w:rsidRDefault="00EA09EB" w:rsidP="00EA09EB">
      <w:pPr>
        <w:rPr>
          <w:rtl/>
          <w:lang w:bidi="ar-LB"/>
        </w:rPr>
      </w:pPr>
      <w:r w:rsidRPr="00CF0A84">
        <w:rPr>
          <w:rFonts w:hint="cs"/>
          <w:rtl/>
          <w:lang w:bidi="ar-LB"/>
        </w:rPr>
        <w:t>سوف نتعر</w:t>
      </w:r>
      <w:r>
        <w:rPr>
          <w:rFonts w:hint="cs"/>
          <w:rtl/>
          <w:lang w:bidi="ar-LB"/>
        </w:rPr>
        <w:t>َّ</w:t>
      </w:r>
      <w:r w:rsidRPr="00CF0A84">
        <w:rPr>
          <w:rFonts w:hint="cs"/>
          <w:rtl/>
          <w:lang w:bidi="ar-LB"/>
        </w:rPr>
        <w:t>ف في قسم المبادئ التصو</w:t>
      </w:r>
      <w:r>
        <w:rPr>
          <w:rFonts w:hint="cs"/>
          <w:rtl/>
          <w:lang w:bidi="ar-LB"/>
        </w:rPr>
        <w:t>ُّ</w:t>
      </w:r>
      <w:r w:rsidRPr="00CF0A84">
        <w:rPr>
          <w:rFonts w:hint="cs"/>
          <w:rtl/>
          <w:lang w:bidi="ar-LB"/>
        </w:rPr>
        <w:t>رية أو</w:t>
      </w:r>
      <w:r>
        <w:rPr>
          <w:rFonts w:hint="cs"/>
          <w:rtl/>
          <w:lang w:bidi="ar-LB"/>
        </w:rPr>
        <w:t>ّ</w:t>
      </w:r>
      <w:r w:rsidRPr="00CF0A84">
        <w:rPr>
          <w:rFonts w:hint="cs"/>
          <w:rtl/>
          <w:lang w:bidi="ar-LB"/>
        </w:rPr>
        <w:t>لاً على المعنى اللغوي للولاية</w:t>
      </w:r>
      <w:r>
        <w:rPr>
          <w:rFonts w:hint="cs"/>
          <w:rtl/>
          <w:lang w:bidi="ar-LB"/>
        </w:rPr>
        <w:t>،</w:t>
      </w:r>
      <w:r w:rsidRPr="00CF0A84">
        <w:rPr>
          <w:rFonts w:hint="cs"/>
          <w:rtl/>
          <w:lang w:bidi="ar-LB"/>
        </w:rPr>
        <w:t xml:space="preserve"> اعتماداً على أهم</w:t>
      </w:r>
      <w:r>
        <w:rPr>
          <w:rFonts w:hint="cs"/>
          <w:rtl/>
          <w:lang w:bidi="ar-LB"/>
        </w:rPr>
        <w:t>ّ</w:t>
      </w:r>
      <w:r w:rsidRPr="00CF0A84">
        <w:rPr>
          <w:rFonts w:hint="cs"/>
          <w:rtl/>
          <w:lang w:bidi="ar-LB"/>
        </w:rPr>
        <w:t xml:space="preserve"> المراجع والمصادر اللغوية</w:t>
      </w:r>
      <w:r>
        <w:rPr>
          <w:rFonts w:hint="cs"/>
          <w:rtl/>
          <w:lang w:bidi="ar-LB"/>
        </w:rPr>
        <w:t>،</w:t>
      </w:r>
      <w:r w:rsidRPr="00CF0A84">
        <w:rPr>
          <w:rFonts w:hint="cs"/>
          <w:rtl/>
          <w:lang w:bidi="ar-LB"/>
        </w:rPr>
        <w:t xml:space="preserve"> لننتقل بعد ذلك إلى التعر</w:t>
      </w:r>
      <w:r>
        <w:rPr>
          <w:rFonts w:hint="cs"/>
          <w:rtl/>
          <w:lang w:bidi="ar-LB"/>
        </w:rPr>
        <w:t>ُّ</w:t>
      </w:r>
      <w:r w:rsidRPr="00CF0A84">
        <w:rPr>
          <w:rFonts w:hint="cs"/>
          <w:rtl/>
          <w:lang w:bidi="ar-LB"/>
        </w:rPr>
        <w:t>ف على المعنى الاصطلاحي لهذه المفردة، ونتحد</w:t>
      </w:r>
      <w:r>
        <w:rPr>
          <w:rFonts w:hint="cs"/>
          <w:rtl/>
          <w:lang w:bidi="ar-LB"/>
        </w:rPr>
        <w:t>َّ</w:t>
      </w:r>
      <w:r w:rsidRPr="00CF0A84">
        <w:rPr>
          <w:rFonts w:hint="cs"/>
          <w:rtl/>
          <w:lang w:bidi="ar-LB"/>
        </w:rPr>
        <w:t xml:space="preserve">ث عن ثلاثة أنواع مختلفة من الولاية، وهي: </w:t>
      </w:r>
      <w:r w:rsidRPr="00A32FC0">
        <w:rPr>
          <w:rFonts w:hint="cs"/>
          <w:rtl/>
        </w:rPr>
        <w:t>«</w:t>
      </w:r>
      <w:r w:rsidRPr="00CF0A84">
        <w:rPr>
          <w:rFonts w:hint="cs"/>
          <w:rtl/>
          <w:lang w:bidi="ar-LB"/>
        </w:rPr>
        <w:t>الولاية العرفانية</w:t>
      </w:r>
      <w:r w:rsidRPr="00A32FC0">
        <w:rPr>
          <w:rFonts w:hint="cs"/>
          <w:rtl/>
        </w:rPr>
        <w:t>»</w:t>
      </w:r>
      <w:r>
        <w:rPr>
          <w:rFonts w:hint="cs"/>
          <w:rtl/>
          <w:lang w:bidi="ar-LB"/>
        </w:rPr>
        <w:t>؛</w:t>
      </w:r>
      <w:r w:rsidRPr="00CF0A84">
        <w:rPr>
          <w:rFonts w:hint="cs"/>
          <w:rtl/>
          <w:lang w:bidi="ar-LB"/>
        </w:rPr>
        <w:t xml:space="preserve"> و</w:t>
      </w:r>
      <w:r w:rsidRPr="00A32FC0">
        <w:rPr>
          <w:rFonts w:hint="cs"/>
          <w:rtl/>
        </w:rPr>
        <w:t>«</w:t>
      </w:r>
      <w:r w:rsidRPr="00CF0A84">
        <w:rPr>
          <w:rFonts w:hint="cs"/>
          <w:rtl/>
          <w:lang w:bidi="ar-LB"/>
        </w:rPr>
        <w:t>الولاية الكلامية</w:t>
      </w:r>
      <w:r w:rsidRPr="00A32FC0">
        <w:rPr>
          <w:rFonts w:hint="cs"/>
          <w:rtl/>
        </w:rPr>
        <w:t>»</w:t>
      </w:r>
      <w:r>
        <w:rPr>
          <w:rFonts w:hint="cs"/>
          <w:rtl/>
          <w:lang w:bidi="ar-LB"/>
        </w:rPr>
        <w:t>؛</w:t>
      </w:r>
      <w:r w:rsidRPr="00CF0A84">
        <w:rPr>
          <w:rFonts w:hint="cs"/>
          <w:rtl/>
          <w:lang w:bidi="ar-LB"/>
        </w:rPr>
        <w:t xml:space="preserve"> و</w:t>
      </w:r>
      <w:r w:rsidRPr="00A32FC0">
        <w:rPr>
          <w:rFonts w:hint="cs"/>
          <w:rtl/>
        </w:rPr>
        <w:t>«</w:t>
      </w:r>
      <w:r w:rsidRPr="00CF0A84">
        <w:rPr>
          <w:rFonts w:hint="cs"/>
          <w:rtl/>
          <w:lang w:bidi="ar-LB"/>
        </w:rPr>
        <w:t>الولاية الفقهية</w:t>
      </w:r>
      <w:r w:rsidRPr="00A32FC0">
        <w:rPr>
          <w:rFonts w:hint="cs"/>
          <w:rtl/>
        </w:rPr>
        <w:t>»</w:t>
      </w:r>
      <w:r w:rsidRPr="00CF0A84">
        <w:rPr>
          <w:rFonts w:hint="cs"/>
          <w:rtl/>
          <w:lang w:bidi="ar-LB"/>
        </w:rPr>
        <w:t>، ونسعى إلى عرض هذه الأنواع الثلاثة من الولاية (العرفانية</w:t>
      </w:r>
      <w:r>
        <w:rPr>
          <w:rFonts w:hint="cs"/>
          <w:rtl/>
          <w:lang w:bidi="ar-LB"/>
        </w:rPr>
        <w:t>؛</w:t>
      </w:r>
      <w:r w:rsidRPr="00CF0A84">
        <w:rPr>
          <w:rFonts w:hint="cs"/>
          <w:rtl/>
          <w:lang w:bidi="ar-LB"/>
        </w:rPr>
        <w:t xml:space="preserve"> والكلامية</w:t>
      </w:r>
      <w:r>
        <w:rPr>
          <w:rFonts w:hint="cs"/>
          <w:rtl/>
          <w:lang w:bidi="ar-LB"/>
        </w:rPr>
        <w:t>؛</w:t>
      </w:r>
      <w:r w:rsidRPr="00CF0A84">
        <w:rPr>
          <w:rFonts w:hint="cs"/>
          <w:rtl/>
          <w:lang w:bidi="ar-LB"/>
        </w:rPr>
        <w:t xml:space="preserve"> والفقهية) من خلال القرآن والروايات المأثورة عن المعصومين</w:t>
      </w:r>
      <w:r w:rsidR="007A340E">
        <w:rPr>
          <w:rFonts w:hint="cs"/>
          <w:rtl/>
        </w:rPr>
        <w:t>^</w:t>
      </w:r>
      <w:r w:rsidRPr="00CF0A84">
        <w:rPr>
          <w:rFonts w:hint="cs"/>
          <w:rtl/>
          <w:lang w:bidi="ar-LB"/>
        </w:rPr>
        <w:t>.</w:t>
      </w:r>
    </w:p>
    <w:p w:rsidR="00EA09EB" w:rsidRPr="00CF0A84" w:rsidRDefault="00EA09EB" w:rsidP="00A97582">
      <w:pPr>
        <w:pStyle w:val="Normal87"/>
        <w:rPr>
          <w:rtl/>
        </w:rPr>
      </w:pPr>
      <w:r w:rsidRPr="00CF0A84">
        <w:rPr>
          <w:rFonts w:hint="cs"/>
          <w:rtl/>
        </w:rPr>
        <w:t>ثم نخوض بعد ذلك في بيان الجواب التفصيلي عن السؤال الجوهري القائل: هل المراد من الولاية في بحث ولاية الفقيه هي الولاية العرفانية أم الولاية الكلامية أم الولاية الفقهية؟ وبعبارة</w:t>
      </w:r>
      <w:r>
        <w:rPr>
          <w:rFonts w:hint="cs"/>
          <w:rtl/>
        </w:rPr>
        <w:t>ٍ</w:t>
      </w:r>
      <w:r w:rsidRPr="00CF0A84">
        <w:rPr>
          <w:rFonts w:hint="cs"/>
          <w:rtl/>
        </w:rPr>
        <w:t xml:space="preserve"> أخرى: هل  الولاية السياسية (أو التدبيرية) للفقهاء ولاية شرعية وفقهية أم ولاية كلامية واعتقادية؟ وفي نهاية المطاف نعمد ـ من خلال بيان أبعاد الولاية التدبيرية ـ إلى رسم مقوّ</w:t>
      </w:r>
      <w:r>
        <w:rPr>
          <w:rFonts w:hint="cs"/>
          <w:rtl/>
        </w:rPr>
        <w:t>ِ</w:t>
      </w:r>
      <w:r w:rsidRPr="00CF0A84">
        <w:rPr>
          <w:rFonts w:hint="cs"/>
          <w:rtl/>
        </w:rPr>
        <w:t>مات وأركان الحكومة الولائية</w:t>
      </w:r>
      <w:r>
        <w:rPr>
          <w:rFonts w:hint="cs"/>
          <w:rtl/>
        </w:rPr>
        <w:t>.</w:t>
      </w:r>
      <w:r w:rsidRPr="00CF0A84">
        <w:rPr>
          <w:rFonts w:hint="cs"/>
          <w:rtl/>
        </w:rPr>
        <w:t xml:space="preserve"> ولمزيد من التوضيح بشأن الحكومة الولائية سنعمل على مقارنتها بسائر أنواع الحكومات الأخرى وسائر أنواع ارتباط الحاكم بالأمة.</w:t>
      </w:r>
    </w:p>
    <w:p w:rsidR="00EA09EB" w:rsidRPr="00EA09EB" w:rsidRDefault="00EA09EB" w:rsidP="00064619">
      <w:pPr>
        <w:rPr>
          <w:rtl/>
        </w:rPr>
      </w:pPr>
      <w:r w:rsidRPr="00EA09EB">
        <w:rPr>
          <w:rFonts w:hint="cs"/>
          <w:rtl/>
        </w:rPr>
        <w:t>أرجو أن تسهم هذه السلسلة من المباحث في شفافية وإتقان وغربلة أفكار «الجمهورية الإسلامية»</w:t>
      </w:r>
      <w:r w:rsidRPr="00064619">
        <w:rPr>
          <w:rFonts w:cs="Taher"/>
          <w:sz w:val="32"/>
          <w:vertAlign w:val="superscript"/>
          <w:rtl/>
          <w:lang w:bidi="ar-LB"/>
        </w:rPr>
        <w:t>(</w:t>
      </w:r>
      <w:r w:rsidRPr="00064619">
        <w:rPr>
          <w:rFonts w:cs="Taher"/>
          <w:sz w:val="32"/>
          <w:vertAlign w:val="superscript"/>
          <w:rtl/>
          <w:lang w:bidi="ar-LB"/>
        </w:rPr>
        <w:footnoteReference w:id="21"/>
      </w:r>
      <w:r w:rsidRPr="00064619">
        <w:rPr>
          <w:rFonts w:cs="Taher"/>
          <w:sz w:val="32"/>
          <w:vertAlign w:val="superscript"/>
          <w:rtl/>
          <w:lang w:bidi="ar-LB"/>
        </w:rPr>
        <w:t>)</w:t>
      </w:r>
      <w:r w:rsidRPr="00EA09EB">
        <w:rPr>
          <w:rFonts w:hint="cs"/>
          <w:rtl/>
        </w:rPr>
        <w:t>. وبالالتفات إلى حساسية وأهمّية البحث، وحاجة المجتمع الماسّة إلى البحث والنقد والتحليل بشأن هذا المحور، الذي يمثِّل أكثر محاور حياتنا السياسية أهمّيةً، أتوقَّع من جميع المفكِّرين والأساتذة والمهتمّين بالمسائل والأبحاث الفقهية والسياسية والحقوقية أن يعملوا ويسهموا في إثراء هذه المسائل، من خلال ملاحظاتهم واقتراحاتهم وانتقاداتهم القيّمة.</w:t>
      </w:r>
    </w:p>
    <w:p w:rsidR="00EA09EB" w:rsidRPr="00CF0A84" w:rsidRDefault="00EA09EB" w:rsidP="00EA09EB">
      <w:pPr>
        <w:jc w:val="center"/>
        <w:rPr>
          <w:rFonts w:cs="Abz-1 (Lotus)"/>
          <w:sz w:val="32"/>
          <w:szCs w:val="32"/>
          <w:lang w:bidi="ar-LB"/>
        </w:rPr>
      </w:pPr>
      <w:r w:rsidRPr="00CF0A84">
        <w:rPr>
          <w:rFonts w:cs="Abz-1 (Lotus)" w:hint="cs"/>
          <w:sz w:val="32"/>
          <w:szCs w:val="32"/>
          <w:rtl/>
          <w:lang w:bidi="ar-LB"/>
        </w:rPr>
        <w:t>* * *</w:t>
      </w:r>
    </w:p>
    <w:p w:rsidR="00064619" w:rsidRDefault="00EA09EB" w:rsidP="00064619">
      <w:pPr>
        <w:pStyle w:val="Heading2"/>
        <w:jc w:val="center"/>
        <w:rPr>
          <w:rtl/>
        </w:rPr>
      </w:pPr>
      <w:r w:rsidRPr="00EA09EB">
        <w:rPr>
          <w:rtl/>
        </w:rPr>
        <w:br w:type="page"/>
      </w:r>
    </w:p>
    <w:p w:rsidR="00064619" w:rsidRDefault="00064619" w:rsidP="00064619">
      <w:pPr>
        <w:rPr>
          <w:rtl/>
        </w:rPr>
        <w:sectPr w:rsidR="00064619" w:rsidSect="009003FC">
          <w:headerReference w:type="even" r:id="rId18"/>
          <w:headerReference w:type="default" r:id="rId19"/>
          <w:headerReference w:type="first" r:id="rId20"/>
          <w:footnotePr>
            <w:numRestart w:val="eachPage"/>
          </w:footnotePr>
          <w:type w:val="oddPage"/>
          <w:pgSz w:w="11907" w:h="16840" w:code="9"/>
          <w:pgMar w:top="2835" w:right="2552" w:bottom="3232" w:left="2552" w:header="2268" w:footer="1106" w:gutter="0"/>
          <w:cols w:space="720"/>
          <w:titlePg/>
          <w:docGrid w:linePitch="360"/>
        </w:sectPr>
      </w:pPr>
    </w:p>
    <w:p w:rsidR="00064619" w:rsidRDefault="00064619" w:rsidP="00064619">
      <w:pPr>
        <w:rPr>
          <w:rtl/>
        </w:rPr>
      </w:pPr>
    </w:p>
    <w:p w:rsidR="00064619" w:rsidRDefault="00064619" w:rsidP="00064619">
      <w:pPr>
        <w:rPr>
          <w:rtl/>
        </w:rPr>
      </w:pPr>
    </w:p>
    <w:p w:rsidR="00064619" w:rsidRDefault="00064619" w:rsidP="00064619">
      <w:pPr>
        <w:rPr>
          <w:rtl/>
        </w:rPr>
      </w:pPr>
    </w:p>
    <w:p w:rsidR="00064619" w:rsidRPr="00A97582" w:rsidRDefault="00064619" w:rsidP="00064619">
      <w:pPr>
        <w:rPr>
          <w:sz w:val="24"/>
          <w:szCs w:val="26"/>
          <w:rtl/>
        </w:rPr>
      </w:pPr>
    </w:p>
    <w:p w:rsidR="00EA09EB" w:rsidRPr="008A4886" w:rsidRDefault="00EA09EB" w:rsidP="00064619">
      <w:pPr>
        <w:pStyle w:val="Heading2"/>
        <w:jc w:val="center"/>
        <w:rPr>
          <w:rtl/>
          <w:lang w:bidi="ar-LB"/>
        </w:rPr>
      </w:pPr>
      <w:bookmarkStart w:id="34" w:name="_Toc413658817"/>
      <w:r w:rsidRPr="00064619">
        <w:rPr>
          <w:rFonts w:hint="cs"/>
          <w:rtl/>
        </w:rPr>
        <w:t>الفصل الأوّل</w:t>
      </w:r>
      <w:r w:rsidR="00064619" w:rsidRPr="00064619">
        <w:rPr>
          <w:rFonts w:hint="cs"/>
          <w:rtl/>
        </w:rPr>
        <w:t xml:space="preserve">: </w:t>
      </w:r>
      <w:r w:rsidRPr="008A4886">
        <w:rPr>
          <w:rFonts w:hint="cs"/>
          <w:rtl/>
          <w:lang w:bidi="ar-LB"/>
        </w:rPr>
        <w:t>المعنى اللغوي للولاية</w:t>
      </w:r>
      <w:bookmarkEnd w:id="34"/>
    </w:p>
    <w:p w:rsidR="00EA09EB" w:rsidRPr="00CF0A84" w:rsidRDefault="00EA09EB" w:rsidP="00A97582">
      <w:pPr>
        <w:pStyle w:val="Normal84"/>
        <w:rPr>
          <w:rtl/>
        </w:rPr>
      </w:pPr>
      <w:r w:rsidRPr="00CF0A84">
        <w:rPr>
          <w:rFonts w:hint="cs"/>
          <w:rtl/>
        </w:rPr>
        <w:t>قبل الدخول في البحث عن المعنى الاصطلاحي للولاية في نظرية ولاية الفقيه والحكومة الولائية يجب الخوض في بيان المعنى اللغوي لهذه المفردة</w:t>
      </w:r>
      <w:r>
        <w:rPr>
          <w:rFonts w:hint="cs"/>
          <w:rtl/>
        </w:rPr>
        <w:t>؛</w:t>
      </w:r>
      <w:r w:rsidRPr="00CF0A84">
        <w:rPr>
          <w:rFonts w:hint="cs"/>
          <w:rtl/>
        </w:rPr>
        <w:t xml:space="preserve"> كي نحد</w:t>
      </w:r>
      <w:r>
        <w:rPr>
          <w:rFonts w:hint="cs"/>
          <w:rtl/>
        </w:rPr>
        <w:t>ِّ</w:t>
      </w:r>
      <w:r w:rsidRPr="00CF0A84">
        <w:rPr>
          <w:rFonts w:hint="cs"/>
          <w:rtl/>
        </w:rPr>
        <w:t>د ما إذا كان لهذه الكلمة معنىً واحد</w:t>
      </w:r>
      <w:r>
        <w:rPr>
          <w:rFonts w:hint="cs"/>
          <w:rtl/>
        </w:rPr>
        <w:t>ٌ</w:t>
      </w:r>
      <w:r w:rsidRPr="00CF0A84">
        <w:rPr>
          <w:rFonts w:hint="cs"/>
          <w:rtl/>
        </w:rPr>
        <w:t xml:space="preserve"> أو أكثر من معنى؟ وإذا كان لها أكثر من معنى فهل هذه المعاني المتعد</w:t>
      </w:r>
      <w:r>
        <w:rPr>
          <w:rFonts w:hint="cs"/>
          <w:rtl/>
        </w:rPr>
        <w:t>ِّ</w:t>
      </w:r>
      <w:r w:rsidRPr="00CF0A84">
        <w:rPr>
          <w:rFonts w:hint="cs"/>
          <w:rtl/>
        </w:rPr>
        <w:t>دة من المشترك اللفظي أم أنها تعب</w:t>
      </w:r>
      <w:r>
        <w:rPr>
          <w:rFonts w:hint="cs"/>
          <w:rtl/>
        </w:rPr>
        <w:t>ِّ</w:t>
      </w:r>
      <w:r w:rsidRPr="00CF0A84">
        <w:rPr>
          <w:rFonts w:hint="cs"/>
          <w:rtl/>
        </w:rPr>
        <w:t>ر بأجمعها عن معان</w:t>
      </w:r>
      <w:r>
        <w:rPr>
          <w:rFonts w:hint="cs"/>
          <w:rtl/>
        </w:rPr>
        <w:t>ٍ</w:t>
      </w:r>
      <w:r w:rsidRPr="00CF0A84">
        <w:rPr>
          <w:rFonts w:hint="cs"/>
          <w:rtl/>
        </w:rPr>
        <w:t xml:space="preserve"> واحدة بتعبيرات</w:t>
      </w:r>
      <w:r>
        <w:rPr>
          <w:rFonts w:hint="cs"/>
          <w:rtl/>
        </w:rPr>
        <w:t>ٍ</w:t>
      </w:r>
      <w:r w:rsidRPr="00CF0A84">
        <w:rPr>
          <w:rFonts w:hint="cs"/>
          <w:rtl/>
        </w:rPr>
        <w:t xml:space="preserve"> مختلفة (المشترك المعنوي)؟ وهل علماء اللغة مت</w:t>
      </w:r>
      <w:r>
        <w:rPr>
          <w:rFonts w:hint="cs"/>
          <w:rtl/>
        </w:rPr>
        <w:t>َّ</w:t>
      </w:r>
      <w:r w:rsidRPr="00CF0A84">
        <w:rPr>
          <w:rFonts w:hint="cs"/>
          <w:rtl/>
        </w:rPr>
        <w:t>فقون في ذلك أم لا؟</w:t>
      </w:r>
    </w:p>
    <w:p w:rsidR="00EA09EB" w:rsidRPr="00CF0A84" w:rsidRDefault="00EA09EB" w:rsidP="00A97582">
      <w:pPr>
        <w:pStyle w:val="Normal84"/>
        <w:rPr>
          <w:rtl/>
        </w:rPr>
      </w:pPr>
      <w:r>
        <w:rPr>
          <w:rFonts w:hint="cs"/>
          <w:rtl/>
        </w:rPr>
        <w:t>1</w:t>
      </w:r>
      <w:r w:rsidRPr="00CF0A84">
        <w:rPr>
          <w:rFonts w:hint="cs"/>
          <w:rtl/>
        </w:rPr>
        <w:t>ـ إن الولاية مشتق</w:t>
      </w:r>
      <w:r>
        <w:rPr>
          <w:rFonts w:hint="cs"/>
          <w:rtl/>
        </w:rPr>
        <w:t>ّ</w:t>
      </w:r>
      <w:r w:rsidRPr="00CF0A84">
        <w:rPr>
          <w:rFonts w:hint="cs"/>
          <w:rtl/>
        </w:rPr>
        <w:t>ة من مادة (و ل ي). وإن</w:t>
      </w:r>
      <w:r>
        <w:rPr>
          <w:rFonts w:hint="cs"/>
          <w:rtl/>
        </w:rPr>
        <w:t>ّ</w:t>
      </w:r>
      <w:r w:rsidRPr="00CF0A84">
        <w:rPr>
          <w:rFonts w:hint="cs"/>
          <w:rtl/>
        </w:rPr>
        <w:t xml:space="preserve"> مشتق</w:t>
      </w:r>
      <w:r>
        <w:rPr>
          <w:rFonts w:hint="cs"/>
          <w:rtl/>
        </w:rPr>
        <w:t>ّ</w:t>
      </w:r>
      <w:r w:rsidRPr="00CF0A84">
        <w:rPr>
          <w:rFonts w:hint="cs"/>
          <w:rtl/>
        </w:rPr>
        <w:t>ات هذه الما</w:t>
      </w:r>
      <w:r>
        <w:rPr>
          <w:rFonts w:hint="cs"/>
          <w:rtl/>
        </w:rPr>
        <w:t>دّ</w:t>
      </w:r>
      <w:r w:rsidRPr="00CF0A84">
        <w:rPr>
          <w:rFonts w:hint="cs"/>
          <w:rtl/>
        </w:rPr>
        <w:t>ة في الاستعمالات العربية والفارسية كثيرة، وهي عبارة عن: الو</w:t>
      </w:r>
      <w:r>
        <w:rPr>
          <w:rFonts w:hint="cs"/>
          <w:rtl/>
        </w:rPr>
        <w:t>ِ</w:t>
      </w:r>
      <w:r w:rsidRPr="00CF0A84">
        <w:rPr>
          <w:rFonts w:hint="cs"/>
          <w:rtl/>
        </w:rPr>
        <w:t>لاية (بكسر الواو)، والو</w:t>
      </w:r>
      <w:r>
        <w:rPr>
          <w:rFonts w:hint="cs"/>
          <w:rtl/>
        </w:rPr>
        <w:t>َ</w:t>
      </w:r>
      <w:r w:rsidRPr="00CF0A84">
        <w:rPr>
          <w:rFonts w:hint="cs"/>
          <w:rtl/>
        </w:rPr>
        <w:t>لاية (بفتح الواو)، والو</w:t>
      </w:r>
      <w:r>
        <w:rPr>
          <w:rFonts w:hint="cs"/>
          <w:rtl/>
        </w:rPr>
        <w:t>ِ</w:t>
      </w:r>
      <w:r w:rsidRPr="00CF0A84">
        <w:rPr>
          <w:rFonts w:hint="cs"/>
          <w:rtl/>
        </w:rPr>
        <w:t>لاء (بكسر الواو)، والو</w:t>
      </w:r>
      <w:r>
        <w:rPr>
          <w:rFonts w:hint="cs"/>
          <w:rtl/>
        </w:rPr>
        <w:t>َ</w:t>
      </w:r>
      <w:r w:rsidRPr="00CF0A84">
        <w:rPr>
          <w:rFonts w:hint="cs"/>
          <w:rtl/>
        </w:rPr>
        <w:t>لاء (بفتح الواو)، والو</w:t>
      </w:r>
      <w:r>
        <w:rPr>
          <w:rFonts w:hint="cs"/>
          <w:rtl/>
        </w:rPr>
        <w:t>َ</w:t>
      </w:r>
      <w:r w:rsidRPr="00CF0A84">
        <w:rPr>
          <w:rFonts w:hint="cs"/>
          <w:rtl/>
        </w:rPr>
        <w:t>لي</w:t>
      </w:r>
      <w:r>
        <w:rPr>
          <w:rFonts w:hint="cs"/>
          <w:rtl/>
        </w:rPr>
        <w:t>ّ</w:t>
      </w:r>
      <w:r w:rsidRPr="00CF0A84">
        <w:rPr>
          <w:rFonts w:hint="cs"/>
          <w:rtl/>
        </w:rPr>
        <w:t>، والأولياء، والوالي، والم</w:t>
      </w:r>
      <w:r>
        <w:rPr>
          <w:rFonts w:hint="cs"/>
          <w:rtl/>
        </w:rPr>
        <w:t>َ</w:t>
      </w:r>
      <w:r w:rsidRPr="00CF0A84">
        <w:rPr>
          <w:rFonts w:hint="cs"/>
          <w:rtl/>
        </w:rPr>
        <w:t>و</w:t>
      </w:r>
      <w:r>
        <w:rPr>
          <w:rFonts w:hint="cs"/>
          <w:rtl/>
        </w:rPr>
        <w:t>ْ</w:t>
      </w:r>
      <w:r w:rsidRPr="00CF0A84">
        <w:rPr>
          <w:rFonts w:hint="cs"/>
          <w:rtl/>
        </w:rPr>
        <w:t>لى، والم</w:t>
      </w:r>
      <w:r>
        <w:rPr>
          <w:rFonts w:hint="cs"/>
          <w:rtl/>
        </w:rPr>
        <w:t>َ</w:t>
      </w:r>
      <w:r w:rsidRPr="00CF0A84">
        <w:rPr>
          <w:rFonts w:hint="cs"/>
          <w:rtl/>
        </w:rPr>
        <w:t>والي، والم</w:t>
      </w:r>
      <w:r>
        <w:rPr>
          <w:rFonts w:hint="cs"/>
          <w:rtl/>
        </w:rPr>
        <w:t>ُ</w:t>
      </w:r>
      <w:r w:rsidRPr="00CF0A84">
        <w:rPr>
          <w:rFonts w:hint="cs"/>
          <w:rtl/>
        </w:rPr>
        <w:t>و</w:t>
      </w:r>
      <w:r>
        <w:rPr>
          <w:rFonts w:hint="cs"/>
          <w:rtl/>
        </w:rPr>
        <w:t>َ</w:t>
      </w:r>
      <w:r w:rsidRPr="00CF0A84">
        <w:rPr>
          <w:rFonts w:hint="cs"/>
          <w:rtl/>
        </w:rPr>
        <w:t>لّ</w:t>
      </w:r>
      <w:r>
        <w:rPr>
          <w:rFonts w:hint="cs"/>
          <w:rtl/>
        </w:rPr>
        <w:t>َ</w:t>
      </w:r>
      <w:r w:rsidRPr="00CF0A84">
        <w:rPr>
          <w:rFonts w:hint="cs"/>
          <w:rtl/>
        </w:rPr>
        <w:t>ى عليه، والتولية، والم</w:t>
      </w:r>
      <w:r>
        <w:rPr>
          <w:rFonts w:hint="cs"/>
          <w:rtl/>
        </w:rPr>
        <w:t>ُ</w:t>
      </w:r>
      <w:r w:rsidRPr="00CF0A84">
        <w:rPr>
          <w:rFonts w:hint="cs"/>
          <w:rtl/>
        </w:rPr>
        <w:t>والا</w:t>
      </w:r>
      <w:r>
        <w:rPr>
          <w:rFonts w:hint="cs"/>
          <w:rtl/>
        </w:rPr>
        <w:t>ة</w:t>
      </w:r>
      <w:r w:rsidRPr="00CF0A84">
        <w:rPr>
          <w:rFonts w:hint="cs"/>
          <w:rtl/>
        </w:rPr>
        <w:t>، والتولّي، والمتولّى، والتوالي، والمتوالي، والاستيلاء، والمستولى، والأ</w:t>
      </w:r>
      <w:r>
        <w:rPr>
          <w:rFonts w:hint="cs"/>
          <w:rtl/>
        </w:rPr>
        <w:t>َ</w:t>
      </w:r>
      <w:r w:rsidRPr="00CF0A84">
        <w:rPr>
          <w:rFonts w:hint="cs"/>
          <w:rtl/>
        </w:rPr>
        <w:t>و</w:t>
      </w:r>
      <w:r>
        <w:rPr>
          <w:rFonts w:hint="cs"/>
          <w:rtl/>
        </w:rPr>
        <w:t>ْ</w:t>
      </w:r>
      <w:r w:rsidRPr="00CF0A84">
        <w:rPr>
          <w:rFonts w:hint="cs"/>
          <w:rtl/>
        </w:rPr>
        <w:t>ل</w:t>
      </w:r>
      <w:r>
        <w:rPr>
          <w:rFonts w:hint="cs"/>
          <w:rtl/>
        </w:rPr>
        <w:t>َ</w:t>
      </w:r>
      <w:r w:rsidRPr="00CF0A84">
        <w:rPr>
          <w:rFonts w:hint="cs"/>
          <w:rtl/>
        </w:rPr>
        <w:t>ى (بفتح الهمزة واللام)، والمولوي، والولائي، والولوي، وغير ذلك.</w:t>
      </w:r>
    </w:p>
    <w:p w:rsidR="00EA09EB" w:rsidRPr="00CF0A84" w:rsidRDefault="00EA09EB" w:rsidP="00A97582">
      <w:pPr>
        <w:pStyle w:val="Normal87"/>
        <w:rPr>
          <w:rtl/>
        </w:rPr>
      </w:pPr>
      <w:r w:rsidRPr="00EA09EB">
        <w:rPr>
          <w:rFonts w:hint="cs"/>
          <w:rtl/>
        </w:rPr>
        <w:t>2ـ إنّ المعنى الرئيس لمادة (و ل ي) هو وضع شيءٍ إلى جوار شيءٍ آخر، بحيث لا يبقى هناك حيِّزٌ لوضع شيءٍ ثالث بينهما</w:t>
      </w:r>
      <w:r w:rsidRPr="00064619">
        <w:rPr>
          <w:rFonts w:cs="Taher"/>
          <w:vertAlign w:val="superscript"/>
          <w:rtl/>
        </w:rPr>
        <w:t>(</w:t>
      </w:r>
      <w:r w:rsidRPr="00064619">
        <w:rPr>
          <w:rFonts w:cs="Taher"/>
          <w:vertAlign w:val="superscript"/>
          <w:rtl/>
        </w:rPr>
        <w:footnoteReference w:id="22"/>
      </w:r>
      <w:r w:rsidRPr="00064619">
        <w:rPr>
          <w:rFonts w:cs="Taher"/>
          <w:vertAlign w:val="superscript"/>
          <w:rtl/>
        </w:rPr>
        <w:t>)</w:t>
      </w:r>
      <w:r w:rsidRPr="00CF0A84">
        <w:rPr>
          <w:rFonts w:hint="cs"/>
          <w:rtl/>
        </w:rPr>
        <w:t>. ويمكن التعبير عن هذا المعنى بالقرب والدنوّ أيضاً. وتستعمل مشتق</w:t>
      </w:r>
      <w:r>
        <w:rPr>
          <w:rFonts w:hint="cs"/>
          <w:rtl/>
        </w:rPr>
        <w:t>ّ</w:t>
      </w:r>
      <w:r w:rsidRPr="00CF0A84">
        <w:rPr>
          <w:rFonts w:hint="cs"/>
          <w:rtl/>
        </w:rPr>
        <w:t>ات من قبيل: التوالي والمتوالي والموالاة بهذا المعنى تماماً. وإن</w:t>
      </w:r>
      <w:r>
        <w:rPr>
          <w:rFonts w:hint="cs"/>
          <w:rtl/>
        </w:rPr>
        <w:t>ّ</w:t>
      </w:r>
      <w:r w:rsidRPr="00CF0A84">
        <w:rPr>
          <w:rFonts w:hint="cs"/>
          <w:rtl/>
        </w:rPr>
        <w:t xml:space="preserve"> القرب والدنوّ المعنيّ من الولاية ومشتق</w:t>
      </w:r>
      <w:r>
        <w:rPr>
          <w:rFonts w:hint="cs"/>
          <w:rtl/>
        </w:rPr>
        <w:t>ّ</w:t>
      </w:r>
      <w:r w:rsidRPr="00CF0A84">
        <w:rPr>
          <w:rFonts w:hint="cs"/>
          <w:rtl/>
        </w:rPr>
        <w:t>اتها أعم</w:t>
      </w:r>
      <w:r>
        <w:rPr>
          <w:rFonts w:hint="cs"/>
          <w:rtl/>
        </w:rPr>
        <w:t>ّ</w:t>
      </w:r>
      <w:r w:rsidRPr="00CF0A84">
        <w:rPr>
          <w:rFonts w:hint="cs"/>
          <w:rtl/>
        </w:rPr>
        <w:t xml:space="preserve"> من القرب المكاني والقرب المعنوي.</w:t>
      </w:r>
    </w:p>
    <w:p w:rsidR="00EA09EB" w:rsidRPr="00EA09EB" w:rsidRDefault="00EA09EB" w:rsidP="00EA09EB">
      <w:pPr>
        <w:rPr>
          <w:rtl/>
        </w:rPr>
      </w:pPr>
      <w:r>
        <w:rPr>
          <w:rFonts w:hint="cs"/>
          <w:rtl/>
          <w:lang w:bidi="ar-LB"/>
        </w:rPr>
        <w:t>3</w:t>
      </w:r>
      <w:r w:rsidRPr="00CF0A84">
        <w:rPr>
          <w:rFonts w:hint="cs"/>
          <w:rtl/>
          <w:lang w:bidi="ar-LB"/>
        </w:rPr>
        <w:t>ـ لقد است</w:t>
      </w:r>
      <w:r>
        <w:rPr>
          <w:rFonts w:hint="cs"/>
          <w:rtl/>
          <w:lang w:bidi="ar-LB"/>
        </w:rPr>
        <w:t>ُ</w:t>
      </w:r>
      <w:r w:rsidRPr="00CF0A84">
        <w:rPr>
          <w:rFonts w:hint="cs"/>
          <w:rtl/>
          <w:lang w:bidi="ar-LB"/>
        </w:rPr>
        <w:t>عملت الولاية ومشتق</w:t>
      </w:r>
      <w:r>
        <w:rPr>
          <w:rFonts w:hint="cs"/>
          <w:rtl/>
          <w:lang w:bidi="ar-LB"/>
        </w:rPr>
        <w:t>ّ</w:t>
      </w:r>
      <w:r w:rsidRPr="00CF0A84">
        <w:rPr>
          <w:rFonts w:hint="cs"/>
          <w:rtl/>
          <w:lang w:bidi="ar-LB"/>
        </w:rPr>
        <w:t>اتها الأخرى في معان</w:t>
      </w:r>
      <w:r>
        <w:rPr>
          <w:rFonts w:hint="cs"/>
          <w:rtl/>
          <w:lang w:bidi="ar-LB"/>
        </w:rPr>
        <w:t>ٍ</w:t>
      </w:r>
      <w:r w:rsidRPr="00CF0A84">
        <w:rPr>
          <w:rFonts w:hint="cs"/>
          <w:rtl/>
          <w:lang w:bidi="ar-LB"/>
        </w:rPr>
        <w:t xml:space="preserve"> متعد</w:t>
      </w:r>
      <w:r>
        <w:rPr>
          <w:rFonts w:hint="cs"/>
          <w:rtl/>
          <w:lang w:bidi="ar-LB"/>
        </w:rPr>
        <w:t>ِّ</w:t>
      </w:r>
      <w:r w:rsidRPr="00CF0A84">
        <w:rPr>
          <w:rFonts w:hint="cs"/>
          <w:rtl/>
          <w:lang w:bidi="ar-LB"/>
        </w:rPr>
        <w:t>دة</w:t>
      </w:r>
      <w:r w:rsidRPr="00064619">
        <w:rPr>
          <w:rFonts w:cs="Taher"/>
          <w:vertAlign w:val="superscript"/>
          <w:rtl/>
          <w:lang w:bidi="ar-LB"/>
        </w:rPr>
        <w:t>(</w:t>
      </w:r>
      <w:r w:rsidRPr="00064619">
        <w:rPr>
          <w:rFonts w:cs="Taher"/>
          <w:vertAlign w:val="superscript"/>
          <w:rtl/>
          <w:lang w:bidi="ar-LB"/>
        </w:rPr>
        <w:footnoteReference w:id="23"/>
      </w:r>
      <w:r w:rsidRPr="00064619">
        <w:rPr>
          <w:rFonts w:cs="Taher"/>
          <w:vertAlign w:val="superscript"/>
          <w:rtl/>
          <w:lang w:bidi="ar-LB"/>
        </w:rPr>
        <w:t>)</w:t>
      </w:r>
      <w:r w:rsidRPr="00EA09EB">
        <w:rPr>
          <w:rFonts w:hint="cs"/>
          <w:rtl/>
        </w:rPr>
        <w:t xml:space="preserve">. وأهمُّ معاني الولاية عبارةٌ عن: </w:t>
      </w:r>
    </w:p>
    <w:p w:rsidR="00EA09EB" w:rsidRPr="00CF0A84" w:rsidRDefault="00EA09EB" w:rsidP="00EA09EB">
      <w:pPr>
        <w:rPr>
          <w:rtl/>
          <w:lang w:bidi="ar-LB"/>
        </w:rPr>
      </w:pPr>
      <w:r w:rsidRPr="00CF0A84">
        <w:rPr>
          <w:rFonts w:hint="cs"/>
          <w:rtl/>
          <w:lang w:bidi="ar-LB"/>
        </w:rPr>
        <w:t>أولاً: النصرة والع</w:t>
      </w:r>
      <w:r>
        <w:rPr>
          <w:rFonts w:hint="cs"/>
          <w:rtl/>
          <w:lang w:bidi="ar-LB"/>
        </w:rPr>
        <w:t>َ</w:t>
      </w:r>
      <w:r w:rsidRPr="00CF0A84">
        <w:rPr>
          <w:rFonts w:hint="cs"/>
          <w:rtl/>
          <w:lang w:bidi="ar-LB"/>
        </w:rPr>
        <w:t>و</w:t>
      </w:r>
      <w:r>
        <w:rPr>
          <w:rFonts w:hint="cs"/>
          <w:rtl/>
          <w:lang w:bidi="ar-LB"/>
        </w:rPr>
        <w:t>ْ</w:t>
      </w:r>
      <w:r w:rsidRPr="00CF0A84">
        <w:rPr>
          <w:rFonts w:hint="cs"/>
          <w:rtl/>
          <w:lang w:bidi="ar-LB"/>
        </w:rPr>
        <w:t>ن.</w:t>
      </w:r>
    </w:p>
    <w:p w:rsidR="00EA09EB" w:rsidRPr="00CF0A84" w:rsidRDefault="00EA09EB" w:rsidP="00EA09EB">
      <w:pPr>
        <w:rPr>
          <w:rtl/>
          <w:lang w:bidi="ar-LB"/>
        </w:rPr>
      </w:pPr>
      <w:r w:rsidRPr="00CF0A84">
        <w:rPr>
          <w:rFonts w:hint="cs"/>
          <w:rtl/>
          <w:lang w:bidi="ar-LB"/>
        </w:rPr>
        <w:t>ثانياً: المحبّة.</w:t>
      </w:r>
    </w:p>
    <w:p w:rsidR="00EA09EB" w:rsidRPr="00CF0A84" w:rsidRDefault="00EA09EB" w:rsidP="00EA09EB">
      <w:pPr>
        <w:rPr>
          <w:rtl/>
          <w:lang w:bidi="ar-LB"/>
        </w:rPr>
      </w:pPr>
      <w:r w:rsidRPr="00CF0A84">
        <w:rPr>
          <w:rFonts w:hint="cs"/>
          <w:rtl/>
          <w:lang w:bidi="ar-LB"/>
        </w:rPr>
        <w:t>ثالثاً: القيام بالأمر، والتسلّ</w:t>
      </w:r>
      <w:r>
        <w:rPr>
          <w:rFonts w:hint="cs"/>
          <w:rtl/>
          <w:lang w:bidi="ar-LB"/>
        </w:rPr>
        <w:t>ُ</w:t>
      </w:r>
      <w:r w:rsidRPr="00CF0A84">
        <w:rPr>
          <w:rFonts w:hint="cs"/>
          <w:rtl/>
          <w:lang w:bidi="ar-LB"/>
        </w:rPr>
        <w:t>ط، والسيطرة، والسلطة، والإمارة.</w:t>
      </w:r>
    </w:p>
    <w:p w:rsidR="00EA09EB" w:rsidRPr="00EA09EB" w:rsidRDefault="00EA09EB" w:rsidP="00A97582">
      <w:pPr>
        <w:pStyle w:val="Normal87"/>
      </w:pPr>
      <w:r w:rsidRPr="00EA09EB">
        <w:rPr>
          <w:rFonts w:hint="cs"/>
          <w:rtl/>
        </w:rPr>
        <w:t>ونلاحظ في كلّ واحدٍ من هذه المعاني الثلاثة نوعاً من الاتّصال والقرب والمباشرة. فالولاية قد وُضعت لهذا المعنى الرئيس (القُرْب)، وقد جاء استعمالها في سائر الموارد بملاحظة هذا المعنى. وينبغي الحصول على المعاني المتعدِّدة ـ أو بتعبير أفضل: موارد الاستعمال المتعدِّدة ـ من خلال القرائن اللفظيّة والحاليّة. وقد تمّ استعمال مفردة الولاية في القرآن الكريم، والروايات المأثورة عن المعصومين</w:t>
      </w:r>
      <w:r w:rsidR="007A340E">
        <w:rPr>
          <w:rFonts w:hint="cs"/>
          <w:rtl/>
        </w:rPr>
        <w:t>^</w:t>
      </w:r>
      <w:r w:rsidRPr="00064619">
        <w:rPr>
          <w:rFonts w:cs="Taher"/>
          <w:sz w:val="32"/>
          <w:vertAlign w:val="superscript"/>
          <w:rtl/>
        </w:rPr>
        <w:t>(</w:t>
      </w:r>
      <w:r w:rsidRPr="00064619">
        <w:rPr>
          <w:rFonts w:cs="Taher"/>
          <w:sz w:val="32"/>
          <w:vertAlign w:val="superscript"/>
          <w:rtl/>
        </w:rPr>
        <w:footnoteReference w:id="24"/>
      </w:r>
      <w:r w:rsidRPr="00064619">
        <w:rPr>
          <w:rFonts w:cs="Taher"/>
          <w:sz w:val="32"/>
          <w:vertAlign w:val="superscript"/>
          <w:rtl/>
        </w:rPr>
        <w:t>)</w:t>
      </w:r>
      <w:r w:rsidRPr="00EA09EB">
        <w:rPr>
          <w:rFonts w:hint="cs"/>
          <w:rtl/>
        </w:rPr>
        <w:t>، وأشعار العرب قبل الإسلام وبعده، وكذلك في الاستعمالات العربية والفارسية المعاصرة</w:t>
      </w:r>
      <w:r w:rsidRPr="00064619">
        <w:rPr>
          <w:rFonts w:cs="Taher"/>
          <w:sz w:val="32"/>
          <w:vertAlign w:val="superscript"/>
          <w:rtl/>
        </w:rPr>
        <w:t>(</w:t>
      </w:r>
      <w:r w:rsidRPr="00064619">
        <w:rPr>
          <w:rFonts w:cs="Taher"/>
          <w:sz w:val="32"/>
          <w:vertAlign w:val="superscript"/>
          <w:rtl/>
        </w:rPr>
        <w:footnoteReference w:id="25"/>
      </w:r>
      <w:r w:rsidRPr="00064619">
        <w:rPr>
          <w:rFonts w:cs="Taher"/>
          <w:sz w:val="32"/>
          <w:vertAlign w:val="superscript"/>
          <w:rtl/>
        </w:rPr>
        <w:t>)</w:t>
      </w:r>
      <w:r w:rsidRPr="00EA09EB">
        <w:rPr>
          <w:rFonts w:hint="cs"/>
          <w:rtl/>
        </w:rPr>
        <w:t>، في أربعة معانٍ، وهي: القُرْب؛ والنصرة؛ والمحبّة؛ والقيام بالأمر. وهناك اتّفاق بين علماء اللغة في هذا الشأن.</w:t>
      </w:r>
    </w:p>
    <w:p w:rsidR="00064619" w:rsidRDefault="00EA09EB" w:rsidP="00064619">
      <w:pPr>
        <w:pStyle w:val="Heading2"/>
        <w:rPr>
          <w:rFonts w:cs="SKR HEAD1"/>
          <w:rtl/>
        </w:rPr>
      </w:pPr>
      <w:r>
        <w:rPr>
          <w:rFonts w:cs="SKR HEAD1"/>
        </w:rPr>
        <w:br w:type="page"/>
      </w:r>
    </w:p>
    <w:p w:rsidR="00064619" w:rsidRDefault="00064619" w:rsidP="00064619">
      <w:pPr>
        <w:rPr>
          <w:rtl/>
        </w:rPr>
        <w:sectPr w:rsidR="00064619" w:rsidSect="009003FC">
          <w:headerReference w:type="even" r:id="rId21"/>
          <w:headerReference w:type="default" r:id="rId22"/>
          <w:headerReference w:type="first" r:id="rId23"/>
          <w:footnotePr>
            <w:numRestart w:val="eachPage"/>
          </w:footnotePr>
          <w:type w:val="oddPage"/>
          <w:pgSz w:w="11907" w:h="16840" w:code="9"/>
          <w:pgMar w:top="2835" w:right="2552" w:bottom="3232" w:left="2552" w:header="2268" w:footer="1106" w:gutter="0"/>
          <w:cols w:space="720"/>
          <w:titlePg/>
          <w:docGrid w:linePitch="360"/>
        </w:sectPr>
      </w:pPr>
    </w:p>
    <w:p w:rsidR="00064619" w:rsidRDefault="00064619" w:rsidP="00064619">
      <w:pPr>
        <w:rPr>
          <w:rtl/>
        </w:rPr>
      </w:pPr>
    </w:p>
    <w:p w:rsidR="00064619" w:rsidRDefault="00064619" w:rsidP="00064619">
      <w:pPr>
        <w:rPr>
          <w:rtl/>
        </w:rPr>
      </w:pPr>
    </w:p>
    <w:p w:rsidR="00064619" w:rsidRDefault="00064619" w:rsidP="00064619">
      <w:pPr>
        <w:rPr>
          <w:rtl/>
        </w:rPr>
      </w:pPr>
    </w:p>
    <w:p w:rsidR="00064619" w:rsidRPr="00A97582" w:rsidRDefault="00064619" w:rsidP="00064619">
      <w:pPr>
        <w:rPr>
          <w:sz w:val="8"/>
          <w:szCs w:val="10"/>
          <w:rtl/>
        </w:rPr>
      </w:pPr>
    </w:p>
    <w:p w:rsidR="00EA09EB" w:rsidRDefault="00EA09EB" w:rsidP="00064619">
      <w:pPr>
        <w:pStyle w:val="Heading2"/>
        <w:jc w:val="center"/>
        <w:rPr>
          <w:rFonts w:cs="SKR HEAD1"/>
          <w:rtl/>
        </w:rPr>
      </w:pPr>
      <w:bookmarkStart w:id="35" w:name="_Toc413658818"/>
      <w:r w:rsidRPr="00FC6A38">
        <w:rPr>
          <w:rFonts w:hint="cs"/>
          <w:rtl/>
        </w:rPr>
        <w:t>الفص</w:t>
      </w:r>
      <w:r w:rsidRPr="00064619">
        <w:rPr>
          <w:rFonts w:hint="cs"/>
          <w:rtl/>
        </w:rPr>
        <w:t>ل</w:t>
      </w:r>
      <w:r w:rsidRPr="00FC6A38">
        <w:rPr>
          <w:rFonts w:hint="cs"/>
          <w:rtl/>
        </w:rPr>
        <w:t xml:space="preserve"> الثاني</w:t>
      </w:r>
      <w:r w:rsidR="00064619">
        <w:rPr>
          <w:rFonts w:hint="cs"/>
          <w:rtl/>
        </w:rPr>
        <w:t xml:space="preserve">: </w:t>
      </w:r>
      <w:r w:rsidRPr="00E2207F">
        <w:rPr>
          <w:rFonts w:hint="cs"/>
          <w:rtl/>
        </w:rPr>
        <w:t>الولاية</w:t>
      </w:r>
      <w:r w:rsidRPr="00E2207F">
        <w:rPr>
          <w:rFonts w:cs="SKR HEAD1" w:hint="cs"/>
          <w:rtl/>
        </w:rPr>
        <w:t xml:space="preserve"> </w:t>
      </w:r>
      <w:r w:rsidRPr="00E2207F">
        <w:rPr>
          <w:rFonts w:hint="cs"/>
          <w:rtl/>
        </w:rPr>
        <w:t>العرفانية</w:t>
      </w:r>
      <w:bookmarkEnd w:id="35"/>
    </w:p>
    <w:p w:rsidR="00EA09EB" w:rsidRPr="00A32FC0" w:rsidRDefault="00EA09EB" w:rsidP="00A97582">
      <w:pPr>
        <w:pStyle w:val="Normal84"/>
        <w:rPr>
          <w:rtl/>
        </w:rPr>
      </w:pPr>
      <w:r w:rsidRPr="00A32FC0">
        <w:rPr>
          <w:rFonts w:hint="cs"/>
          <w:rtl/>
        </w:rPr>
        <w:t>لقد تمّ بحث (الولاية) في العلوم الثلاثة: العرفان؛ والفقه؛ والكلام. و</w:t>
      </w:r>
      <w:r>
        <w:rPr>
          <w:rFonts w:hint="cs"/>
          <w:rtl/>
        </w:rPr>
        <w:t>لا بُدَّ</w:t>
      </w:r>
      <w:r w:rsidRPr="00A32FC0">
        <w:rPr>
          <w:rFonts w:hint="cs"/>
          <w:rtl/>
        </w:rPr>
        <w:t xml:space="preserve"> من بحث تطبيقيّ حول المعنى الاصطلاحي للولاية في هذه العلوم الثلاثة. وسوف نبحث تفصيلاً في المعنى الاصطلاحي للولاية العرفانية، والكلامية، والفقهية، كمقدّمة لابدّ منها للبحث حول مفهوم الولاية في القرآن والسنة، حيث إنّ الاهتمام والإحاطة بهذه الأبعاد الثلاثة المختلفة يساعد في الفهم الصحيح والدقيق لمصطلح الولاية في (ولاية الفقيه) أو (الحكومة الولائية). كما أن هذا الأمر يجنّبنا التلاعب بالألفاظ، والمغالطات، والأخطاء اللفظية. ولعل الاستعمال الواسع لمصطلح الولاية في العرفان وتأثيره المهم في (فكر الحكومة الولائية) سوف يقودنا للبحث في مصطلح الولاية العرفانية.</w:t>
      </w:r>
    </w:p>
    <w:p w:rsidR="00EA09EB" w:rsidRPr="00A32FC0" w:rsidRDefault="00EA09EB" w:rsidP="00A97582">
      <w:pPr>
        <w:pStyle w:val="Normal84"/>
        <w:rPr>
          <w:rtl/>
        </w:rPr>
      </w:pPr>
      <w:r w:rsidRPr="00EA09EB">
        <w:rPr>
          <w:rFonts w:hint="cs"/>
          <w:rtl/>
        </w:rPr>
        <w:t>1</w:t>
      </w:r>
      <w:r w:rsidRPr="00EA09EB">
        <w:rPr>
          <w:rtl/>
        </w:rPr>
        <w:t>ـ</w:t>
      </w:r>
      <w:r w:rsidRPr="00EA09EB">
        <w:rPr>
          <w:rFonts w:hint="cs"/>
          <w:rtl/>
        </w:rPr>
        <w:t xml:space="preserve"> تنقسم الولاية من ناحية الأولياء إلى ثلاثة أقسام: الولاية الإلهية؛ والولاية البشرية؛ والولاية الملائكية، وإنْ كان القسمان الأخيران في الواقع قسمين للولاية الإلهية؛ حيث إنّه لا ولاية حقيقية إلاّ ولاية الله تعالى</w:t>
      </w:r>
      <w:r w:rsidRPr="00064619">
        <w:rPr>
          <w:rFonts w:cs="Taher" w:hint="cs"/>
          <w:vertAlign w:val="superscript"/>
          <w:rtl/>
        </w:rPr>
        <w:t>(</w:t>
      </w:r>
      <w:r w:rsidRPr="00064619">
        <w:rPr>
          <w:rStyle w:val="FootnoteReference"/>
          <w:rFonts w:cs="Taher"/>
          <w:sz w:val="32"/>
          <w:rtl/>
        </w:rPr>
        <w:footnoteReference w:id="26"/>
      </w:r>
      <w:r w:rsidRPr="00064619">
        <w:rPr>
          <w:rFonts w:cs="Taher" w:hint="cs"/>
          <w:vertAlign w:val="superscript"/>
          <w:rtl/>
        </w:rPr>
        <w:t>)</w:t>
      </w:r>
      <w:r w:rsidRPr="00A32FC0">
        <w:rPr>
          <w:rFonts w:hint="cs"/>
          <w:rtl/>
        </w:rPr>
        <w:t>.</w:t>
      </w:r>
    </w:p>
    <w:p w:rsidR="00EA09EB" w:rsidRPr="00A32FC0" w:rsidRDefault="00EA09EB" w:rsidP="00EA09EB">
      <w:pPr>
        <w:rPr>
          <w:rtl/>
        </w:rPr>
      </w:pPr>
      <w:r w:rsidRPr="00A32FC0">
        <w:rPr>
          <w:rFonts w:hint="cs"/>
          <w:rtl/>
        </w:rPr>
        <w:t>2</w:t>
      </w:r>
      <w:r w:rsidRPr="00A32FC0">
        <w:rPr>
          <w:rtl/>
        </w:rPr>
        <w:t>ـ</w:t>
      </w:r>
      <w:r w:rsidRPr="00A32FC0">
        <w:rPr>
          <w:rFonts w:hint="cs"/>
          <w:rtl/>
        </w:rPr>
        <w:t xml:space="preserve"> من جهة تعدّ الولاية (...نصر الوليّ أي نصر الناصر...)</w:t>
      </w:r>
      <w:r w:rsidRPr="00064619">
        <w:rPr>
          <w:rFonts w:cs="Taher" w:hint="cs"/>
          <w:vertAlign w:val="superscript"/>
          <w:rtl/>
        </w:rPr>
        <w:t>(</w:t>
      </w:r>
      <w:r w:rsidRPr="00064619">
        <w:rPr>
          <w:rStyle w:val="FootnoteReference"/>
          <w:rFonts w:cs="Taher"/>
          <w:sz w:val="32"/>
          <w:rtl/>
        </w:rPr>
        <w:footnoteReference w:id="27"/>
      </w:r>
      <w:r w:rsidRPr="00064619">
        <w:rPr>
          <w:rFonts w:cs="Taher" w:hint="cs"/>
          <w:vertAlign w:val="superscript"/>
          <w:rtl/>
        </w:rPr>
        <w:t>)</w:t>
      </w:r>
      <w:r w:rsidRPr="00EA09EB">
        <w:rPr>
          <w:rFonts w:hint="cs"/>
          <w:rtl/>
        </w:rPr>
        <w:t>، ومن جهة أخرى هي التصدي التكويني لعالم الوجود</w:t>
      </w:r>
      <w:r w:rsidRPr="00064619">
        <w:rPr>
          <w:rFonts w:cs="Taher"/>
          <w:vertAlign w:val="superscript"/>
          <w:rtl/>
        </w:rPr>
        <w:t>(</w:t>
      </w:r>
      <w:r w:rsidRPr="00064619">
        <w:rPr>
          <w:rStyle w:val="FootnoteReference"/>
          <w:rFonts w:cs="Taher"/>
          <w:sz w:val="32"/>
          <w:rtl/>
        </w:rPr>
        <w:footnoteReference w:id="28"/>
      </w:r>
      <w:r w:rsidRPr="00064619">
        <w:rPr>
          <w:rFonts w:cs="Taher"/>
          <w:vertAlign w:val="superscript"/>
          <w:rtl/>
        </w:rPr>
        <w:t>)</w:t>
      </w:r>
      <w:r w:rsidRPr="00EA09EB">
        <w:rPr>
          <w:rFonts w:hint="cs"/>
          <w:rtl/>
        </w:rPr>
        <w:t>، والولاية الإلهية ـ كبقية صفاته سبحانه وتعالى ـ عامّة التعلّق، أي سارية على جميع مخلوقاته</w:t>
      </w:r>
      <w:r w:rsidRPr="00064619">
        <w:rPr>
          <w:rFonts w:cs="Taher"/>
          <w:vertAlign w:val="superscript"/>
          <w:rtl/>
        </w:rPr>
        <w:t>(</w:t>
      </w:r>
      <w:r w:rsidRPr="00064619">
        <w:rPr>
          <w:rStyle w:val="FootnoteReference"/>
          <w:rFonts w:cs="Taher"/>
          <w:sz w:val="32"/>
          <w:rtl/>
        </w:rPr>
        <w:footnoteReference w:id="29"/>
      </w:r>
      <w:r w:rsidRPr="00064619">
        <w:rPr>
          <w:rFonts w:cs="Taher"/>
          <w:vertAlign w:val="superscript"/>
          <w:rtl/>
        </w:rPr>
        <w:t>)</w:t>
      </w:r>
      <w:r w:rsidRPr="00EA09EB">
        <w:rPr>
          <w:rFonts w:hint="cs"/>
          <w:rtl/>
        </w:rPr>
        <w:t>. كما أنه بالإضافة إلى هذه الولاية العامة فإنّ لله تعالى ولاية خاصّة على الخاصّة من عباده: ﴿</w:t>
      </w:r>
      <w:r>
        <w:rPr>
          <w:b/>
          <w:bCs/>
          <w:rtl/>
        </w:rPr>
        <w:t>الل</w:t>
      </w:r>
      <w:r w:rsidRPr="00A32FC0">
        <w:rPr>
          <w:b/>
          <w:bCs/>
          <w:rtl/>
        </w:rPr>
        <w:t>هُ وَلِيُّ الَّذِينَ آمَنُوا</w:t>
      </w:r>
      <w:r w:rsidRPr="00EA09EB">
        <w:rPr>
          <w:rFonts w:hint="cs"/>
          <w:rtl/>
        </w:rPr>
        <w:t>﴾</w:t>
      </w:r>
      <w:r w:rsidRPr="00064619">
        <w:rPr>
          <w:rFonts w:cs="Taher"/>
          <w:vertAlign w:val="superscript"/>
          <w:rtl/>
        </w:rPr>
        <w:t>(</w:t>
      </w:r>
      <w:r w:rsidRPr="00064619">
        <w:rPr>
          <w:rStyle w:val="FootnoteReference"/>
          <w:rFonts w:cs="Taher"/>
          <w:sz w:val="32"/>
          <w:rtl/>
        </w:rPr>
        <w:footnoteReference w:id="30"/>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rPr>
        <w:t>3</w:t>
      </w:r>
      <w:r w:rsidRPr="00A32FC0">
        <w:rPr>
          <w:rtl/>
        </w:rPr>
        <w:t>ـ</w:t>
      </w:r>
      <w:r w:rsidRPr="00A32FC0">
        <w:rPr>
          <w:rFonts w:hint="cs"/>
          <w:rtl/>
        </w:rPr>
        <w:t xml:space="preserve"> الولاية الملائكية هي أيضاً بمعنى النصرة. والملائكة ثلاثة أقسام: الملائكة المهيمنة؛ والملائكة المسخرة؛ والملائكة المدبِّرة</w:t>
      </w:r>
      <w:r w:rsidRPr="00064619">
        <w:rPr>
          <w:rFonts w:cs="Taher"/>
          <w:vertAlign w:val="superscript"/>
          <w:rtl/>
        </w:rPr>
        <w:t>(</w:t>
      </w:r>
      <w:r w:rsidRPr="00064619">
        <w:rPr>
          <w:rStyle w:val="FootnoteReference"/>
          <w:rFonts w:cs="Taher"/>
          <w:sz w:val="32"/>
          <w:rtl/>
        </w:rPr>
        <w:footnoteReference w:id="31"/>
      </w:r>
      <w:r w:rsidRPr="00064619">
        <w:rPr>
          <w:rFonts w:cs="Taher"/>
          <w:vertAlign w:val="superscript"/>
          <w:rtl/>
        </w:rPr>
        <w:t>)</w:t>
      </w:r>
      <w:r w:rsidRPr="00EA09EB">
        <w:rPr>
          <w:rFonts w:hint="cs"/>
          <w:rtl/>
        </w:rPr>
        <w:t>. وقد أوكل الله تعالى إليهم مهمّة تدبير شؤون العالم.</w:t>
      </w:r>
    </w:p>
    <w:p w:rsidR="00EA09EB" w:rsidRPr="00A32FC0" w:rsidRDefault="00EA09EB" w:rsidP="00EA09EB">
      <w:pPr>
        <w:rPr>
          <w:rtl/>
        </w:rPr>
      </w:pPr>
      <w:r w:rsidRPr="00A32FC0">
        <w:rPr>
          <w:rFonts w:hint="cs"/>
          <w:rtl/>
        </w:rPr>
        <w:t>4</w:t>
      </w:r>
      <w:r w:rsidRPr="00A32FC0">
        <w:rPr>
          <w:rtl/>
        </w:rPr>
        <w:t>ـ</w:t>
      </w:r>
      <w:r w:rsidRPr="00A32FC0">
        <w:rPr>
          <w:rFonts w:hint="cs"/>
          <w:rtl/>
        </w:rPr>
        <w:t xml:space="preserve"> أما الولاية البشرية فهي على قسمين: ولاية عامة؛ وولاية خاصة. وقد استعملت الولاية العامة في آراء العرفاء بمعانٍ ثلاثةٍ على الأقلّ: </w:t>
      </w:r>
    </w:p>
    <w:p w:rsidR="00EA09EB" w:rsidRPr="00EA09EB" w:rsidRDefault="00EA09EB" w:rsidP="00A97582">
      <w:pPr>
        <w:pStyle w:val="Normal84"/>
        <w:rPr>
          <w:rtl/>
        </w:rPr>
      </w:pPr>
      <w:r w:rsidRPr="007A340E">
        <w:rPr>
          <w:rFonts w:hint="cs"/>
          <w:b/>
          <w:bCs/>
          <w:rtl/>
        </w:rPr>
        <w:t>الأول</w:t>
      </w:r>
      <w:r w:rsidRPr="00EA09EB">
        <w:rPr>
          <w:rFonts w:hint="cs"/>
          <w:rtl/>
        </w:rPr>
        <w:t>: الولاية العامة، بمعنى تصدّي بعض الناس للولاية على الآخرين. ومن هذه الحيثية يمكن لبعض الناس تأمين مصالح الآخرين. وهذا تسخير ذو طرفين. فعلى سبيل المثال: الملك مسخَّر لرعاياه، والرعايا مسخَّرون للملك</w:t>
      </w:r>
      <w:r w:rsidRPr="00064619">
        <w:rPr>
          <w:rFonts w:cs="Taher"/>
          <w:sz w:val="32"/>
          <w:vertAlign w:val="superscript"/>
          <w:rtl/>
        </w:rPr>
        <w:t>(</w:t>
      </w:r>
      <w:r w:rsidRPr="00064619">
        <w:rPr>
          <w:rStyle w:val="FootnoteReference"/>
          <w:rFonts w:cs="Taher"/>
          <w:sz w:val="32"/>
          <w:rtl/>
        </w:rPr>
        <w:footnoteReference w:id="32"/>
      </w:r>
      <w:r w:rsidRPr="00064619">
        <w:rPr>
          <w:rFonts w:cs="Taher"/>
          <w:sz w:val="32"/>
          <w:vertAlign w:val="superscript"/>
          <w:rtl/>
        </w:rPr>
        <w:t>)</w:t>
      </w:r>
      <w:r w:rsidRPr="00EA09EB">
        <w:rPr>
          <w:rFonts w:hint="cs"/>
          <w:rtl/>
        </w:rPr>
        <w:t>.</w:t>
      </w:r>
    </w:p>
    <w:p w:rsidR="00EA09EB" w:rsidRPr="00EA09EB" w:rsidRDefault="00EA09EB" w:rsidP="007A340E">
      <w:pPr>
        <w:rPr>
          <w:rtl/>
        </w:rPr>
      </w:pPr>
      <w:r w:rsidRPr="007A340E">
        <w:rPr>
          <w:rFonts w:hint="cs"/>
          <w:b/>
          <w:bCs/>
          <w:rtl/>
        </w:rPr>
        <w:t>الثاني</w:t>
      </w:r>
      <w:r w:rsidRPr="00EA09EB">
        <w:rPr>
          <w:rFonts w:hint="cs"/>
          <w:rtl/>
        </w:rPr>
        <w:t>: الولاية العامة، بمعنى ولاية عموم المؤمنين الصالحين بحسب مراتبهم</w:t>
      </w:r>
      <w:r w:rsidRPr="00064619">
        <w:rPr>
          <w:rFonts w:cs="Taher"/>
          <w:sz w:val="32"/>
          <w:vertAlign w:val="superscript"/>
          <w:rtl/>
        </w:rPr>
        <w:t>(</w:t>
      </w:r>
      <w:r w:rsidRPr="00064619">
        <w:rPr>
          <w:rStyle w:val="FootnoteReference"/>
          <w:rFonts w:cs="Taher"/>
          <w:sz w:val="32"/>
          <w:rtl/>
        </w:rPr>
        <w:footnoteReference w:id="33"/>
      </w:r>
      <w:r w:rsidRPr="00064619">
        <w:rPr>
          <w:rFonts w:cs="Taher"/>
          <w:sz w:val="32"/>
          <w:vertAlign w:val="superscript"/>
          <w:rtl/>
        </w:rPr>
        <w:t>)</w:t>
      </w:r>
      <w:r w:rsidRPr="00EA09EB">
        <w:rPr>
          <w:rFonts w:hint="cs"/>
          <w:rtl/>
        </w:rPr>
        <w:t>: ﴿</w:t>
      </w:r>
      <w:r w:rsidRPr="00064619">
        <w:rPr>
          <w:b/>
          <w:bCs/>
          <w:rtl/>
        </w:rPr>
        <w:t>اللهُ وَلِيُّ الَّذِينَ آمَنُوا يُخْرِجُهُمْ مِنْ الظُّلُمَاتِ إِلَى النُّورِ</w:t>
      </w:r>
      <w:r w:rsidRPr="00EA09EB">
        <w:rPr>
          <w:rFonts w:hint="cs"/>
          <w:rtl/>
        </w:rPr>
        <w:t>﴾، وذلك من جهة أن القرب أمرٌ إضافي ذو طرفين، فعندما يكون الله ولياً للمؤمنين فالمؤمنون هم أيضاً أولياء لله</w:t>
      </w:r>
      <w:r w:rsidRPr="00064619">
        <w:rPr>
          <w:rFonts w:cs="Taher"/>
          <w:sz w:val="32"/>
          <w:vertAlign w:val="superscript"/>
          <w:rtl/>
        </w:rPr>
        <w:t>(</w:t>
      </w:r>
      <w:r w:rsidRPr="00064619">
        <w:rPr>
          <w:rStyle w:val="FootnoteReference"/>
          <w:rFonts w:cs="Taher"/>
          <w:sz w:val="32"/>
          <w:rtl/>
        </w:rPr>
        <w:footnoteReference w:id="34"/>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الثالث</w:t>
      </w:r>
      <w:r w:rsidRPr="00EA09EB">
        <w:rPr>
          <w:rFonts w:hint="cs"/>
          <w:rtl/>
        </w:rPr>
        <w:t>: الولاية العامة، بمعنى الولاية المطلقة</w:t>
      </w:r>
      <w:r w:rsidRPr="00064619">
        <w:rPr>
          <w:rFonts w:cs="Taher"/>
          <w:sz w:val="32"/>
          <w:vertAlign w:val="superscript"/>
          <w:rtl/>
        </w:rPr>
        <w:t>(</w:t>
      </w:r>
      <w:r w:rsidRPr="00064619">
        <w:rPr>
          <w:rStyle w:val="FootnoteReference"/>
          <w:rFonts w:cs="Taher"/>
          <w:sz w:val="32"/>
          <w:rtl/>
        </w:rPr>
        <w:footnoteReference w:id="35"/>
      </w:r>
      <w:r w:rsidRPr="00064619">
        <w:rPr>
          <w:rFonts w:cs="Taher"/>
          <w:sz w:val="32"/>
          <w:vertAlign w:val="superscript"/>
          <w:rtl/>
        </w:rPr>
        <w:t>)</w:t>
      </w:r>
      <w:r w:rsidRPr="00EA09EB">
        <w:rPr>
          <w:rFonts w:hint="cs"/>
          <w:rtl/>
        </w:rPr>
        <w:t>.</w:t>
      </w:r>
    </w:p>
    <w:p w:rsidR="00EA09EB" w:rsidRPr="00A32FC0" w:rsidRDefault="00EA09EB" w:rsidP="00EA09EB">
      <w:pPr>
        <w:rPr>
          <w:rtl/>
        </w:rPr>
      </w:pPr>
      <w:r w:rsidRPr="00A32FC0">
        <w:rPr>
          <w:rFonts w:hint="cs"/>
          <w:rtl/>
        </w:rPr>
        <w:t>إنّ المراد من الولاية العرفانية هو الولاية البشرية الخاصّة. وإذا ذكرت الولاية في العرفان مطلقةً كان المراد منها الولاية البشرية الخاصّة.</w:t>
      </w:r>
    </w:p>
    <w:p w:rsidR="00EA09EB" w:rsidRPr="00A32FC0" w:rsidRDefault="00EA09EB" w:rsidP="00A97582">
      <w:pPr>
        <w:pStyle w:val="Normal84"/>
        <w:rPr>
          <w:rtl/>
        </w:rPr>
      </w:pPr>
      <w:r w:rsidRPr="00EA09EB">
        <w:rPr>
          <w:rFonts w:hint="cs"/>
          <w:rtl/>
        </w:rPr>
        <w:t>5</w:t>
      </w:r>
      <w:r w:rsidRPr="00EA09EB">
        <w:rPr>
          <w:rtl/>
        </w:rPr>
        <w:t>ـ</w:t>
      </w:r>
      <w:r w:rsidRPr="00EA09EB">
        <w:rPr>
          <w:rFonts w:hint="cs"/>
          <w:rtl/>
        </w:rPr>
        <w:t xml:space="preserve"> المراد من الولاية البشريّة الخاصّة هو أن العارف في سلوكه الروحاني بعد أن يقطع سفره الأول (السفر من الخلق إلى الحق) يصل إلى مقام (الفناء في الحق) الرفيع، ما يجعل مظاهره النفسانية تحترق بحبّ الله، وتذوب خصاله البشرية في بحر ربوبيته سبحانه وتعالى، وفناء السالك في الحقّ يوجب تجلّي الله فيه، فيختلف العارف بصفات الله الربوبية ويتّحد معه اتحاد رقيقة وحقيقة، ويكتسب بالتالي المظاهر الربانية، وينال مقام (البقاء بالحقّ)، والصحو بعد المحو. فإذاً الولاية الخاصة هي عبارة عن فناء في الله ذاتاً، وصفةً، وفعلاً، والولي هو الفاني في الله، القائم به، الظاهر بأسمائه وصفاته</w:t>
      </w:r>
      <w:r w:rsidRPr="00064619">
        <w:rPr>
          <w:rFonts w:cs="Taher"/>
          <w:vertAlign w:val="superscript"/>
          <w:rtl/>
        </w:rPr>
        <w:t>(</w:t>
      </w:r>
      <w:r w:rsidRPr="00064619">
        <w:rPr>
          <w:rStyle w:val="FootnoteReference"/>
          <w:rFonts w:cs="Taher"/>
          <w:sz w:val="32"/>
          <w:rtl/>
        </w:rPr>
        <w:footnoteReference w:id="36"/>
      </w:r>
      <w:r w:rsidRPr="00064619">
        <w:rPr>
          <w:rFonts w:cs="Taher"/>
          <w:vertAlign w:val="superscript"/>
          <w:rtl/>
        </w:rPr>
        <w:t>)</w:t>
      </w:r>
      <w:r w:rsidRPr="00A32FC0">
        <w:rPr>
          <w:rFonts w:hint="cs"/>
          <w:rtl/>
        </w:rPr>
        <w:t>.</w:t>
      </w:r>
    </w:p>
    <w:p w:rsidR="00EA09EB" w:rsidRPr="00A32FC0" w:rsidRDefault="00EA09EB" w:rsidP="00EA09EB">
      <w:pPr>
        <w:rPr>
          <w:rtl/>
        </w:rPr>
      </w:pPr>
      <w:r w:rsidRPr="00A32FC0">
        <w:rPr>
          <w:rFonts w:hint="cs"/>
          <w:rtl/>
        </w:rPr>
        <w:t>6</w:t>
      </w:r>
      <w:r w:rsidRPr="00A32FC0">
        <w:rPr>
          <w:rtl/>
        </w:rPr>
        <w:t>ـ</w:t>
      </w:r>
      <w:r w:rsidRPr="00A32FC0">
        <w:rPr>
          <w:rFonts w:hint="cs"/>
          <w:rtl/>
        </w:rPr>
        <w:t xml:space="preserve"> إن الوصول إلى مقام القرب الإلهي ومرتبة الولاية يقتصر على السالكين الذين طهَّروا قلوبهم من الرذائل والأهواء النفسانية، وانقطعوا عن غيره، وتوجَّهوا إليه توجُّهاً كاملاً، وسلَّموا إليه قلوبهم. فصعوبة الفوز بهذا المقام تؤدّي إلى نيل الولاية الخاصّة، أي إنها مختصّة بالسالكين الواصلين والفانين بجمال الحقّ</w:t>
      </w:r>
      <w:r w:rsidRPr="00064619">
        <w:rPr>
          <w:rFonts w:cs="Taher"/>
          <w:vertAlign w:val="superscript"/>
          <w:rtl/>
        </w:rPr>
        <w:t>(</w:t>
      </w:r>
      <w:r w:rsidRPr="00064619">
        <w:rPr>
          <w:rStyle w:val="FootnoteReference"/>
          <w:rFonts w:cs="Taher"/>
          <w:sz w:val="32"/>
          <w:rtl/>
        </w:rPr>
        <w:footnoteReference w:id="37"/>
      </w:r>
      <w:r w:rsidRPr="00064619">
        <w:rPr>
          <w:rFonts w:cs="Taher"/>
          <w:vertAlign w:val="superscript"/>
          <w:rtl/>
        </w:rPr>
        <w:t>)</w:t>
      </w:r>
      <w:r w:rsidRPr="00A32FC0">
        <w:rPr>
          <w:rFonts w:hint="cs"/>
          <w:rtl/>
        </w:rPr>
        <w:t>.</w:t>
      </w:r>
    </w:p>
    <w:p w:rsidR="00EA09EB" w:rsidRPr="00A32FC0" w:rsidRDefault="00EA09EB" w:rsidP="00EA09EB">
      <w:pPr>
        <w:rPr>
          <w:rtl/>
        </w:rPr>
      </w:pPr>
      <w:r w:rsidRPr="00A32FC0">
        <w:rPr>
          <w:rFonts w:hint="cs"/>
          <w:rtl/>
        </w:rPr>
        <w:t>7</w:t>
      </w:r>
      <w:r w:rsidRPr="00A32FC0">
        <w:rPr>
          <w:rtl/>
        </w:rPr>
        <w:t>ـ</w:t>
      </w:r>
      <w:r w:rsidRPr="00A32FC0">
        <w:rPr>
          <w:rFonts w:hint="cs"/>
          <w:rtl/>
        </w:rPr>
        <w:t xml:space="preserve"> بداية الولاية هي نهاية السفر الروحاني الأوّل، والولاية لا نهاية لها. لذلك فإنّ مراتب الأولياء غير متناهية. وعلى هذا الأساس فإنّ الولاية أمر ذو مراتب</w:t>
      </w:r>
      <w:r w:rsidRPr="00064619">
        <w:rPr>
          <w:rFonts w:cs="Taher"/>
          <w:vertAlign w:val="superscript"/>
          <w:rtl/>
        </w:rPr>
        <w:t>(</w:t>
      </w:r>
      <w:r w:rsidRPr="00064619">
        <w:rPr>
          <w:rStyle w:val="FootnoteReference"/>
          <w:rFonts w:cs="Taher"/>
          <w:sz w:val="32"/>
          <w:rtl/>
        </w:rPr>
        <w:footnoteReference w:id="38"/>
      </w:r>
      <w:r w:rsidRPr="00064619">
        <w:rPr>
          <w:rFonts w:cs="Taher"/>
          <w:vertAlign w:val="superscript"/>
          <w:rtl/>
        </w:rPr>
        <w:t>)</w:t>
      </w:r>
      <w:r w:rsidRPr="00A32FC0">
        <w:rPr>
          <w:rFonts w:hint="cs"/>
          <w:rtl/>
        </w:rPr>
        <w:t>.</w:t>
      </w:r>
    </w:p>
    <w:p w:rsidR="00EA09EB" w:rsidRPr="00A32FC0" w:rsidRDefault="00EA09EB" w:rsidP="00A97582">
      <w:pPr>
        <w:rPr>
          <w:rtl/>
        </w:rPr>
      </w:pPr>
      <w:r w:rsidRPr="00A32FC0">
        <w:rPr>
          <w:rFonts w:hint="cs"/>
          <w:rtl/>
        </w:rPr>
        <w:t>8</w:t>
      </w:r>
      <w:r w:rsidRPr="00A32FC0">
        <w:rPr>
          <w:rtl/>
        </w:rPr>
        <w:t>ـ</w:t>
      </w:r>
      <w:r w:rsidRPr="00A32FC0">
        <w:rPr>
          <w:rFonts w:hint="cs"/>
          <w:rtl/>
        </w:rPr>
        <w:t xml:space="preserve"> الولاية المطلقة هي أرقى مراتب الولاية البشرية، وأحد فروع الولاية الإلهية المطلقة. ففي تلك المرتبة يصبح السالك مظهراً لجميع الأسماء والصفات الإلهية، ويحوز جميع أنحاء تجليات ذات الله، ويتحرَّر من جميع الحدود والقيود. وقد يعبَّر عن الولاية الإلهية المطلقة بالولاية الإلهية الملكية، والولاية التامّة، والولاية العامّة، والخلافة الكبرى</w:t>
      </w:r>
      <w:r w:rsidRPr="00064619">
        <w:rPr>
          <w:rFonts w:cs="Taher"/>
          <w:vertAlign w:val="superscript"/>
          <w:rtl/>
        </w:rPr>
        <w:t>(</w:t>
      </w:r>
      <w:r w:rsidRPr="00064619">
        <w:rPr>
          <w:rStyle w:val="FootnoteReference"/>
          <w:rFonts w:cs="Taher"/>
          <w:sz w:val="32"/>
          <w:rtl/>
        </w:rPr>
        <w:footnoteReference w:id="39"/>
      </w:r>
      <w:r w:rsidRPr="00064619">
        <w:rPr>
          <w:rFonts w:cs="Taher"/>
          <w:vertAlign w:val="superscript"/>
          <w:rtl/>
        </w:rPr>
        <w:t>)</w:t>
      </w:r>
      <w:r w:rsidRPr="00A32FC0">
        <w:rPr>
          <w:rFonts w:hint="cs"/>
          <w:rtl/>
        </w:rPr>
        <w:t>.</w:t>
      </w:r>
    </w:p>
    <w:p w:rsidR="00EA09EB" w:rsidRPr="00A32FC0" w:rsidRDefault="00EA09EB" w:rsidP="00A97582">
      <w:pPr>
        <w:pStyle w:val="Normal84"/>
        <w:rPr>
          <w:rtl/>
        </w:rPr>
      </w:pPr>
      <w:r w:rsidRPr="00A32FC0">
        <w:rPr>
          <w:rFonts w:hint="cs"/>
          <w:rtl/>
        </w:rPr>
        <w:t>9</w:t>
      </w:r>
      <w:r w:rsidRPr="00A32FC0">
        <w:rPr>
          <w:rtl/>
        </w:rPr>
        <w:t>ـ</w:t>
      </w:r>
      <w:r w:rsidRPr="00A32FC0">
        <w:rPr>
          <w:rFonts w:hint="cs"/>
          <w:rtl/>
        </w:rPr>
        <w:t xml:space="preserve"> للوصول إلى مقام الولاية ـ وخاصّة الولاية المطلقة ـ لابدّ من الاطّلاع على الكثير من الحقائق اطّلاعاً حضورياً، وإدراكها إدراكاً جهْدياً، فوليُّ الله يطّلع على الغيب بمقدار قربه من الله تعالى، «ففي هذا التجلي يرى بعين المشاهدة من منتهى </w:t>
      </w:r>
      <w:r w:rsidR="00B7256D">
        <w:rPr>
          <w:rFonts w:hint="cs"/>
          <w:rtl/>
        </w:rPr>
        <w:t>نهاية عرش الشهود إلى غاية قصوى غ</w:t>
      </w:r>
      <w:r w:rsidRPr="00A32FC0">
        <w:rPr>
          <w:rFonts w:hint="cs"/>
          <w:rtl/>
        </w:rPr>
        <w:t>يب الوجود تحت أستار تجليّاته الفعليّة»</w:t>
      </w:r>
      <w:r w:rsidRPr="00064619">
        <w:rPr>
          <w:rFonts w:cs="Taher"/>
          <w:vertAlign w:val="superscript"/>
          <w:rtl/>
        </w:rPr>
        <w:t>(</w:t>
      </w:r>
      <w:r w:rsidRPr="00064619">
        <w:rPr>
          <w:rStyle w:val="FootnoteReference"/>
          <w:rFonts w:cs="Taher"/>
          <w:sz w:val="32"/>
          <w:rtl/>
        </w:rPr>
        <w:footnoteReference w:id="40"/>
      </w:r>
      <w:r w:rsidRPr="00064619">
        <w:rPr>
          <w:rFonts w:cs="Taher"/>
          <w:vertAlign w:val="superscript"/>
          <w:rtl/>
        </w:rPr>
        <w:t>)</w:t>
      </w:r>
      <w:r w:rsidRPr="00A32FC0">
        <w:rPr>
          <w:rFonts w:hint="cs"/>
          <w:rtl/>
        </w:rPr>
        <w:t>.</w:t>
      </w:r>
    </w:p>
    <w:p w:rsidR="00EA09EB" w:rsidRPr="00A32FC0" w:rsidRDefault="00EA09EB" w:rsidP="00EA09EB">
      <w:pPr>
        <w:rPr>
          <w:rtl/>
        </w:rPr>
      </w:pPr>
      <w:r w:rsidRPr="00A32FC0">
        <w:rPr>
          <w:rFonts w:hint="cs"/>
          <w:rtl/>
        </w:rPr>
        <w:t>10</w:t>
      </w:r>
      <w:r w:rsidRPr="00A32FC0">
        <w:rPr>
          <w:rtl/>
        </w:rPr>
        <w:t>ـ</w:t>
      </w:r>
      <w:r w:rsidRPr="00A32FC0">
        <w:rPr>
          <w:rFonts w:hint="cs"/>
          <w:rtl/>
        </w:rPr>
        <w:t xml:space="preserve"> الوحي وإنْ كان مقتصراً على خاصّة أولياء الله، إلا أنه يُلْهَم لكلّ وليّ من أوليائه، وبقدْر اقتراب الوليّ من الله تشتدّ إلهاماته وإرشاداته الغيبية</w:t>
      </w:r>
      <w:r w:rsidRPr="00064619">
        <w:rPr>
          <w:rFonts w:cs="Taher"/>
          <w:vertAlign w:val="superscript"/>
          <w:rtl/>
        </w:rPr>
        <w:t>(</w:t>
      </w:r>
      <w:r w:rsidRPr="00064619">
        <w:rPr>
          <w:rStyle w:val="FootnoteReference"/>
          <w:rFonts w:cs="Taher"/>
          <w:sz w:val="32"/>
          <w:rtl/>
        </w:rPr>
        <w:footnoteReference w:id="41"/>
      </w:r>
      <w:r w:rsidRPr="00064619">
        <w:rPr>
          <w:rFonts w:cs="Taher"/>
          <w:vertAlign w:val="superscript"/>
          <w:rtl/>
        </w:rPr>
        <w:t>)</w:t>
      </w:r>
      <w:r w:rsidRPr="00A32FC0">
        <w:rPr>
          <w:rFonts w:hint="cs"/>
          <w:rtl/>
        </w:rPr>
        <w:t>.</w:t>
      </w:r>
    </w:p>
    <w:p w:rsidR="00EA09EB" w:rsidRPr="00A32FC0" w:rsidRDefault="00EA09EB" w:rsidP="00B7256D">
      <w:pPr>
        <w:rPr>
          <w:rtl/>
        </w:rPr>
      </w:pPr>
      <w:r w:rsidRPr="00A32FC0">
        <w:rPr>
          <w:rFonts w:hint="cs"/>
          <w:rtl/>
        </w:rPr>
        <w:t>11</w:t>
      </w:r>
      <w:r w:rsidRPr="00A32FC0">
        <w:rPr>
          <w:rtl/>
        </w:rPr>
        <w:t>ـ</w:t>
      </w:r>
      <w:r w:rsidRPr="00A32FC0">
        <w:rPr>
          <w:rFonts w:hint="cs"/>
          <w:rtl/>
        </w:rPr>
        <w:t xml:space="preserve"> </w:t>
      </w:r>
      <w:r w:rsidR="00B7256D">
        <w:rPr>
          <w:rFonts w:hint="cs"/>
          <w:rtl/>
        </w:rPr>
        <w:t xml:space="preserve">تعتبر الكرامة </w:t>
      </w:r>
      <w:r w:rsidRPr="00A32FC0">
        <w:rPr>
          <w:rFonts w:hint="cs"/>
          <w:rtl/>
        </w:rPr>
        <w:t>من الآثار التي لا تنفك عن الولاية</w:t>
      </w:r>
      <w:r w:rsidR="00B7256D">
        <w:rPr>
          <w:rFonts w:hint="cs"/>
          <w:rtl/>
        </w:rPr>
        <w:t>.</w:t>
      </w:r>
      <w:r w:rsidRPr="00A32FC0">
        <w:rPr>
          <w:rFonts w:hint="cs"/>
          <w:rtl/>
        </w:rPr>
        <w:t xml:space="preserve"> وهي تُعَدُّ أمراً خارقاً للعادة، فإنّ الله يعطي الوليّ الذي يتقرَّب منه القدرة على التصرُّف التكويني في العالم وفي العباد. وحدودُ التصرف متعلِّقةٌ بدرجة قرب الوليّ من الله</w:t>
      </w:r>
      <w:r w:rsidRPr="00064619">
        <w:rPr>
          <w:rFonts w:cs="Taher"/>
          <w:vertAlign w:val="superscript"/>
          <w:rtl/>
        </w:rPr>
        <w:t>(</w:t>
      </w:r>
      <w:r w:rsidRPr="00064619">
        <w:rPr>
          <w:rStyle w:val="FootnoteReference"/>
          <w:rFonts w:cs="Taher"/>
          <w:sz w:val="32"/>
          <w:rtl/>
        </w:rPr>
        <w:footnoteReference w:id="42"/>
      </w:r>
      <w:r w:rsidRPr="00064619">
        <w:rPr>
          <w:rFonts w:cs="Taher"/>
          <w:vertAlign w:val="superscript"/>
          <w:rtl/>
        </w:rPr>
        <w:t>)</w:t>
      </w:r>
      <w:r w:rsidRPr="00A32FC0">
        <w:rPr>
          <w:rFonts w:hint="cs"/>
          <w:rtl/>
        </w:rPr>
        <w:t>.</w:t>
      </w:r>
    </w:p>
    <w:p w:rsidR="00EA09EB" w:rsidRPr="00A32FC0" w:rsidRDefault="00EA09EB" w:rsidP="00A97582">
      <w:pPr>
        <w:pStyle w:val="Normal87"/>
        <w:rPr>
          <w:rtl/>
        </w:rPr>
      </w:pPr>
      <w:r w:rsidRPr="00A32FC0">
        <w:rPr>
          <w:rFonts w:hint="cs"/>
          <w:rtl/>
        </w:rPr>
        <w:t>12</w:t>
      </w:r>
      <w:r w:rsidRPr="00A32FC0">
        <w:rPr>
          <w:rtl/>
        </w:rPr>
        <w:t>ـ</w:t>
      </w:r>
      <w:r w:rsidRPr="00A32FC0">
        <w:rPr>
          <w:rFonts w:hint="cs"/>
          <w:rtl/>
        </w:rPr>
        <w:t xml:space="preserve"> قبل أن يتصف السالك بمقام الولاية يكون هو مبدأ أفعاله وصفاته، ولكن بعد أن يتَّصف بمقام الولاية فإن الله سوف يصبح مبدأً لأفعاله وصفاته؛ وذلك لأن جميع أبعاده البشرية قد استغرقت في مقام القرب والفناء في ذات الله</w:t>
      </w:r>
      <w:r w:rsidRPr="00064619">
        <w:rPr>
          <w:rFonts w:cs="Taher"/>
          <w:vertAlign w:val="superscript"/>
          <w:rtl/>
        </w:rPr>
        <w:t>(</w:t>
      </w:r>
      <w:r w:rsidRPr="00064619">
        <w:rPr>
          <w:rStyle w:val="FootnoteReference"/>
          <w:rFonts w:cs="Taher"/>
          <w:sz w:val="32"/>
          <w:rtl/>
        </w:rPr>
        <w:footnoteReference w:id="43"/>
      </w:r>
      <w:r w:rsidRPr="00064619">
        <w:rPr>
          <w:rFonts w:cs="Taher"/>
          <w:vertAlign w:val="superscript"/>
          <w:rtl/>
        </w:rPr>
        <w:t>)</w:t>
      </w:r>
      <w:r w:rsidRPr="00EA09EB">
        <w:rPr>
          <w:rFonts w:hint="cs"/>
          <w:rtl/>
        </w:rPr>
        <w:t>. ومن هنا (يصير الله سمعه وبصره ويده، كما في الحديث. وهذا حقيقة قرب النوافل. ويصير العبد مخلعاً بخلعة الولاية، فيكون حقّاً في صورة الخلق...). ويلازم الوصول إلى مقام قرب النوافل تجلّي الله في صورة الإنسان، أي الوجود التنزُّلي لله على الأرض</w:t>
      </w:r>
      <w:r w:rsidRPr="00064619">
        <w:rPr>
          <w:rFonts w:cs="Taher"/>
          <w:vertAlign w:val="superscript"/>
          <w:rtl/>
        </w:rPr>
        <w:t>(</w:t>
      </w:r>
      <w:r w:rsidRPr="00064619">
        <w:rPr>
          <w:rStyle w:val="FootnoteReference"/>
          <w:rFonts w:cs="Taher"/>
          <w:sz w:val="32"/>
          <w:rtl/>
        </w:rPr>
        <w:footnoteReference w:id="44"/>
      </w:r>
      <w:r w:rsidRPr="00064619">
        <w:rPr>
          <w:rFonts w:cs="Taher"/>
          <w:vertAlign w:val="superscript"/>
          <w:rtl/>
        </w:rPr>
        <w:t>)</w:t>
      </w:r>
      <w:r w:rsidRPr="00EA09EB">
        <w:rPr>
          <w:rFonts w:hint="cs"/>
          <w:rtl/>
        </w:rPr>
        <w:t xml:space="preserve">. وهذا أحد معاني (السلطان </w:t>
      </w:r>
      <w:r w:rsidRPr="00A97582">
        <w:rPr>
          <w:rFonts w:hint="cs"/>
          <w:rtl/>
        </w:rPr>
        <w:t>ظلّ الله)</w:t>
      </w:r>
      <w:r w:rsidRPr="00A97582">
        <w:rPr>
          <w:rFonts w:cs="Taher"/>
          <w:vertAlign w:val="superscript"/>
          <w:rtl/>
        </w:rPr>
        <w:t>(</w:t>
      </w:r>
      <w:r w:rsidRPr="00A97582">
        <w:rPr>
          <w:rStyle w:val="FootnoteReference"/>
          <w:rFonts w:cs="Taher"/>
          <w:sz w:val="32"/>
          <w:rtl/>
        </w:rPr>
        <w:footnoteReference w:id="45"/>
      </w:r>
      <w:r w:rsidRPr="00A97582">
        <w:rPr>
          <w:rFonts w:cs="Taher"/>
          <w:vertAlign w:val="superscript"/>
          <w:rtl/>
        </w:rPr>
        <w:t>)</w:t>
      </w:r>
      <w:r w:rsidRPr="00A97582">
        <w:rPr>
          <w:rFonts w:hint="cs"/>
          <w:rtl/>
        </w:rPr>
        <w:t>.</w:t>
      </w:r>
    </w:p>
    <w:p w:rsidR="00EA09EB" w:rsidRPr="00A32FC0" w:rsidRDefault="00EA09EB" w:rsidP="00EA09EB">
      <w:pPr>
        <w:rPr>
          <w:rtl/>
        </w:rPr>
      </w:pPr>
      <w:r w:rsidRPr="00A32FC0">
        <w:rPr>
          <w:rFonts w:hint="cs"/>
          <w:rtl/>
        </w:rPr>
        <w:t>13</w:t>
      </w:r>
      <w:r w:rsidRPr="00A32FC0">
        <w:rPr>
          <w:rtl/>
        </w:rPr>
        <w:t>ـ</w:t>
      </w:r>
      <w:r w:rsidRPr="00A32FC0">
        <w:rPr>
          <w:rFonts w:hint="cs"/>
          <w:rtl/>
        </w:rPr>
        <w:t xml:space="preserve"> الولاية لا تزول، ولا تنقطع. وبعبارة أخرى: الولاية دائمة، ودوامها لا يختصّ بعالم الدنيا، بل إنّها تستمر أيضاً في عالم الآخرة</w:t>
      </w:r>
      <w:r w:rsidRPr="00064619">
        <w:rPr>
          <w:rFonts w:cs="Taher"/>
          <w:vertAlign w:val="superscript"/>
          <w:rtl/>
        </w:rPr>
        <w:t>(</w:t>
      </w:r>
      <w:r w:rsidRPr="00064619">
        <w:rPr>
          <w:rStyle w:val="FootnoteReference"/>
          <w:rFonts w:cs="Taher"/>
          <w:sz w:val="32"/>
          <w:rtl/>
        </w:rPr>
        <w:footnoteReference w:id="46"/>
      </w:r>
      <w:r w:rsidRPr="00064619">
        <w:rPr>
          <w:rFonts w:cs="Taher"/>
          <w:vertAlign w:val="superscript"/>
          <w:rtl/>
        </w:rPr>
        <w:t>)</w:t>
      </w:r>
      <w:r w:rsidRPr="00A32FC0">
        <w:rPr>
          <w:rFonts w:hint="cs"/>
          <w:rtl/>
        </w:rPr>
        <w:t>.</w:t>
      </w:r>
    </w:p>
    <w:p w:rsidR="00EA09EB" w:rsidRPr="00A32FC0" w:rsidRDefault="00EA09EB" w:rsidP="00EA09EB">
      <w:pPr>
        <w:rPr>
          <w:rtl/>
        </w:rPr>
      </w:pPr>
      <w:r w:rsidRPr="00A32FC0">
        <w:rPr>
          <w:rFonts w:hint="cs"/>
          <w:rtl/>
        </w:rPr>
        <w:t>14</w:t>
      </w:r>
      <w:r w:rsidRPr="00A32FC0">
        <w:rPr>
          <w:rtl/>
        </w:rPr>
        <w:t>ـ</w:t>
      </w:r>
      <w:r w:rsidRPr="00A32FC0">
        <w:rPr>
          <w:rFonts w:hint="cs"/>
          <w:rtl/>
        </w:rPr>
        <w:t xml:space="preserve"> الولاية باطن النبوة. والنبوة ظاهر الولاية. والولاية أرقى من النبوّة والرسالة، بمعنى أن الولاية إذا تمثَّلت في شخصٍ فإنّ ولايته سوف تكون أتمّ وأكمل من النبوة التشريعية والرسالة. ولذلك نرى أنّ النبي إبراهيم</w:t>
      </w:r>
      <w:r>
        <w:rPr>
          <w:rFonts w:hint="cs"/>
          <w:rtl/>
        </w:rPr>
        <w:t>×</w:t>
      </w:r>
      <w:r w:rsidRPr="00A32FC0">
        <w:rPr>
          <w:rFonts w:hint="cs"/>
          <w:rtl/>
        </w:rPr>
        <w:t xml:space="preserve"> قد وصل إلى مرتبة الولاية بعد إحرازه مرتبة النبوّة والرسالة. ثم إنّ الولاية مستمرّةٌ فيما النبوة والرسالة قد انقطعتا. كما أن تفاضل الأنبياء بعضهم على بعض ناشئٌ من درجة الولاية؛ فربما يكون الولي في عصرٍ ما أفضل من أنبياء العصور الأخرى، وأما الأوصياء والأولياء التابعون لنبيٍّ ما فإنّهم في أمر الولاية يشتركون مع وليِّهم المتبوع بدرجة طولية</w:t>
      </w:r>
      <w:r w:rsidRPr="00064619">
        <w:rPr>
          <w:rFonts w:cs="Taher"/>
          <w:vertAlign w:val="superscript"/>
          <w:rtl/>
        </w:rPr>
        <w:t>(</w:t>
      </w:r>
      <w:r w:rsidRPr="00064619">
        <w:rPr>
          <w:rStyle w:val="FootnoteReference"/>
          <w:rFonts w:cs="Taher"/>
          <w:sz w:val="32"/>
          <w:rtl/>
        </w:rPr>
        <w:footnoteReference w:id="47"/>
      </w:r>
      <w:r w:rsidRPr="00064619">
        <w:rPr>
          <w:rFonts w:cs="Taher"/>
          <w:vertAlign w:val="superscript"/>
          <w:rtl/>
        </w:rPr>
        <w:t>)</w:t>
      </w:r>
      <w:r w:rsidRPr="00A32FC0">
        <w:rPr>
          <w:rFonts w:hint="cs"/>
          <w:rtl/>
        </w:rPr>
        <w:t>.</w:t>
      </w:r>
    </w:p>
    <w:p w:rsidR="00EA09EB" w:rsidRPr="00A32FC0" w:rsidRDefault="00EA09EB" w:rsidP="00EA09EB">
      <w:pPr>
        <w:rPr>
          <w:rtl/>
        </w:rPr>
      </w:pPr>
      <w:r w:rsidRPr="00A32FC0">
        <w:rPr>
          <w:rFonts w:hint="cs"/>
          <w:rtl/>
        </w:rPr>
        <w:t>15</w:t>
      </w:r>
      <w:r w:rsidRPr="00A32FC0">
        <w:rPr>
          <w:rtl/>
        </w:rPr>
        <w:t>ـ</w:t>
      </w:r>
      <w:r w:rsidRPr="00A32FC0">
        <w:rPr>
          <w:rFonts w:hint="cs"/>
          <w:rtl/>
        </w:rPr>
        <w:t xml:space="preserve"> مع أن العصمة ليست شرطاً في إحراز مقام الولاية، إلاّ أنّ العرفاء متَّفقون على أن المعصومين يلامسون مرتبة الولاية. والعرفاء المسلمون يعتبرون أن الولاية المحمدية هي مظهر اسم الله الأعظم، ويرون أن النبي محمد</w:t>
      </w:r>
      <w:r w:rsidRPr="00A32FC0">
        <w:rPr>
          <w:rFonts w:hint="cs"/>
          <w:rtl/>
        </w:rPr>
        <w:sym w:font="Roumouz" w:char="F02D"/>
      </w:r>
      <w:r w:rsidRPr="00A32FC0">
        <w:rPr>
          <w:rFonts w:hint="cs"/>
          <w:rtl/>
        </w:rPr>
        <w:t xml:space="preserve"> هو الوليّ المطلق. وفي بعض الأحيان يعبَّر عن الولاية المحمدية بالولاية الخاصّة والمقيَّدة، ويسمّون ولاية السالكين الآخرين الولاية العامّة. أما العرفاء الشيعة فإنهم يعتقدون أن ولاية الأئمة المعصومين هي من سنخ الولاية المحمّدية</w:t>
      </w:r>
      <w:r w:rsidRPr="00064619">
        <w:rPr>
          <w:rFonts w:cs="Taher"/>
          <w:vertAlign w:val="superscript"/>
          <w:rtl/>
        </w:rPr>
        <w:t>(</w:t>
      </w:r>
      <w:r w:rsidRPr="00064619">
        <w:rPr>
          <w:rStyle w:val="FootnoteReference"/>
          <w:rFonts w:cs="Taher"/>
          <w:sz w:val="32"/>
          <w:rtl/>
        </w:rPr>
        <w:footnoteReference w:id="48"/>
      </w:r>
      <w:r w:rsidRPr="00064619">
        <w:rPr>
          <w:rFonts w:cs="Taher"/>
          <w:vertAlign w:val="superscript"/>
          <w:rtl/>
        </w:rPr>
        <w:t>)</w:t>
      </w:r>
      <w:r w:rsidRPr="00A32FC0">
        <w:rPr>
          <w:rFonts w:hint="cs"/>
          <w:rtl/>
        </w:rPr>
        <w:t>.</w:t>
      </w:r>
    </w:p>
    <w:p w:rsidR="00EA09EB" w:rsidRPr="00A32FC0" w:rsidRDefault="00EA09EB" w:rsidP="00EA09EB">
      <w:pPr>
        <w:rPr>
          <w:rtl/>
        </w:rPr>
      </w:pPr>
      <w:r w:rsidRPr="00A32FC0">
        <w:rPr>
          <w:rFonts w:hint="cs"/>
          <w:rtl/>
        </w:rPr>
        <w:t>16</w:t>
      </w:r>
      <w:r w:rsidRPr="00A32FC0">
        <w:rPr>
          <w:rtl/>
        </w:rPr>
        <w:t>ـ</w:t>
      </w:r>
      <w:r w:rsidRPr="00A32FC0">
        <w:rPr>
          <w:rFonts w:hint="cs"/>
          <w:rtl/>
        </w:rPr>
        <w:t xml:space="preserve"> ليس المراد من ختم الولاية الختم الزمني، وإنّما شدّة القرب إلى الله، فليس المراد من خاتم الأولياء هو الوليّ الذي ليس بعده وليّ، بل الشخص الذي أحاط بجميع الولايات والنبوات؛ فخاتم الأولياء هو أقرب السالكين إلى الله تعالى، وقد عُبِّر عن هذه الولاية أيضاً بالولاية الخاصّة، ويعتقد عرفاء الشيعة أن الإمام المهديّ</w:t>
      </w:r>
      <w:r w:rsidRPr="00A32FC0">
        <w:rPr>
          <w:rFonts w:hint="cs"/>
          <w:rtl/>
        </w:rPr>
        <w:sym w:font="Abz Roumouz" w:char="F02E"/>
      </w:r>
      <w:r w:rsidRPr="00A32FC0">
        <w:rPr>
          <w:rFonts w:hint="cs"/>
          <w:rtl/>
        </w:rPr>
        <w:t xml:space="preserve"> هو خاتم الأولياء</w:t>
      </w:r>
      <w:r w:rsidRPr="00064619">
        <w:rPr>
          <w:rFonts w:cs="Taher"/>
          <w:vertAlign w:val="superscript"/>
          <w:rtl/>
        </w:rPr>
        <w:t>(</w:t>
      </w:r>
      <w:r w:rsidRPr="00064619">
        <w:rPr>
          <w:rStyle w:val="FootnoteReference"/>
          <w:rFonts w:cs="Taher"/>
          <w:sz w:val="32"/>
          <w:rtl/>
        </w:rPr>
        <w:footnoteReference w:id="49"/>
      </w:r>
      <w:r w:rsidRPr="00064619">
        <w:rPr>
          <w:rFonts w:cs="Taher"/>
          <w:vertAlign w:val="superscript"/>
          <w:rtl/>
        </w:rPr>
        <w:t>)</w:t>
      </w:r>
      <w:r w:rsidRPr="00A32FC0">
        <w:rPr>
          <w:rFonts w:hint="cs"/>
          <w:rtl/>
        </w:rPr>
        <w:t>.</w:t>
      </w:r>
    </w:p>
    <w:p w:rsidR="00EA09EB" w:rsidRPr="00A32FC0" w:rsidRDefault="00EA09EB" w:rsidP="00635BE2">
      <w:pPr>
        <w:pStyle w:val="Normal93"/>
        <w:rPr>
          <w:rtl/>
        </w:rPr>
      </w:pPr>
      <w:r w:rsidRPr="00A32FC0">
        <w:rPr>
          <w:rFonts w:hint="cs"/>
          <w:rtl/>
        </w:rPr>
        <w:t>17</w:t>
      </w:r>
      <w:r w:rsidRPr="00A32FC0">
        <w:rPr>
          <w:rtl/>
        </w:rPr>
        <w:t>ـ</w:t>
      </w:r>
      <w:r w:rsidRPr="00A32FC0">
        <w:rPr>
          <w:rFonts w:hint="cs"/>
          <w:rtl/>
        </w:rPr>
        <w:t xml:space="preserve"> إنّ علماء الظاهر يرثون علمهم عن النبيّ</w:t>
      </w:r>
      <w:r w:rsidRPr="00A32FC0">
        <w:rPr>
          <w:rFonts w:hint="cs"/>
          <w:rtl/>
        </w:rPr>
        <w:sym w:font="Roumouz" w:char="F02D"/>
      </w:r>
      <w:r w:rsidRPr="00A32FC0">
        <w:rPr>
          <w:rFonts w:hint="cs"/>
          <w:rtl/>
        </w:rPr>
        <w:t xml:space="preserve">: «العلماء ورثة الأنبياء»، والنبي هو الواسطة بينهم وبين الله، أما الأولياء والعرفاء والسالكون فإنهم يتلقّون علمهم من الله من دون </w:t>
      </w:r>
      <w:r>
        <w:rPr>
          <w:rFonts w:hint="cs"/>
          <w:rtl/>
        </w:rPr>
        <w:t>أيّ</w:t>
      </w:r>
      <w:r w:rsidRPr="00A32FC0">
        <w:rPr>
          <w:rFonts w:hint="cs"/>
          <w:rtl/>
        </w:rPr>
        <w:t xml:space="preserve"> واسطة</w:t>
      </w:r>
      <w:r w:rsidRPr="00064619">
        <w:rPr>
          <w:rFonts w:cs="Taher"/>
          <w:vertAlign w:val="superscript"/>
          <w:rtl/>
        </w:rPr>
        <w:t>(</w:t>
      </w:r>
      <w:r w:rsidRPr="00064619">
        <w:rPr>
          <w:rStyle w:val="FootnoteReference"/>
          <w:rFonts w:cs="Taher"/>
          <w:sz w:val="32"/>
          <w:rtl/>
        </w:rPr>
        <w:footnoteReference w:id="50"/>
      </w:r>
      <w:r w:rsidRPr="00064619">
        <w:rPr>
          <w:rFonts w:cs="Taher"/>
          <w:vertAlign w:val="superscript"/>
          <w:rtl/>
        </w:rPr>
        <w:t>)</w:t>
      </w:r>
      <w:r w:rsidRPr="00A32FC0">
        <w:rPr>
          <w:rFonts w:hint="cs"/>
          <w:rtl/>
        </w:rPr>
        <w:t>.</w:t>
      </w:r>
    </w:p>
    <w:p w:rsidR="00EA09EB" w:rsidRPr="00A32FC0" w:rsidRDefault="00EA09EB" w:rsidP="00635BE2">
      <w:pPr>
        <w:pStyle w:val="Normal93"/>
        <w:rPr>
          <w:rtl/>
        </w:rPr>
      </w:pPr>
      <w:r w:rsidRPr="00A32FC0">
        <w:rPr>
          <w:rFonts w:hint="cs"/>
          <w:rtl/>
        </w:rPr>
        <w:t>18</w:t>
      </w:r>
      <w:r w:rsidRPr="00A32FC0">
        <w:rPr>
          <w:rtl/>
        </w:rPr>
        <w:t>ـ</w:t>
      </w:r>
      <w:r w:rsidRPr="00A32FC0">
        <w:rPr>
          <w:rFonts w:hint="cs"/>
          <w:rtl/>
        </w:rPr>
        <w:t xml:space="preserve"> لن تخلو الأرض من وجود صاحب الولاية المطلقة. ومن الممكن أن يكون صاحب الولاية ظاهراً، كما يمكن أن يكون متخفِّياً وغائباً عن العيون</w:t>
      </w:r>
      <w:r w:rsidRPr="00064619">
        <w:rPr>
          <w:rFonts w:cs="Taher"/>
          <w:vertAlign w:val="superscript"/>
          <w:rtl/>
        </w:rPr>
        <w:t>(</w:t>
      </w:r>
      <w:r w:rsidRPr="00064619">
        <w:rPr>
          <w:rStyle w:val="FootnoteReference"/>
          <w:rFonts w:cs="Taher"/>
          <w:sz w:val="32"/>
          <w:rtl/>
        </w:rPr>
        <w:footnoteReference w:id="51"/>
      </w:r>
      <w:r w:rsidRPr="00064619">
        <w:rPr>
          <w:rFonts w:cs="Taher"/>
          <w:vertAlign w:val="superscript"/>
          <w:rtl/>
        </w:rPr>
        <w:t>)</w:t>
      </w:r>
      <w:r w:rsidRPr="00A32FC0">
        <w:rPr>
          <w:rFonts w:hint="cs"/>
          <w:rtl/>
        </w:rPr>
        <w:t>.</w:t>
      </w:r>
    </w:p>
    <w:p w:rsidR="00EA09EB" w:rsidRPr="00EA09EB" w:rsidRDefault="00EA09EB" w:rsidP="00635BE2">
      <w:pPr>
        <w:pStyle w:val="Normal93"/>
        <w:rPr>
          <w:rtl/>
        </w:rPr>
      </w:pPr>
      <w:r w:rsidRPr="00A32FC0">
        <w:rPr>
          <w:rFonts w:hint="cs"/>
          <w:rtl/>
        </w:rPr>
        <w:t>19</w:t>
      </w:r>
      <w:r w:rsidRPr="00A32FC0">
        <w:rPr>
          <w:rtl/>
        </w:rPr>
        <w:t>ـ</w:t>
      </w:r>
      <w:r w:rsidRPr="00A32FC0">
        <w:rPr>
          <w:rFonts w:hint="cs"/>
          <w:rtl/>
        </w:rPr>
        <w:t xml:space="preserve"> مع أن الطابع الغالب عند العرفاء هو عدم الاهتمام بالدنيا وشؤونها، واشتغالهم بتهذيب النفس والانزواء والاستغراق في جمال الله تعالى</w:t>
      </w:r>
      <w:r w:rsidRPr="00064619">
        <w:rPr>
          <w:rFonts w:cs="Taher"/>
          <w:vertAlign w:val="superscript"/>
          <w:rtl/>
        </w:rPr>
        <w:t>(</w:t>
      </w:r>
      <w:r w:rsidRPr="00064619">
        <w:rPr>
          <w:rStyle w:val="FootnoteReference"/>
          <w:rFonts w:cs="Taher"/>
          <w:sz w:val="32"/>
          <w:rtl/>
        </w:rPr>
        <w:footnoteReference w:id="52"/>
      </w:r>
      <w:r w:rsidRPr="00064619">
        <w:rPr>
          <w:rFonts w:cs="Taher"/>
          <w:vertAlign w:val="superscript"/>
          <w:rtl/>
        </w:rPr>
        <w:t>)</w:t>
      </w:r>
      <w:r w:rsidRPr="00EA09EB">
        <w:rPr>
          <w:rFonts w:hint="cs"/>
          <w:rtl/>
        </w:rPr>
        <w:t xml:space="preserve">، إلاّ أنّ بعضهم مع اهتمامهم بالسلوك الروحي وولاء التصرّف لم يغفل عن تدبير شؤون الناس الدنيوية، وفي خضم انشغاله </w:t>
      </w:r>
      <w:r w:rsidR="00E10F75">
        <w:rPr>
          <w:rFonts w:hint="cs"/>
          <w:rtl/>
        </w:rPr>
        <w:t>باللاهوت</w:t>
      </w:r>
      <w:r w:rsidRPr="00EA09EB">
        <w:rPr>
          <w:rFonts w:hint="cs"/>
          <w:rtl/>
        </w:rPr>
        <w:t xml:space="preserve"> لم يكن غافلاً عن </w:t>
      </w:r>
      <w:r w:rsidR="00E10F75">
        <w:rPr>
          <w:rFonts w:hint="cs"/>
          <w:rtl/>
        </w:rPr>
        <w:t xml:space="preserve">تدبير </w:t>
      </w:r>
      <w:r w:rsidRPr="00EA09EB">
        <w:rPr>
          <w:rFonts w:hint="cs"/>
          <w:rtl/>
        </w:rPr>
        <w:t>عالم الناس</w:t>
      </w:r>
      <w:r w:rsidR="00E10F75">
        <w:rPr>
          <w:rFonts w:hint="cs"/>
          <w:rtl/>
        </w:rPr>
        <w:t>وت</w:t>
      </w:r>
      <w:r w:rsidRPr="00EA09EB">
        <w:rPr>
          <w:rFonts w:hint="cs"/>
          <w:rtl/>
        </w:rPr>
        <w:t>. وبناءً على ذلك:</w:t>
      </w:r>
    </w:p>
    <w:p w:rsidR="00EA09EB" w:rsidRPr="00EA09EB" w:rsidRDefault="00EA09EB" w:rsidP="00635BE2">
      <w:pPr>
        <w:pStyle w:val="Normal93"/>
        <w:rPr>
          <w:rtl/>
        </w:rPr>
      </w:pPr>
      <w:r w:rsidRPr="007A340E">
        <w:rPr>
          <w:rFonts w:hint="cs"/>
          <w:b/>
          <w:bCs/>
          <w:rtl/>
        </w:rPr>
        <w:t>أولاً</w:t>
      </w:r>
      <w:r w:rsidRPr="00EA09EB">
        <w:rPr>
          <w:rFonts w:hint="cs"/>
          <w:rtl/>
        </w:rPr>
        <w:t>: إن التصدّي لأمور السياسة في كلّ عصر جدير بمقام الوليّ، فعندما تكون إدارة الشؤون السياسية بيد الأولياء والعرفاء والصوفيّين يكون الزمان نورانيّاً، وإذا خلا الزمان عن التدبير الإلهيّ أصبحت الظلمةُ غالبةً. ومن وجهة نظر العرفاء فإنّ الفلاسفة والباحثين والفقهاء وغيرهم من علماء الظاهر ليسوا أهلاً لتدبير شؤون المجتمع</w:t>
      </w:r>
      <w:r w:rsidRPr="00064619">
        <w:rPr>
          <w:rFonts w:cs="Taher"/>
          <w:sz w:val="32"/>
          <w:vertAlign w:val="superscript"/>
          <w:rtl/>
        </w:rPr>
        <w:t>(</w:t>
      </w:r>
      <w:r w:rsidRPr="00064619">
        <w:rPr>
          <w:rStyle w:val="FootnoteReference"/>
          <w:rFonts w:cs="Taher"/>
          <w:sz w:val="32"/>
          <w:rtl/>
        </w:rPr>
        <w:footnoteReference w:id="53"/>
      </w:r>
      <w:r w:rsidRPr="00064619">
        <w:rPr>
          <w:rFonts w:cs="Taher"/>
          <w:sz w:val="32"/>
          <w:vertAlign w:val="superscript"/>
          <w:rtl/>
        </w:rPr>
        <w:t>)</w:t>
      </w:r>
      <w:r w:rsidRPr="00EA09EB">
        <w:rPr>
          <w:rFonts w:hint="cs"/>
          <w:rtl/>
        </w:rPr>
        <w:t>.</w:t>
      </w:r>
    </w:p>
    <w:p w:rsidR="00EA09EB" w:rsidRPr="00A32FC0" w:rsidRDefault="00EA09EB" w:rsidP="00635BE2">
      <w:pPr>
        <w:pStyle w:val="Normal93"/>
        <w:rPr>
          <w:rtl/>
        </w:rPr>
      </w:pPr>
      <w:r w:rsidRPr="00A32FC0">
        <w:rPr>
          <w:rFonts w:hint="cs"/>
          <w:b/>
          <w:bCs/>
          <w:rtl/>
        </w:rPr>
        <w:t>ثانياً</w:t>
      </w:r>
      <w:r w:rsidRPr="00EA09EB">
        <w:rPr>
          <w:rFonts w:hint="cs"/>
          <w:rtl/>
        </w:rPr>
        <w:t>: إذا كانت الظروف الخارجية مؤاتية ومساعدة فإنّ العرفاء سوف يقومون بتولّي شؤون أهل هذا العالم، ويصبح الوليّ مدبِّراً لشؤون الدولة والناس، بالإضافة إلى ولايته التكوينيّة الباطنيّة الروحيّة</w:t>
      </w:r>
      <w:r w:rsidRPr="00064619">
        <w:rPr>
          <w:rFonts w:cs="Taher"/>
          <w:vertAlign w:val="superscript"/>
          <w:rtl/>
        </w:rPr>
        <w:t>(</w:t>
      </w:r>
      <w:r w:rsidRPr="00064619">
        <w:rPr>
          <w:rStyle w:val="FootnoteReference"/>
          <w:rFonts w:cs="Taher"/>
          <w:sz w:val="32"/>
          <w:rtl/>
        </w:rPr>
        <w:footnoteReference w:id="54"/>
      </w:r>
      <w:r w:rsidRPr="00064619">
        <w:rPr>
          <w:rFonts w:cs="Taher"/>
          <w:vertAlign w:val="superscript"/>
          <w:rtl/>
        </w:rPr>
        <w:t>)</w:t>
      </w:r>
      <w:r w:rsidRPr="00A32FC0">
        <w:rPr>
          <w:rFonts w:hint="cs"/>
          <w:rtl/>
        </w:rPr>
        <w:t>.</w:t>
      </w:r>
    </w:p>
    <w:p w:rsidR="00EA09EB" w:rsidRPr="00EA09EB" w:rsidRDefault="00EA09EB" w:rsidP="00635BE2">
      <w:pPr>
        <w:pStyle w:val="Normal93"/>
        <w:rPr>
          <w:rtl/>
        </w:rPr>
      </w:pPr>
      <w:r w:rsidRPr="00A32FC0">
        <w:rPr>
          <w:rFonts w:hint="cs"/>
          <w:rtl/>
        </w:rPr>
        <w:t>20</w:t>
      </w:r>
      <w:r w:rsidRPr="00A32FC0">
        <w:rPr>
          <w:rtl/>
        </w:rPr>
        <w:t>ـ</w:t>
      </w:r>
      <w:r w:rsidRPr="00A32FC0">
        <w:rPr>
          <w:rFonts w:hint="cs"/>
          <w:rtl/>
        </w:rPr>
        <w:t xml:space="preserve"> إنّ الخلافة الكبرى والولاية الإلهية لا تُعيّنا من قِبَل الأمّة؛ وذلك لعدم قدرة الأمّة وعجزها عن إدراك المقام العلميّ والروحيّ الواقعيّ لأولياء الله. كما أن الرسول غير مفوّض بتعيين هذا المقام الرفيع؛ لأنّ أحكام الأسماء الإلهيّة أرفع من مستوى البشر</w:t>
      </w:r>
      <w:r w:rsidRPr="00064619">
        <w:rPr>
          <w:rFonts w:cs="Taher"/>
          <w:vertAlign w:val="superscript"/>
          <w:rtl/>
        </w:rPr>
        <w:t>(</w:t>
      </w:r>
      <w:r w:rsidRPr="00064619">
        <w:rPr>
          <w:rStyle w:val="FootnoteReference"/>
          <w:rFonts w:cs="Taher"/>
          <w:sz w:val="32"/>
          <w:rtl/>
        </w:rPr>
        <w:footnoteReference w:id="55"/>
      </w:r>
      <w:r w:rsidRPr="00064619">
        <w:rPr>
          <w:rFonts w:cs="Taher"/>
          <w:vertAlign w:val="superscript"/>
          <w:rtl/>
        </w:rPr>
        <w:t>)</w:t>
      </w:r>
      <w:r w:rsidRPr="00EA09EB">
        <w:rPr>
          <w:rFonts w:hint="cs"/>
          <w:rtl/>
        </w:rPr>
        <w:t>.</w:t>
      </w:r>
    </w:p>
    <w:p w:rsidR="00EA09EB" w:rsidRPr="00A32FC0" w:rsidRDefault="00EA09EB" w:rsidP="00635BE2">
      <w:pPr>
        <w:pStyle w:val="Normal93"/>
        <w:rPr>
          <w:rtl/>
        </w:rPr>
      </w:pPr>
      <w:r w:rsidRPr="00A32FC0">
        <w:rPr>
          <w:rFonts w:hint="cs"/>
          <w:rtl/>
        </w:rPr>
        <w:t>إلى هنا، وبالتوجُّه إلى النقاط المذكورة آنفاً، وبشيءٍ من إمعان النظر، نكون قد أجبنا عن الأسئلة التالية:</w:t>
      </w:r>
    </w:p>
    <w:p w:rsidR="00EA09EB" w:rsidRPr="00EA09EB" w:rsidRDefault="00EA09EB" w:rsidP="00635BE2">
      <w:pPr>
        <w:pStyle w:val="Normal93"/>
        <w:rPr>
          <w:rtl/>
        </w:rPr>
      </w:pPr>
      <w:r w:rsidRPr="00EA09EB">
        <w:rPr>
          <w:rFonts w:hint="cs"/>
          <w:rtl/>
        </w:rPr>
        <w:t xml:space="preserve">1ـ هل أنّ المراد من الولاية </w:t>
      </w:r>
      <w:r w:rsidR="00E10F75">
        <w:rPr>
          <w:rFonts w:hint="cs"/>
          <w:rtl/>
        </w:rPr>
        <w:t xml:space="preserve">في </w:t>
      </w:r>
      <w:r w:rsidRPr="00EA09EB">
        <w:rPr>
          <w:rFonts w:hint="cs"/>
          <w:rtl/>
        </w:rPr>
        <w:t xml:space="preserve">الحكومة الولائية </w:t>
      </w:r>
      <w:r w:rsidR="00E10F75">
        <w:rPr>
          <w:rFonts w:hint="cs"/>
          <w:rtl/>
        </w:rPr>
        <w:t>و</w:t>
      </w:r>
      <w:r w:rsidRPr="00EA09EB">
        <w:rPr>
          <w:rFonts w:hint="cs"/>
          <w:rtl/>
        </w:rPr>
        <w:t>ولاية الفقيه هي الولاية العرفانيّة</w:t>
      </w:r>
      <w:r w:rsidRPr="00064619">
        <w:rPr>
          <w:rFonts w:cs="Taher"/>
          <w:sz w:val="32"/>
          <w:vertAlign w:val="superscript"/>
          <w:rtl/>
        </w:rPr>
        <w:t>(</w:t>
      </w:r>
      <w:r w:rsidRPr="00064619">
        <w:rPr>
          <w:rStyle w:val="FootnoteReference"/>
          <w:rFonts w:cs="Taher"/>
          <w:sz w:val="32"/>
          <w:rtl/>
        </w:rPr>
        <w:footnoteReference w:id="56"/>
      </w:r>
      <w:r w:rsidRPr="00064619">
        <w:rPr>
          <w:rFonts w:cs="Taher"/>
          <w:sz w:val="32"/>
          <w:vertAlign w:val="superscript"/>
          <w:rtl/>
        </w:rPr>
        <w:t>)</w:t>
      </w:r>
      <w:r w:rsidRPr="00EA09EB">
        <w:rPr>
          <w:rFonts w:hint="cs"/>
          <w:rtl/>
        </w:rPr>
        <w:t>؟</w:t>
      </w:r>
    </w:p>
    <w:p w:rsidR="00EA09EB" w:rsidRPr="00A32FC0" w:rsidRDefault="00EA09EB" w:rsidP="00635BE2">
      <w:pPr>
        <w:pStyle w:val="Normal93"/>
        <w:rPr>
          <w:rtl/>
        </w:rPr>
      </w:pPr>
      <w:r w:rsidRPr="00A32FC0">
        <w:rPr>
          <w:rFonts w:hint="cs"/>
          <w:rtl/>
        </w:rPr>
        <w:t>2ـ هل يتحمَّل الولي الفقيه أو الحكومة الولائية ملازمات وخصائص الولاية العرفانيّة؟</w:t>
      </w:r>
    </w:p>
    <w:p w:rsidR="00EA09EB" w:rsidRPr="00A32FC0" w:rsidRDefault="00EA09EB" w:rsidP="00EA09EB">
      <w:pPr>
        <w:rPr>
          <w:rtl/>
        </w:rPr>
      </w:pPr>
      <w:r w:rsidRPr="00A32FC0">
        <w:rPr>
          <w:rFonts w:hint="cs"/>
          <w:rtl/>
        </w:rPr>
        <w:t>3ـ هل يمكن الأخذ ببعض ملازمات وخصائص الولاية العرفانية وغضّ النظر عن بعضها الآخر؟</w:t>
      </w:r>
    </w:p>
    <w:p w:rsidR="00EA09EB" w:rsidRPr="00A32FC0" w:rsidRDefault="00EA09EB" w:rsidP="00EA09EB">
      <w:pPr>
        <w:rPr>
          <w:rtl/>
        </w:rPr>
      </w:pPr>
      <w:r w:rsidRPr="00A32FC0">
        <w:rPr>
          <w:rFonts w:hint="cs"/>
          <w:rtl/>
        </w:rPr>
        <w:t>4ـ ما هو المراد من الولاية في الحكومة الولائية وولاية الفقيه؟</w:t>
      </w:r>
    </w:p>
    <w:p w:rsidR="007A340E" w:rsidRDefault="00EA09EB" w:rsidP="007A340E">
      <w:pPr>
        <w:pStyle w:val="Heading2"/>
        <w:jc w:val="center"/>
        <w:rPr>
          <w:rtl/>
        </w:rPr>
      </w:pPr>
      <w:r w:rsidRPr="00EA09EB">
        <w:rPr>
          <w:rtl/>
        </w:rPr>
        <w:br w:type="page"/>
      </w:r>
    </w:p>
    <w:p w:rsidR="007A340E" w:rsidRDefault="007A340E" w:rsidP="007A340E">
      <w:pPr>
        <w:rPr>
          <w:rtl/>
        </w:rPr>
        <w:sectPr w:rsidR="007A340E" w:rsidSect="009003FC">
          <w:headerReference w:type="even" r:id="rId24"/>
          <w:headerReference w:type="default" r:id="rId25"/>
          <w:headerReference w:type="first" r:id="rId26"/>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Default="007A340E" w:rsidP="007A340E">
      <w:pPr>
        <w:rPr>
          <w:rtl/>
        </w:rPr>
      </w:pPr>
    </w:p>
    <w:p w:rsidR="00EA09EB" w:rsidRPr="00E2207F" w:rsidRDefault="00EA09EB" w:rsidP="007A340E">
      <w:pPr>
        <w:pStyle w:val="Heading2"/>
        <w:jc w:val="center"/>
        <w:rPr>
          <w:rtl/>
        </w:rPr>
      </w:pPr>
      <w:bookmarkStart w:id="36" w:name="_Toc413658819"/>
      <w:r w:rsidRPr="00E2207F">
        <w:rPr>
          <w:rFonts w:hint="cs"/>
          <w:rtl/>
        </w:rPr>
        <w:t xml:space="preserve">الفصل الثالث: </w:t>
      </w:r>
      <w:r w:rsidRPr="007A340E">
        <w:rPr>
          <w:rFonts w:hint="cs"/>
          <w:rtl/>
        </w:rPr>
        <w:t>الولاية الكلاميّة</w:t>
      </w:r>
      <w:bookmarkEnd w:id="36"/>
    </w:p>
    <w:p w:rsidR="00EA09EB" w:rsidRPr="00A32FC0" w:rsidRDefault="00EA09EB" w:rsidP="00635BE2">
      <w:pPr>
        <w:pStyle w:val="Normal84"/>
        <w:rPr>
          <w:rtl/>
        </w:rPr>
      </w:pPr>
      <w:r w:rsidRPr="00A32FC0">
        <w:rPr>
          <w:rFonts w:hint="cs"/>
          <w:rtl/>
        </w:rPr>
        <w:t>هل يُراد من الولاية، في الحكومة الولائية وولاية الفقيه، الولاية الكلامية بالمعنى المستعمل في علم الكلام، الخاصّ بالمعصومين، والذي يُعَدّ من أصول المذهب؟</w:t>
      </w:r>
    </w:p>
    <w:p w:rsidR="00EA09EB" w:rsidRPr="00A32FC0" w:rsidRDefault="00EA09EB" w:rsidP="00EA09EB">
      <w:pPr>
        <w:rPr>
          <w:rtl/>
        </w:rPr>
      </w:pPr>
      <w:r w:rsidRPr="00A32FC0">
        <w:rPr>
          <w:rFonts w:hint="cs"/>
          <w:rtl/>
        </w:rPr>
        <w:t>للإجابة عن هذا السؤال لابدّ لنا من البحث في الولاية الكلامية.</w:t>
      </w:r>
    </w:p>
    <w:p w:rsidR="00EA09EB" w:rsidRPr="00A32FC0" w:rsidRDefault="00EA09EB" w:rsidP="00635BE2">
      <w:pPr>
        <w:pStyle w:val="Normal87"/>
        <w:rPr>
          <w:rtl/>
        </w:rPr>
      </w:pPr>
      <w:r w:rsidRPr="00EA09EB">
        <w:rPr>
          <w:rFonts w:hint="cs"/>
          <w:rtl/>
        </w:rPr>
        <w:t>1</w:t>
      </w:r>
      <w:r w:rsidRPr="00EA09EB">
        <w:rPr>
          <w:rtl/>
        </w:rPr>
        <w:t>ـ</w:t>
      </w:r>
      <w:r w:rsidRPr="00EA09EB">
        <w:rPr>
          <w:rFonts w:hint="cs"/>
          <w:rtl/>
        </w:rPr>
        <w:t xml:space="preserve"> تعدّ ولاية أهل بيت النبيّ، بمعنى حبهم ومودتهم، إحدى التعاليم الإسلامية. فالمسلمون مأمورون ـ كما هو صريح القرآن ـ بـ «المودّة في القربى»</w:t>
      </w:r>
      <w:r w:rsidRPr="00064619">
        <w:rPr>
          <w:rFonts w:cs="Taher"/>
          <w:vertAlign w:val="superscript"/>
          <w:rtl/>
        </w:rPr>
        <w:t>(</w:t>
      </w:r>
      <w:r w:rsidRPr="00064619">
        <w:rPr>
          <w:rStyle w:val="FootnoteReference"/>
          <w:rFonts w:cs="Taher"/>
          <w:sz w:val="32"/>
          <w:rtl/>
        </w:rPr>
        <w:footnoteReference w:id="57"/>
      </w:r>
      <w:r w:rsidRPr="00064619">
        <w:rPr>
          <w:rFonts w:cs="Taher"/>
          <w:vertAlign w:val="superscript"/>
          <w:rtl/>
        </w:rPr>
        <w:t>)</w:t>
      </w:r>
      <w:r w:rsidRPr="00EA09EB">
        <w:rPr>
          <w:rFonts w:hint="cs"/>
          <w:rtl/>
        </w:rPr>
        <w:t>، وإنْ كان هناك اختلاف بين الشيعة والسنة في بعض مصاديق أهل القربى. ويطلق على هذا النوع من الولاية ولاء الحبّ، أو ولاء القرابة</w:t>
      </w:r>
      <w:r w:rsidRPr="00064619">
        <w:rPr>
          <w:rFonts w:cs="Taher"/>
          <w:vertAlign w:val="superscript"/>
          <w:rtl/>
        </w:rPr>
        <w:t>(</w:t>
      </w:r>
      <w:r w:rsidRPr="00064619">
        <w:rPr>
          <w:rStyle w:val="FootnoteReference"/>
          <w:rFonts w:cs="Taher"/>
          <w:sz w:val="32"/>
          <w:rtl/>
        </w:rPr>
        <w:footnoteReference w:id="58"/>
      </w:r>
      <w:r w:rsidRPr="00064619">
        <w:rPr>
          <w:rFonts w:cs="Taher"/>
          <w:vertAlign w:val="superscript"/>
          <w:rtl/>
        </w:rPr>
        <w:t>)</w:t>
      </w:r>
      <w:r w:rsidRPr="00A32FC0">
        <w:rPr>
          <w:rFonts w:hint="cs"/>
          <w:rtl/>
        </w:rPr>
        <w:t>.</w:t>
      </w:r>
    </w:p>
    <w:p w:rsidR="00EA09EB" w:rsidRPr="00EA09EB" w:rsidRDefault="00EA09EB" w:rsidP="00635BE2">
      <w:pPr>
        <w:pStyle w:val="Normal84"/>
        <w:rPr>
          <w:rtl/>
        </w:rPr>
      </w:pPr>
      <w:r w:rsidRPr="00A32FC0">
        <w:rPr>
          <w:rFonts w:hint="cs"/>
          <w:rtl/>
        </w:rPr>
        <w:t>2</w:t>
      </w:r>
      <w:r w:rsidRPr="00A32FC0">
        <w:rPr>
          <w:rtl/>
        </w:rPr>
        <w:t>ـ</w:t>
      </w:r>
      <w:r w:rsidRPr="00A32FC0">
        <w:rPr>
          <w:rFonts w:hint="cs"/>
          <w:rtl/>
        </w:rPr>
        <w:t xml:space="preserve"> غالباً ما تستعمل الولاية في الكلام الشيعي بمعنى الإمامة. وعلى هذا الأساس فالولاية مسألة عقائديّة وكلاميّة، وليست مسألة عمليّة وفقهيّة، بل إنّها من أصول المذهب، لا من الفروع الاعتقادية والكلامية. فالتوحيد والنبوة والمعاد من أصول الدين، والإمامة والولاية من جهة، والعدل من جهة أخرى، هي من أصول المذهب. وعلى هذا الأساس فإن الاعتقاد بالإمامة والولاية كالاعتقاد بالعدل الإلهي من مميِّزات التشيُّع. ومن لا يعتقد بهذا فهو خارجٌ عن المذهب</w:t>
      </w:r>
      <w:r w:rsidRPr="00064619">
        <w:rPr>
          <w:rFonts w:cs="Taher"/>
          <w:vertAlign w:val="superscript"/>
          <w:rtl/>
        </w:rPr>
        <w:t>(</w:t>
      </w:r>
      <w:r w:rsidRPr="00064619">
        <w:rPr>
          <w:rStyle w:val="FootnoteReference"/>
          <w:rFonts w:cs="Taher"/>
          <w:sz w:val="32"/>
          <w:rtl/>
        </w:rPr>
        <w:footnoteReference w:id="59"/>
      </w:r>
      <w:r w:rsidRPr="00064619">
        <w:rPr>
          <w:rFonts w:cs="Taher"/>
          <w:vertAlign w:val="superscript"/>
          <w:rtl/>
        </w:rPr>
        <w:t>)</w:t>
      </w:r>
      <w:r w:rsidRPr="00EA09EB">
        <w:rPr>
          <w:rFonts w:hint="cs"/>
          <w:rtl/>
        </w:rPr>
        <w:t>.</w:t>
      </w:r>
    </w:p>
    <w:p w:rsidR="00EA09EB" w:rsidRPr="00A32FC0" w:rsidRDefault="00EA09EB" w:rsidP="00EA09EB">
      <w:pPr>
        <w:rPr>
          <w:rtl/>
        </w:rPr>
      </w:pPr>
      <w:r w:rsidRPr="00A32FC0">
        <w:rPr>
          <w:rFonts w:hint="cs"/>
          <w:rtl/>
        </w:rPr>
        <w:t>3</w:t>
      </w:r>
      <w:r w:rsidRPr="00A32FC0">
        <w:rPr>
          <w:rtl/>
        </w:rPr>
        <w:t>ـ</w:t>
      </w:r>
      <w:r w:rsidRPr="00A32FC0">
        <w:rPr>
          <w:rFonts w:hint="cs"/>
          <w:rtl/>
        </w:rPr>
        <w:t xml:space="preserve"> المراد من الإمامة والولاية في الكلام الشيعي هو استمرار جميع وظائف النبيّ</w:t>
      </w:r>
      <w:r w:rsidRPr="00A32FC0">
        <w:rPr>
          <w:rFonts w:hint="cs"/>
          <w:rtl/>
        </w:rPr>
        <w:sym w:font="Roumouz" w:char="F02D"/>
      </w:r>
      <w:r w:rsidRPr="00A32FC0">
        <w:rPr>
          <w:rFonts w:hint="cs"/>
          <w:rtl/>
        </w:rPr>
        <w:t xml:space="preserve"> في خلفائه بالحقّ، باستثناء النبوة. وتوضيح ذلك أنّه كان للنبيّ</w:t>
      </w:r>
      <w:r w:rsidRPr="00A32FC0">
        <w:rPr>
          <w:rFonts w:hint="cs"/>
          <w:rtl/>
        </w:rPr>
        <w:sym w:font="Roumouz" w:char="F02D"/>
      </w:r>
      <w:r w:rsidRPr="00A32FC0">
        <w:rPr>
          <w:rFonts w:hint="cs"/>
          <w:rtl/>
        </w:rPr>
        <w:t xml:space="preserve"> وظائف متعدِّدة، وهي عبارة عن:</w:t>
      </w:r>
    </w:p>
    <w:p w:rsidR="00EA09EB" w:rsidRPr="00EA09EB" w:rsidRDefault="00EA09EB" w:rsidP="007A340E">
      <w:pPr>
        <w:ind w:firstLine="283"/>
        <w:rPr>
          <w:rtl/>
        </w:rPr>
      </w:pPr>
      <w:r w:rsidRPr="007A340E">
        <w:rPr>
          <w:rFonts w:hint="cs"/>
          <w:b/>
          <w:bCs/>
          <w:rtl/>
        </w:rPr>
        <w:t>الأولى</w:t>
      </w:r>
      <w:r w:rsidRPr="00EA09EB">
        <w:rPr>
          <w:rFonts w:hint="cs"/>
          <w:rtl/>
        </w:rPr>
        <w:t>: تلقّي الوحي، وإبلاغه.</w:t>
      </w:r>
    </w:p>
    <w:p w:rsidR="00EA09EB" w:rsidRPr="00EA09EB" w:rsidRDefault="00EA09EB" w:rsidP="007A340E">
      <w:pPr>
        <w:ind w:firstLine="283"/>
        <w:rPr>
          <w:rtl/>
        </w:rPr>
      </w:pPr>
      <w:r w:rsidRPr="007A340E">
        <w:rPr>
          <w:rFonts w:hint="cs"/>
          <w:b/>
          <w:bCs/>
          <w:rtl/>
        </w:rPr>
        <w:t>الثانية</w:t>
      </w:r>
      <w:r w:rsidRPr="00EA09EB">
        <w:rPr>
          <w:rFonts w:hint="cs"/>
          <w:rtl/>
        </w:rPr>
        <w:t>: تبيين وتوضيح الوحي، وتفصيل الأحكام الإلهيّة.</w:t>
      </w:r>
    </w:p>
    <w:p w:rsidR="00EA09EB" w:rsidRPr="00EA09EB" w:rsidRDefault="00EA09EB" w:rsidP="007A340E">
      <w:pPr>
        <w:ind w:firstLine="283"/>
        <w:rPr>
          <w:rtl/>
        </w:rPr>
      </w:pPr>
      <w:r w:rsidRPr="007A340E">
        <w:rPr>
          <w:rFonts w:hint="cs"/>
          <w:b/>
          <w:bCs/>
          <w:rtl/>
        </w:rPr>
        <w:t>الثالثة</w:t>
      </w:r>
      <w:r w:rsidRPr="00EA09EB">
        <w:rPr>
          <w:rFonts w:hint="cs"/>
          <w:rtl/>
        </w:rPr>
        <w:t>: القضاء في منازعات المسلمين الخاصّة والعامّة.</w:t>
      </w:r>
    </w:p>
    <w:p w:rsidR="00EA09EB" w:rsidRPr="00EA09EB" w:rsidRDefault="00EA09EB" w:rsidP="007A340E">
      <w:pPr>
        <w:ind w:firstLine="283"/>
        <w:rPr>
          <w:rtl/>
        </w:rPr>
      </w:pPr>
      <w:r w:rsidRPr="007A340E">
        <w:rPr>
          <w:rFonts w:hint="cs"/>
          <w:b/>
          <w:bCs/>
          <w:rtl/>
        </w:rPr>
        <w:t>الرابعة</w:t>
      </w:r>
      <w:r w:rsidRPr="00EA09EB">
        <w:rPr>
          <w:rFonts w:hint="cs"/>
          <w:rtl/>
        </w:rPr>
        <w:t>: الرئاسة السياسيّة العامّة للمسلمين.</w:t>
      </w:r>
    </w:p>
    <w:p w:rsidR="00EA09EB" w:rsidRPr="00A32FC0" w:rsidRDefault="00EA09EB" w:rsidP="00EA09EB">
      <w:pPr>
        <w:rPr>
          <w:rtl/>
        </w:rPr>
      </w:pPr>
      <w:r w:rsidRPr="00A32FC0">
        <w:rPr>
          <w:rFonts w:hint="cs"/>
          <w:b/>
          <w:bCs/>
          <w:rtl/>
        </w:rPr>
        <w:t>الخامسة</w:t>
      </w:r>
      <w:r w:rsidRPr="00A32FC0">
        <w:rPr>
          <w:rFonts w:hint="cs"/>
          <w:rtl/>
        </w:rPr>
        <w:t>: الواسطة في الفيض بين السماء والأرض (الولاية التكوينيّة).</w:t>
      </w:r>
    </w:p>
    <w:p w:rsidR="00EA09EB" w:rsidRPr="00EA09EB" w:rsidRDefault="00EA09EB" w:rsidP="00EA09EB">
      <w:pPr>
        <w:rPr>
          <w:rtl/>
        </w:rPr>
      </w:pPr>
      <w:r w:rsidRPr="00A32FC0">
        <w:rPr>
          <w:rFonts w:hint="cs"/>
          <w:rtl/>
        </w:rPr>
        <w:t>واعتبارُ النبي حائزاً على جميع هذه الوظائف والشؤون المذكورة هو محلّ اتفاق جميع المسلمين</w:t>
      </w:r>
      <w:r w:rsidRPr="00064619">
        <w:rPr>
          <w:rFonts w:cs="Taher"/>
          <w:vertAlign w:val="superscript"/>
          <w:rtl/>
        </w:rPr>
        <w:t>(</w:t>
      </w:r>
      <w:r w:rsidRPr="00064619">
        <w:rPr>
          <w:rStyle w:val="FootnoteReference"/>
          <w:rFonts w:cs="Taher"/>
          <w:sz w:val="32"/>
          <w:rtl/>
        </w:rPr>
        <w:footnoteReference w:id="60"/>
      </w:r>
      <w:r w:rsidRPr="00064619">
        <w:rPr>
          <w:rFonts w:cs="Taher"/>
          <w:vertAlign w:val="superscript"/>
          <w:rtl/>
        </w:rPr>
        <w:t>)</w:t>
      </w:r>
      <w:r w:rsidRPr="00EA09EB">
        <w:rPr>
          <w:rFonts w:hint="cs"/>
          <w:rtl/>
        </w:rPr>
        <w:t>.</w:t>
      </w:r>
    </w:p>
    <w:p w:rsidR="00EA09EB" w:rsidRPr="00A32FC0" w:rsidRDefault="00EA09EB" w:rsidP="00EA09EB">
      <w:pPr>
        <w:rPr>
          <w:rtl/>
        </w:rPr>
      </w:pPr>
      <w:r w:rsidRPr="00A32FC0">
        <w:rPr>
          <w:rFonts w:hint="cs"/>
          <w:rtl/>
        </w:rPr>
        <w:t>4</w:t>
      </w:r>
      <w:r w:rsidRPr="00A32FC0">
        <w:rPr>
          <w:rtl/>
        </w:rPr>
        <w:t>ـ</w:t>
      </w:r>
      <w:r w:rsidRPr="00A32FC0">
        <w:rPr>
          <w:rFonts w:hint="cs"/>
          <w:rtl/>
        </w:rPr>
        <w:t xml:space="preserve"> بوفاة النبي تختتم النبوة، وينقطع الوحي. وبذلك تنتهي الوظيفة الأولى من وظائف النبيّ. فهل تنتهي الوظائف الأربع الأخرى ـ كما تنتهي الوظيفة الأولى ـ بوفاته</w:t>
      </w:r>
      <w:r w:rsidRPr="00A32FC0">
        <w:rPr>
          <w:rFonts w:hint="cs"/>
          <w:rtl/>
        </w:rPr>
        <w:sym w:font="Roumouz" w:char="F02D"/>
      </w:r>
      <w:r w:rsidRPr="00A32FC0">
        <w:rPr>
          <w:rFonts w:hint="cs"/>
          <w:rtl/>
        </w:rPr>
        <w:t>؟</w:t>
      </w:r>
    </w:p>
    <w:p w:rsidR="00EA09EB" w:rsidRPr="00EA09EB" w:rsidRDefault="00EA09EB" w:rsidP="007A340E">
      <w:pPr>
        <w:ind w:firstLine="283"/>
        <w:rPr>
          <w:rtl/>
        </w:rPr>
      </w:pPr>
      <w:r w:rsidRPr="00EA09EB">
        <w:rPr>
          <w:rFonts w:hint="cs"/>
          <w:rtl/>
        </w:rPr>
        <w:t>يعتقد أهل السنة أن جميع شؤون ووظائف النبيّ</w:t>
      </w:r>
      <w:r w:rsidRPr="00EA09EB">
        <w:rPr>
          <w:rFonts w:hint="cs"/>
          <w:rtl/>
        </w:rPr>
        <w:sym w:font="Roumouz" w:char="F02D"/>
      </w:r>
      <w:r w:rsidRPr="00EA09EB">
        <w:rPr>
          <w:rFonts w:hint="cs"/>
          <w:rtl/>
        </w:rPr>
        <w:t xml:space="preserve"> تنتهي بوفاته، بمعنى أنّ النبي هو المعصوم الوحيد، ولم يعيِّن أيَّ شخصٍ بعده ليبيِّن ويوضِّح الوحي، ويفصِّل الأحكام الإلهية عن عصمةٍ؛ وإنّ أمر الرئاسة الدنيوية للأمّة موكولٌ لأهل الحَلّ والعَقْد، ولم ينصِّب اللهُ ولا رسولُه أحداً خليفةً للرسول</w:t>
      </w:r>
      <w:r w:rsidRPr="00EA09EB">
        <w:rPr>
          <w:rFonts w:hint="cs"/>
          <w:rtl/>
        </w:rPr>
        <w:sym w:font="Roumouz" w:char="F02D"/>
      </w:r>
      <w:r w:rsidRPr="00EA09EB">
        <w:rPr>
          <w:rFonts w:hint="cs"/>
          <w:rtl/>
        </w:rPr>
        <w:t>؛ وإنّ أمر القضاء كأمر الرئاسة السياسيّة أيضاً. ولم يتعرَّض متكلِّمو السنّة للوظيفة الخامسة</w:t>
      </w:r>
      <w:r w:rsidRPr="00064619">
        <w:rPr>
          <w:rFonts w:cs="Taher"/>
          <w:sz w:val="32"/>
          <w:vertAlign w:val="superscript"/>
          <w:rtl/>
        </w:rPr>
        <w:t>(</w:t>
      </w:r>
      <w:r w:rsidRPr="00064619">
        <w:rPr>
          <w:rStyle w:val="FootnoteReference"/>
          <w:rFonts w:cs="Taher"/>
          <w:sz w:val="32"/>
          <w:rtl/>
        </w:rPr>
        <w:footnoteReference w:id="61"/>
      </w:r>
      <w:r w:rsidRPr="00064619">
        <w:rPr>
          <w:rFonts w:cs="Taher"/>
          <w:sz w:val="32"/>
          <w:vertAlign w:val="superscript"/>
          <w:rtl/>
        </w:rPr>
        <w:t>)</w:t>
      </w:r>
      <w:r w:rsidRPr="00EA09EB">
        <w:rPr>
          <w:rFonts w:hint="cs"/>
          <w:rtl/>
        </w:rPr>
        <w:t>.</w:t>
      </w:r>
    </w:p>
    <w:p w:rsidR="00EA09EB" w:rsidRPr="00A32FC0" w:rsidRDefault="00EA09EB" w:rsidP="00635BE2">
      <w:pPr>
        <w:rPr>
          <w:rtl/>
        </w:rPr>
      </w:pPr>
      <w:r w:rsidRPr="00A32FC0">
        <w:rPr>
          <w:rFonts w:hint="cs"/>
          <w:rtl/>
        </w:rPr>
        <w:t>5</w:t>
      </w:r>
      <w:r w:rsidRPr="00A32FC0">
        <w:rPr>
          <w:rtl/>
        </w:rPr>
        <w:t>ـ</w:t>
      </w:r>
      <w:r w:rsidRPr="00A32FC0">
        <w:rPr>
          <w:rFonts w:hint="cs"/>
          <w:rtl/>
        </w:rPr>
        <w:t xml:space="preserve"> يعتقد الشيعة أنه بوفاة الرسول ينقطع الوحي وتختتم النبوة، ولكن بما أنّ القرآن الكريم يتكفَّل ببيان الخطوط العامّة للإسلام، وهذه الخطوط العامّة تحتاج إلى تبيين وتوضيح معصومٍ، بمعنى أن يكون هذا التبيين والتوضيح كتبيين وتوضيح النبيّ حقّاً محضاً، بالإضافة إلى أنّ الله وإنْ كان قد أوحى إلى نبيِّه أحكام الإسلام كاملة، والنبيّ بدوره قد تلقّى هذه الأحكام كاملة، وبلَّغها كاملة، إلاّ أنّ ما بَلَّغَه النبيّ</w:t>
      </w:r>
      <w:r w:rsidRPr="00A32FC0">
        <w:rPr>
          <w:rFonts w:hint="cs"/>
          <w:rtl/>
        </w:rPr>
        <w:sym w:font="Roumouz" w:char="F02D"/>
      </w:r>
      <w:r w:rsidRPr="00A32FC0">
        <w:rPr>
          <w:rFonts w:hint="cs"/>
          <w:rtl/>
        </w:rPr>
        <w:t xml:space="preserve"> في حياته لم يشمل كلّ ما سوف يحتاجه جميع المسلمين؛ وذلك لأنّ التبليغ الذي يشمل جميع الأحكام في كلّ زمان ومكان يحتاج إلى الظرف والزمان المناسبين لبيانه، ولهذا السبب هناك الكثير من جزئيات وتفاصيل الأحكام الإلهيّة لم تذكر في كلمات النبيّ</w:t>
      </w:r>
      <w:r w:rsidRPr="00A32FC0">
        <w:rPr>
          <w:rFonts w:hint="cs"/>
          <w:rtl/>
        </w:rPr>
        <w:sym w:font="Roumouz" w:char="F02D"/>
      </w:r>
      <w:r w:rsidRPr="00A32FC0">
        <w:rPr>
          <w:rFonts w:hint="cs"/>
          <w:rtl/>
        </w:rPr>
        <w:t>. لذلك فقد عهد الله إلى بعض الأشخاص مهمة تفسير الوحي وتفصيله. وهؤلاء الأشخاص معيَّنون من قبل الله، وقد قام النبيّ</w:t>
      </w:r>
      <w:r w:rsidRPr="00A32FC0">
        <w:rPr>
          <w:rFonts w:hint="cs"/>
          <w:rtl/>
        </w:rPr>
        <w:sym w:font="Roumouz" w:char="F02D"/>
      </w:r>
      <w:r w:rsidRPr="00A32FC0">
        <w:rPr>
          <w:rFonts w:hint="cs"/>
          <w:rtl/>
        </w:rPr>
        <w:t xml:space="preserve"> بتعريف الناس بهم، وهم ما يطلق عليهم في علم الكلام الشيعي: «الإمام»؛ أو «الولي».</w:t>
      </w:r>
    </w:p>
    <w:p w:rsidR="00EA09EB" w:rsidRPr="00A32FC0" w:rsidRDefault="00EA09EB" w:rsidP="00EA09EB">
      <w:pPr>
        <w:rPr>
          <w:rtl/>
        </w:rPr>
      </w:pPr>
      <w:r w:rsidRPr="00A32FC0">
        <w:rPr>
          <w:rFonts w:hint="cs"/>
          <w:rtl/>
        </w:rPr>
        <w:t>6</w:t>
      </w:r>
      <w:r w:rsidRPr="00A32FC0">
        <w:rPr>
          <w:rtl/>
        </w:rPr>
        <w:t>ـ</w:t>
      </w:r>
      <w:r w:rsidRPr="00A32FC0">
        <w:rPr>
          <w:rFonts w:hint="cs"/>
          <w:rtl/>
        </w:rPr>
        <w:t xml:space="preserve"> إنّ شروط التصدّي لمنصب الإمامة والولاية من وجهة نظر الشيعة هي عبارةٌ عن: </w:t>
      </w:r>
    </w:p>
    <w:p w:rsidR="00EA09EB" w:rsidRPr="00EA09EB" w:rsidRDefault="00EA09EB" w:rsidP="007A340E">
      <w:pPr>
        <w:rPr>
          <w:rtl/>
        </w:rPr>
      </w:pPr>
      <w:r w:rsidRPr="007A340E">
        <w:rPr>
          <w:rFonts w:hint="cs"/>
          <w:b/>
          <w:bCs/>
          <w:rtl/>
        </w:rPr>
        <w:t>الأول</w:t>
      </w:r>
      <w:r w:rsidRPr="00EA09EB">
        <w:rPr>
          <w:rFonts w:hint="cs"/>
          <w:rtl/>
        </w:rPr>
        <w:t>: العصمة، بمعنى أنّ الإمام في بيان الوحي وتفصيل الأحكام الإلهيّة لا يخطئ عمداً، ولا سهواً.</w:t>
      </w:r>
    </w:p>
    <w:p w:rsidR="00EA09EB" w:rsidRPr="00EA09EB" w:rsidRDefault="00EA09EB" w:rsidP="007A340E">
      <w:pPr>
        <w:rPr>
          <w:rtl/>
        </w:rPr>
      </w:pPr>
      <w:r w:rsidRPr="007A340E">
        <w:rPr>
          <w:rFonts w:hint="cs"/>
          <w:b/>
          <w:bCs/>
          <w:rtl/>
        </w:rPr>
        <w:t>الثاني</w:t>
      </w:r>
      <w:r w:rsidRPr="00EA09EB">
        <w:rPr>
          <w:rFonts w:hint="cs"/>
          <w:rtl/>
        </w:rPr>
        <w:t>: علم الغيب، بمعنى أنّه في قيامه بهذه المهمة الخطيرة يجب أن يكون عالماً بعلمٍ لدُنِيٍّ من الله تعالى.</w:t>
      </w:r>
    </w:p>
    <w:p w:rsidR="00EA09EB" w:rsidRPr="00A32FC0" w:rsidRDefault="00EA09EB" w:rsidP="007A340E">
      <w:pPr>
        <w:rPr>
          <w:rtl/>
        </w:rPr>
      </w:pPr>
      <w:r w:rsidRPr="00A32FC0">
        <w:rPr>
          <w:rFonts w:hint="cs"/>
          <w:b/>
          <w:bCs/>
          <w:rtl/>
        </w:rPr>
        <w:t>الثالث</w:t>
      </w:r>
      <w:r w:rsidRPr="00A32FC0">
        <w:rPr>
          <w:rFonts w:hint="cs"/>
          <w:rtl/>
        </w:rPr>
        <w:t>: النصّ عليه، بمعنى أنّ الله تعالى قد عيَّنه في هذا المقام الرفيع بشكل خاصّ، وأنّ النبي قد بلَّغ المسلمين وأعلمهم بهذا التعيين.</w:t>
      </w:r>
    </w:p>
    <w:p w:rsidR="00EA09EB" w:rsidRPr="00EA09EB" w:rsidRDefault="00EA09EB" w:rsidP="00635BE2">
      <w:pPr>
        <w:pStyle w:val="Normal87"/>
        <w:rPr>
          <w:rtl/>
        </w:rPr>
      </w:pPr>
      <w:r w:rsidRPr="00A32FC0">
        <w:rPr>
          <w:rFonts w:hint="cs"/>
          <w:rtl/>
        </w:rPr>
        <w:t>والأشخاص المؤهَّلون لتولّي هذا المنصب الرفيع للإمامة والولاية هم فقط الذين حازوا هذه الشروط الثلاثة المذكورة</w:t>
      </w:r>
      <w:r w:rsidRPr="00064619">
        <w:rPr>
          <w:rFonts w:cs="Taher"/>
          <w:vertAlign w:val="superscript"/>
          <w:rtl/>
        </w:rPr>
        <w:t>(</w:t>
      </w:r>
      <w:r w:rsidRPr="00064619">
        <w:rPr>
          <w:rStyle w:val="FootnoteReference"/>
          <w:rFonts w:cs="Taher"/>
          <w:sz w:val="32"/>
          <w:rtl/>
        </w:rPr>
        <w:footnoteReference w:id="62"/>
      </w:r>
      <w:r w:rsidRPr="00064619">
        <w:rPr>
          <w:rFonts w:cs="Taher"/>
          <w:vertAlign w:val="superscript"/>
          <w:rtl/>
        </w:rPr>
        <w:t>)</w:t>
      </w:r>
      <w:r w:rsidRPr="00EA09EB">
        <w:rPr>
          <w:rFonts w:hint="cs"/>
          <w:rtl/>
        </w:rPr>
        <w:t>.</w:t>
      </w:r>
    </w:p>
    <w:p w:rsidR="00EA09EB" w:rsidRPr="00A32FC0" w:rsidRDefault="00EA09EB" w:rsidP="00635BE2">
      <w:pPr>
        <w:pStyle w:val="Normal93"/>
        <w:rPr>
          <w:rtl/>
        </w:rPr>
      </w:pPr>
      <w:r w:rsidRPr="00A32FC0">
        <w:rPr>
          <w:rFonts w:hint="cs"/>
          <w:rtl/>
        </w:rPr>
        <w:t>7</w:t>
      </w:r>
      <w:r w:rsidRPr="00A32FC0">
        <w:rPr>
          <w:rtl/>
        </w:rPr>
        <w:t>ـ</w:t>
      </w:r>
      <w:r w:rsidRPr="00A32FC0">
        <w:rPr>
          <w:rFonts w:hint="cs"/>
          <w:rtl/>
        </w:rPr>
        <w:t xml:space="preserve"> يعتقد الشيعة ـ بعد عصمة الرسول</w:t>
      </w:r>
      <w:r w:rsidRPr="00A32FC0">
        <w:rPr>
          <w:rFonts w:hint="cs"/>
          <w:rtl/>
        </w:rPr>
        <w:sym w:font="Roumouz" w:char="F02D"/>
      </w:r>
      <w:r w:rsidRPr="00A32FC0">
        <w:rPr>
          <w:rFonts w:hint="cs"/>
          <w:rtl/>
        </w:rPr>
        <w:t xml:space="preserve"> ـ بأنّ فاطمة الزهراء، والإمام عليّ بن أبي طالب، والإمام الحسن بن عليّ، والإمام الحسين بن عليّ، والإمام عليّ بن الحسين زين العابدين، والإمام محمد بن عليّ الباقر، والإمام جعفر بن محمّد الصادق، والإمام موسى بن جعفر الكاظم، والإمام عليّ بن موسى الرضا، والإمام محمد بن عليّ الجواد، والإمام عليّ بن محمّد الهادي، والإمام الحسن بن عليّ العسكري، والإمام محمد بن الحسن المهديّ</w:t>
      </w:r>
      <w:r w:rsidR="007A340E">
        <w:rPr>
          <w:rFonts w:hint="cs"/>
          <w:rtl/>
        </w:rPr>
        <w:t>^</w:t>
      </w:r>
      <w:r w:rsidRPr="00A32FC0">
        <w:rPr>
          <w:rFonts w:hint="cs"/>
          <w:rtl/>
        </w:rPr>
        <w:t>، هم معصومون، وعالمون بالغيب.</w:t>
      </w:r>
    </w:p>
    <w:p w:rsidR="00EA09EB" w:rsidRPr="00EA09EB" w:rsidRDefault="00EA09EB" w:rsidP="00635BE2">
      <w:pPr>
        <w:pStyle w:val="Normal87"/>
        <w:rPr>
          <w:rtl/>
        </w:rPr>
      </w:pPr>
      <w:r w:rsidRPr="00EA09EB">
        <w:rPr>
          <w:rFonts w:hint="cs"/>
          <w:rtl/>
        </w:rPr>
        <w:t>إنّ هؤلاء الأطهار الأربعة عشر قد ثبتت لهم الولاية طبقاً لعلم الكلام الشيعي</w:t>
      </w:r>
      <w:r w:rsidRPr="00064619">
        <w:rPr>
          <w:rFonts w:cs="Taher"/>
          <w:sz w:val="32"/>
          <w:vertAlign w:val="superscript"/>
          <w:rtl/>
        </w:rPr>
        <w:t>(</w:t>
      </w:r>
      <w:r w:rsidRPr="00064619">
        <w:rPr>
          <w:rStyle w:val="FootnoteReference"/>
          <w:rFonts w:cs="Taher"/>
          <w:sz w:val="32"/>
          <w:rtl/>
        </w:rPr>
        <w:footnoteReference w:id="63"/>
      </w:r>
      <w:r w:rsidRPr="00064619">
        <w:rPr>
          <w:rFonts w:cs="Taher"/>
          <w:sz w:val="32"/>
          <w:vertAlign w:val="superscript"/>
          <w:rtl/>
        </w:rPr>
        <w:t>)</w:t>
      </w:r>
      <w:r w:rsidRPr="00EA09EB">
        <w:rPr>
          <w:rFonts w:hint="cs"/>
          <w:rtl/>
        </w:rPr>
        <w:t>، أي إن كلامهم في تبيين الوحي وتفصيل الأحكام الإلهيّة هو حقٌّ محضٌ، ويُعَدُّ المرجعية المعصومة في أمور الدين. فهؤلاء المعصومون الأربعة عشر هم المرجع الوحيد الصحيح للإسلام بعد القرآن الكريم. وبعبارة أخرى: إن القرآن الكريم والرسول الأكرم وعترته الطاهرة هم المراجع الأصلية المعصومة للدين. فالإسلام من وجهة نظر الشيعة هو القرآن والنبيّ وأهل بيته. إن العمل بالوصية الخالدة لرسول الله</w:t>
      </w:r>
      <w:r w:rsidRPr="00EA09EB">
        <w:rPr>
          <w:rFonts w:hint="cs"/>
          <w:rtl/>
        </w:rPr>
        <w:sym w:font="Roumouz" w:char="F02D"/>
      </w:r>
      <w:r w:rsidRPr="00EA09EB">
        <w:rPr>
          <w:rFonts w:hint="cs"/>
          <w:rtl/>
        </w:rPr>
        <w:t>، التي جاءت في حديث الثقلين</w:t>
      </w:r>
      <w:r w:rsidRPr="00064619">
        <w:rPr>
          <w:rFonts w:cs="Taher"/>
          <w:sz w:val="32"/>
          <w:vertAlign w:val="superscript"/>
          <w:rtl/>
        </w:rPr>
        <w:t>(</w:t>
      </w:r>
      <w:r w:rsidRPr="00064619">
        <w:rPr>
          <w:rStyle w:val="FootnoteReference"/>
          <w:rFonts w:cs="Taher"/>
          <w:sz w:val="32"/>
          <w:rtl/>
        </w:rPr>
        <w:footnoteReference w:id="64"/>
      </w:r>
      <w:r w:rsidRPr="00064619">
        <w:rPr>
          <w:rFonts w:cs="Taher"/>
          <w:sz w:val="32"/>
          <w:vertAlign w:val="superscript"/>
          <w:rtl/>
        </w:rPr>
        <w:t>)</w:t>
      </w:r>
      <w:r w:rsidRPr="00EA09EB">
        <w:rPr>
          <w:rFonts w:hint="cs"/>
          <w:rtl/>
        </w:rPr>
        <w:t>، تقتضي التلازم وعدم الانفكاك بين القرآن والعترة الطاهرة. وإنّ الدين يُعَدُّ وحياً ناقصاً ما لم يتمّ تبيينه وتفصيل تعاليمه من قبل المعصومين</w:t>
      </w:r>
      <w:r w:rsidRPr="00064619">
        <w:rPr>
          <w:rFonts w:cs="Taher"/>
          <w:sz w:val="32"/>
          <w:vertAlign w:val="superscript"/>
          <w:rtl/>
        </w:rPr>
        <w:t>(</w:t>
      </w:r>
      <w:r w:rsidRPr="00064619">
        <w:rPr>
          <w:rStyle w:val="FootnoteReference"/>
          <w:rFonts w:cs="Taher"/>
          <w:sz w:val="32"/>
          <w:rtl/>
        </w:rPr>
        <w:footnoteReference w:id="65"/>
      </w:r>
      <w:r w:rsidRPr="00064619">
        <w:rPr>
          <w:rFonts w:cs="Taher"/>
          <w:sz w:val="32"/>
          <w:vertAlign w:val="superscript"/>
          <w:rtl/>
        </w:rPr>
        <w:t>)</w:t>
      </w:r>
      <w:r w:rsidRPr="00EA09EB">
        <w:rPr>
          <w:rFonts w:hint="cs"/>
          <w:rtl/>
        </w:rPr>
        <w:t>. وإنّ يوم إكمال الدين وإتمام النعمة هو اليوم الذي أعلنت فيه ولاية العترة الطاهرة، إلى جانب كتاب الله ورسوله</w:t>
      </w:r>
      <w:r w:rsidRPr="00EA09EB">
        <w:rPr>
          <w:rFonts w:hint="cs"/>
          <w:rtl/>
        </w:rPr>
        <w:sym w:font="Roumouz" w:char="F02D"/>
      </w:r>
      <w:r w:rsidRPr="00EA09EB">
        <w:rPr>
          <w:rFonts w:hint="cs"/>
          <w:rtl/>
        </w:rPr>
        <w:t>: ﴿</w:t>
      </w:r>
      <w:r w:rsidRPr="007A340E">
        <w:rPr>
          <w:b/>
          <w:bCs/>
          <w:rtl/>
        </w:rPr>
        <w:t>الْيَوْمَ أَكْمَلْتُ لَكُمْ دِينَكُمْ وَأَتْمَمْتُ عَلَيْكُمْ نِعْمَتِي</w:t>
      </w:r>
      <w:r w:rsidRPr="00EA09EB">
        <w:rPr>
          <w:rFonts w:hint="cs"/>
          <w:rtl/>
        </w:rPr>
        <w:t>﴾(المائدة: 3)</w:t>
      </w:r>
      <w:r w:rsidRPr="00064619">
        <w:rPr>
          <w:rFonts w:cs="Taher"/>
          <w:sz w:val="32"/>
          <w:vertAlign w:val="superscript"/>
          <w:rtl/>
        </w:rPr>
        <w:t>(</w:t>
      </w:r>
      <w:r w:rsidRPr="00064619">
        <w:rPr>
          <w:rStyle w:val="FootnoteReference"/>
          <w:rFonts w:cs="Taher"/>
          <w:sz w:val="32"/>
          <w:rtl/>
        </w:rPr>
        <w:footnoteReference w:id="66"/>
      </w:r>
      <w:r w:rsidRPr="00064619">
        <w:rPr>
          <w:rFonts w:cs="Taher"/>
          <w:sz w:val="32"/>
          <w:vertAlign w:val="superscript"/>
          <w:rtl/>
        </w:rPr>
        <w:t>)</w:t>
      </w:r>
      <w:r w:rsidRPr="00EA09EB">
        <w:rPr>
          <w:rFonts w:hint="cs"/>
          <w:rtl/>
        </w:rPr>
        <w:t>.</w:t>
      </w:r>
    </w:p>
    <w:p w:rsidR="00EA09EB" w:rsidRPr="00A32FC0" w:rsidRDefault="00EA09EB" w:rsidP="00EA09EB">
      <w:pPr>
        <w:rPr>
          <w:rtl/>
        </w:rPr>
      </w:pPr>
      <w:r w:rsidRPr="00A32FC0">
        <w:rPr>
          <w:rFonts w:hint="cs"/>
          <w:rtl/>
        </w:rPr>
        <w:t>8</w:t>
      </w:r>
      <w:r w:rsidRPr="00A32FC0">
        <w:rPr>
          <w:rtl/>
        </w:rPr>
        <w:t>ـ</w:t>
      </w:r>
      <w:r w:rsidRPr="00A32FC0">
        <w:rPr>
          <w:rFonts w:hint="cs"/>
          <w:rtl/>
        </w:rPr>
        <w:t xml:space="preserve"> إن بيان الوحي وتفصيل الأحكام الإلهيّة من قبل العترة الطاهرة ليس من سنخ نقل وتوضيح وتفسير الصحابة والتابعين، وليس من قبيل اجتهاد واستنباط وتفقُّه المجتهدين والفقهاء والمفسِّرين، بل هو نصّ الدين، وعين الحقّ والواقع. فهم</w:t>
      </w:r>
      <w:r w:rsidR="007A340E">
        <w:rPr>
          <w:rFonts w:hint="cs"/>
          <w:rtl/>
        </w:rPr>
        <w:t>^</w:t>
      </w:r>
      <w:r w:rsidRPr="00A32FC0">
        <w:rPr>
          <w:rFonts w:hint="cs"/>
          <w:rtl/>
        </w:rPr>
        <w:t xml:space="preserve"> لا يخطئون في بيانهم للأحكام. وهذه المواصفات هي استمرارٌ لعلم النبيّ اللَّدُنِيّ.</w:t>
      </w:r>
    </w:p>
    <w:p w:rsidR="00EA09EB" w:rsidRPr="00EA09EB" w:rsidRDefault="00EA09EB" w:rsidP="007A340E">
      <w:pPr>
        <w:ind w:firstLine="283"/>
        <w:rPr>
          <w:rtl/>
        </w:rPr>
      </w:pPr>
      <w:r w:rsidRPr="00EA09EB">
        <w:rPr>
          <w:rFonts w:hint="cs"/>
          <w:rtl/>
        </w:rPr>
        <w:t xml:space="preserve">والحال أنّه </w:t>
      </w:r>
      <w:r w:rsidRPr="007A340E">
        <w:rPr>
          <w:rFonts w:hint="cs"/>
          <w:b/>
          <w:bCs/>
          <w:rtl/>
        </w:rPr>
        <w:t>أولاً</w:t>
      </w:r>
      <w:r w:rsidRPr="00EA09EB">
        <w:rPr>
          <w:rFonts w:hint="cs"/>
          <w:rtl/>
        </w:rPr>
        <w:t>: يجب أن يسند علماء الدين أقوالهم إلى النصوص الدينيّة، أي كتاب الله وسنّة رسوله وأهل بيته، وبدون هذا السند لا يلتفت إلى قولهم. وبعبارة أخرى: إن اعتبار رأي عالم الدين ـ الذي هو أعمّ من المفسِّر والمتكلِّم والفقيه والمحدِّث... ـ متوقِّف على استناد رأيه إلى المصادر الدينية الأصيلة. والحال أن هذه النصوص الدينية لا تحتاج إلى ما يثبتها.</w:t>
      </w:r>
    </w:p>
    <w:p w:rsidR="00EA09EB" w:rsidRPr="00EA09EB" w:rsidRDefault="00EA09EB" w:rsidP="007A340E">
      <w:pPr>
        <w:ind w:firstLine="283"/>
        <w:rPr>
          <w:rtl/>
        </w:rPr>
      </w:pPr>
      <w:r w:rsidRPr="007A340E">
        <w:rPr>
          <w:rFonts w:hint="cs"/>
          <w:b/>
          <w:bCs/>
          <w:rtl/>
        </w:rPr>
        <w:t>ثانياً</w:t>
      </w:r>
      <w:r w:rsidRPr="00EA09EB">
        <w:rPr>
          <w:rFonts w:hint="cs"/>
          <w:rtl/>
        </w:rPr>
        <w:t>: إنّ علماء الدين ـ على فرض عدالتهم ـ ليسوا بمعصومين، ويمكن الخطأ في حقّهم. والحال أن الخطأ في حق الأئمة (عمداً أو سهواً) غير ممكن.</w:t>
      </w:r>
    </w:p>
    <w:p w:rsidR="00EA09EB" w:rsidRPr="00EA09EB" w:rsidRDefault="00EA09EB" w:rsidP="007A340E">
      <w:pPr>
        <w:ind w:firstLine="283"/>
        <w:rPr>
          <w:rtl/>
        </w:rPr>
      </w:pPr>
      <w:r w:rsidRPr="007A340E">
        <w:rPr>
          <w:rFonts w:hint="cs"/>
          <w:b/>
          <w:bCs/>
          <w:rtl/>
        </w:rPr>
        <w:t>ثالثاً</w:t>
      </w:r>
      <w:r w:rsidRPr="00EA09EB">
        <w:rPr>
          <w:rFonts w:hint="cs"/>
          <w:rtl/>
        </w:rPr>
        <w:t>: إنّ رأي أهل البيت</w:t>
      </w:r>
      <w:r w:rsidR="007A340E">
        <w:rPr>
          <w:rFonts w:hint="cs"/>
          <w:rtl/>
        </w:rPr>
        <w:t>^</w:t>
      </w:r>
      <w:r w:rsidRPr="00EA09EB">
        <w:rPr>
          <w:rFonts w:hint="cs"/>
          <w:rtl/>
        </w:rPr>
        <w:t xml:space="preserve"> هو من الدين يقيناً، أما اجتهاد العلماء واستنباط الفقهاء </w:t>
      </w:r>
      <w:r w:rsidRPr="00EA09EB">
        <w:rPr>
          <w:rtl/>
        </w:rPr>
        <w:t>ـ</w:t>
      </w:r>
      <w:r w:rsidRPr="00EA09EB">
        <w:rPr>
          <w:rFonts w:hint="cs"/>
          <w:rtl/>
        </w:rPr>
        <w:t xml:space="preserve"> وخاصّة في الموارد الخلافية </w:t>
      </w:r>
      <w:r w:rsidRPr="00EA09EB">
        <w:rPr>
          <w:rtl/>
        </w:rPr>
        <w:t>ـ</w:t>
      </w:r>
      <w:r w:rsidRPr="00EA09EB">
        <w:rPr>
          <w:rFonts w:hint="cs"/>
          <w:rtl/>
        </w:rPr>
        <w:t xml:space="preserve"> فهو من الدين من باب الظنّ، وإنْ كان هذا الظن معتبراً شرعاً.</w:t>
      </w:r>
    </w:p>
    <w:p w:rsidR="00EA09EB" w:rsidRPr="00A32FC0" w:rsidRDefault="00EA09EB" w:rsidP="00635BE2">
      <w:pPr>
        <w:pStyle w:val="Normal84"/>
        <w:rPr>
          <w:rtl/>
        </w:rPr>
      </w:pPr>
      <w:r w:rsidRPr="00A32FC0">
        <w:rPr>
          <w:rFonts w:hint="cs"/>
          <w:rtl/>
        </w:rPr>
        <w:t>وبناءً على هذا لا يمكن للصحابة والتابعين أو الفقهاء والمجتهدين أن يقوموا بدور الأئمة، ويحلّوا محلَّهم في حاجة الناس إليهم؛ فإن وظيفتهم هي إرجاع الفروع إلى الأصل، واستنباط أحكام الدين استناداً إلى إرشادات وتعاليم الأئمة.</w:t>
      </w:r>
    </w:p>
    <w:p w:rsidR="00EA09EB" w:rsidRPr="00EA09EB" w:rsidRDefault="00EA09EB" w:rsidP="007A340E">
      <w:pPr>
        <w:ind w:firstLine="283"/>
        <w:rPr>
          <w:rtl/>
        </w:rPr>
      </w:pPr>
      <w:r w:rsidRPr="00EA09EB">
        <w:rPr>
          <w:rFonts w:hint="cs"/>
          <w:rtl/>
        </w:rPr>
        <w:t>9</w:t>
      </w:r>
      <w:r w:rsidRPr="00EA09EB">
        <w:rPr>
          <w:rtl/>
        </w:rPr>
        <w:t>ـ</w:t>
      </w:r>
      <w:r w:rsidRPr="00EA09EB">
        <w:rPr>
          <w:rFonts w:hint="cs"/>
          <w:rtl/>
        </w:rPr>
        <w:t xml:space="preserve"> إنّ حاجة المجتمع إلى ولاية أهل البيت</w:t>
      </w:r>
      <w:r w:rsidR="007A340E">
        <w:rPr>
          <w:rFonts w:hint="cs"/>
          <w:rtl/>
        </w:rPr>
        <w:t>^</w:t>
      </w:r>
      <w:r w:rsidRPr="00EA09EB">
        <w:rPr>
          <w:rFonts w:hint="cs"/>
          <w:rtl/>
        </w:rPr>
        <w:t xml:space="preserve"> هي حاجة دائمة، لا تختصّ بفترة معيَّنة، ولا بزمان خاصّ، والفهم الصحيح للدين يحتّم علينا أن ننظر ـ على الدوام ـ إلى التعاليم الدينية من وجهة نظر المعصومين. وإنّ تعاليم أهل البيت من الأهمّية بمكان أنّه لا يمكن أن نتوق إلى الفهم الصحيح للدين من دون الرجوع إليها. وإنّ منهج تفسير القرآن بالقرآن هو من تعاليمهم</w:t>
      </w:r>
      <w:r w:rsidR="007A340E">
        <w:rPr>
          <w:rFonts w:hint="cs"/>
          <w:rtl/>
        </w:rPr>
        <w:t>^</w:t>
      </w:r>
      <w:r w:rsidRPr="00064619">
        <w:rPr>
          <w:rFonts w:cs="Taher"/>
          <w:sz w:val="32"/>
          <w:vertAlign w:val="superscript"/>
          <w:rtl/>
        </w:rPr>
        <w:t>(</w:t>
      </w:r>
      <w:r w:rsidRPr="00064619">
        <w:rPr>
          <w:rStyle w:val="FootnoteReference"/>
          <w:rFonts w:cs="Taher"/>
          <w:sz w:val="32"/>
          <w:rtl/>
        </w:rPr>
        <w:footnoteReference w:id="67"/>
      </w:r>
      <w:r w:rsidRPr="00064619">
        <w:rPr>
          <w:rFonts w:cs="Taher"/>
          <w:sz w:val="32"/>
          <w:vertAlign w:val="superscript"/>
          <w:rtl/>
        </w:rPr>
        <w:t>)</w:t>
      </w:r>
      <w:r w:rsidRPr="00EA09EB">
        <w:rPr>
          <w:rFonts w:hint="cs"/>
          <w:rtl/>
        </w:rPr>
        <w:t>. كما أنهم أوضحوا الكثير من الأسرار والدقائق في المباحث الاعتقادية</w:t>
      </w:r>
      <w:r w:rsidRPr="00064619">
        <w:rPr>
          <w:rFonts w:cs="Taher"/>
          <w:sz w:val="32"/>
          <w:vertAlign w:val="superscript"/>
          <w:rtl/>
        </w:rPr>
        <w:t>(</w:t>
      </w:r>
      <w:r w:rsidRPr="00064619">
        <w:rPr>
          <w:rStyle w:val="FootnoteReference"/>
          <w:rFonts w:cs="Taher"/>
          <w:sz w:val="32"/>
          <w:rtl/>
        </w:rPr>
        <w:footnoteReference w:id="68"/>
      </w:r>
      <w:r w:rsidRPr="00064619">
        <w:rPr>
          <w:rFonts w:cs="Taher"/>
          <w:sz w:val="32"/>
          <w:vertAlign w:val="superscript"/>
          <w:rtl/>
        </w:rPr>
        <w:t>)</w:t>
      </w:r>
      <w:r w:rsidRPr="00EA09EB">
        <w:rPr>
          <w:rFonts w:hint="cs"/>
          <w:rtl/>
        </w:rPr>
        <w:t>. وقد بيَّنوا الكثير من جزئيّات الأحكام الشرعية</w:t>
      </w:r>
      <w:r w:rsidRPr="00064619">
        <w:rPr>
          <w:rFonts w:cs="Taher"/>
          <w:sz w:val="32"/>
          <w:vertAlign w:val="superscript"/>
          <w:rtl/>
        </w:rPr>
        <w:t>(</w:t>
      </w:r>
      <w:r w:rsidRPr="00064619">
        <w:rPr>
          <w:rStyle w:val="FootnoteReference"/>
          <w:rFonts w:cs="Taher"/>
          <w:sz w:val="32"/>
          <w:rtl/>
        </w:rPr>
        <w:footnoteReference w:id="69"/>
      </w:r>
      <w:r w:rsidRPr="00064619">
        <w:rPr>
          <w:rFonts w:cs="Taher"/>
          <w:sz w:val="32"/>
          <w:vertAlign w:val="superscript"/>
          <w:rtl/>
        </w:rPr>
        <w:t>)</w:t>
      </w:r>
      <w:r w:rsidRPr="00EA09EB">
        <w:rPr>
          <w:rFonts w:hint="cs"/>
          <w:rtl/>
        </w:rPr>
        <w:t>. وما نقل عنهم</w:t>
      </w:r>
      <w:r w:rsidR="007A340E">
        <w:rPr>
          <w:rFonts w:hint="cs"/>
          <w:rtl/>
        </w:rPr>
        <w:t>^</w:t>
      </w:r>
      <w:r w:rsidRPr="00EA09EB">
        <w:rPr>
          <w:rFonts w:hint="cs"/>
          <w:rtl/>
        </w:rPr>
        <w:t xml:space="preserve"> من تعاليم وتفصيلات للأحكام يعدّ أكثر مئة مرّة من حجم القرآن وما نقل عن النبيّ</w:t>
      </w:r>
      <w:r w:rsidRPr="00EA09EB">
        <w:rPr>
          <w:rFonts w:hint="cs"/>
          <w:rtl/>
        </w:rPr>
        <w:sym w:font="Roumouz" w:char="F02D"/>
      </w:r>
      <w:r w:rsidRPr="00064619">
        <w:rPr>
          <w:rFonts w:cs="Taher"/>
          <w:sz w:val="32"/>
          <w:vertAlign w:val="superscript"/>
          <w:rtl/>
        </w:rPr>
        <w:t>(</w:t>
      </w:r>
      <w:r w:rsidRPr="00064619">
        <w:rPr>
          <w:rStyle w:val="FootnoteReference"/>
          <w:rFonts w:cs="Taher"/>
          <w:sz w:val="32"/>
          <w:rtl/>
        </w:rPr>
        <w:footnoteReference w:id="70"/>
      </w:r>
      <w:r w:rsidRPr="00064619">
        <w:rPr>
          <w:rFonts w:cs="Taher"/>
          <w:sz w:val="32"/>
          <w:vertAlign w:val="superscript"/>
          <w:rtl/>
        </w:rPr>
        <w:t>)</w:t>
      </w:r>
      <w:r w:rsidRPr="00EA09EB">
        <w:rPr>
          <w:rFonts w:hint="cs"/>
          <w:rtl/>
        </w:rPr>
        <w:t>.</w:t>
      </w:r>
    </w:p>
    <w:p w:rsidR="00EA09EB" w:rsidRPr="00A32FC0" w:rsidRDefault="00EA09EB" w:rsidP="00635BE2">
      <w:pPr>
        <w:pStyle w:val="Normal84"/>
        <w:rPr>
          <w:rtl/>
        </w:rPr>
      </w:pPr>
      <w:r w:rsidRPr="00A32FC0">
        <w:rPr>
          <w:rFonts w:hint="cs"/>
          <w:rtl/>
        </w:rPr>
        <w:t>10</w:t>
      </w:r>
      <w:r w:rsidRPr="00A32FC0">
        <w:rPr>
          <w:rtl/>
        </w:rPr>
        <w:t>ـ</w:t>
      </w:r>
      <w:r w:rsidRPr="00A32FC0">
        <w:rPr>
          <w:rFonts w:hint="cs"/>
          <w:rtl/>
        </w:rPr>
        <w:t xml:space="preserve"> إنّ ولاية أهل البيت</w:t>
      </w:r>
      <w:r w:rsidR="007A340E">
        <w:rPr>
          <w:rFonts w:hint="cs"/>
          <w:rtl/>
        </w:rPr>
        <w:t>^</w:t>
      </w:r>
      <w:r w:rsidRPr="00A32FC0">
        <w:rPr>
          <w:rFonts w:hint="cs"/>
          <w:rtl/>
        </w:rPr>
        <w:t xml:space="preserve"> تقتضي التقرُّب العمليّ للمسلمين منهم</w:t>
      </w:r>
      <w:r w:rsidR="007A340E">
        <w:rPr>
          <w:rFonts w:hint="cs"/>
          <w:rtl/>
        </w:rPr>
        <w:t>^</w:t>
      </w:r>
      <w:r w:rsidRPr="00A32FC0">
        <w:rPr>
          <w:rFonts w:hint="cs"/>
          <w:rtl/>
        </w:rPr>
        <w:t>. ويعتبر الإمام إنساناً كاملاً وأسوة خالدة للبشرية. وإنّ حجّية فعله وتقريره وسلوكه في الظروف والأزمنة المختلفة كحجّية قوله. وإنّ الاعتقاد بالولاية يقتضي التمسُّك بهم. والخلاصة أنّ الإمام هو الشخص الذي يُقتدى بقوله، ويُتأسى بفعله.</w:t>
      </w:r>
    </w:p>
    <w:p w:rsidR="00EA09EB" w:rsidRPr="00A32FC0" w:rsidRDefault="00EA09EB" w:rsidP="00635BE2">
      <w:pPr>
        <w:pStyle w:val="Normal84"/>
        <w:rPr>
          <w:rtl/>
        </w:rPr>
      </w:pPr>
      <w:r w:rsidRPr="00A32FC0">
        <w:rPr>
          <w:rFonts w:hint="cs"/>
          <w:rtl/>
        </w:rPr>
        <w:t>11</w:t>
      </w:r>
      <w:r w:rsidRPr="00A32FC0">
        <w:rPr>
          <w:rtl/>
        </w:rPr>
        <w:t>ـ</w:t>
      </w:r>
      <w:r w:rsidRPr="00A32FC0">
        <w:rPr>
          <w:rFonts w:hint="cs"/>
          <w:rtl/>
        </w:rPr>
        <w:t xml:space="preserve"> هناك تقسيمان هامّان للولاية:</w:t>
      </w:r>
    </w:p>
    <w:p w:rsidR="00EA09EB" w:rsidRPr="00EA09EB" w:rsidRDefault="00EA09EB" w:rsidP="007A340E">
      <w:pPr>
        <w:rPr>
          <w:rtl/>
        </w:rPr>
      </w:pPr>
      <w:r w:rsidRPr="007A340E">
        <w:rPr>
          <w:rFonts w:hint="cs"/>
          <w:b/>
          <w:bCs/>
          <w:rtl/>
        </w:rPr>
        <w:t>الأول</w:t>
      </w:r>
      <w:r w:rsidRPr="00EA09EB">
        <w:rPr>
          <w:rFonts w:cs="Abz-1 (Lotus)" w:hint="cs"/>
          <w:rtl/>
        </w:rPr>
        <w:t>: تقسيم الولاية إلى: ولاية ذاتيّة؛ وولاية غيريّة.</w:t>
      </w:r>
    </w:p>
    <w:p w:rsidR="00EA09EB" w:rsidRPr="00EA09EB" w:rsidRDefault="00EA09EB" w:rsidP="007A340E">
      <w:pPr>
        <w:rPr>
          <w:rtl/>
        </w:rPr>
      </w:pPr>
      <w:r w:rsidRPr="007A340E">
        <w:rPr>
          <w:rFonts w:hint="cs"/>
          <w:b/>
          <w:bCs/>
          <w:rtl/>
        </w:rPr>
        <w:t>الثاني</w:t>
      </w:r>
      <w:r w:rsidRPr="00EA09EB">
        <w:rPr>
          <w:rFonts w:cs="Abz-1 (Lotus)" w:hint="cs"/>
          <w:rtl/>
        </w:rPr>
        <w:t>: تقسيم الولاية إلى: ولاية تكوينيّة؛ وولاية تشريعيّة.</w:t>
      </w:r>
    </w:p>
    <w:p w:rsidR="00EA09EB" w:rsidRPr="00A32FC0" w:rsidRDefault="00EA09EB" w:rsidP="00635BE2">
      <w:pPr>
        <w:pStyle w:val="Normal84"/>
        <w:rPr>
          <w:rtl/>
        </w:rPr>
      </w:pPr>
      <w:r w:rsidRPr="00A32FC0">
        <w:rPr>
          <w:rFonts w:hint="cs"/>
          <w:rtl/>
        </w:rPr>
        <w:t>أما الولاية الذاتية فهي الولاية التي لا تكون ناشئة عن الغير، بل تكون موجودة في الوليّ ذاتاً، وناشئة من نفسه. والولاية الغيرية هي التي تكون ناشئة عن الغير، وخارجة عن ذاته، وتفوَّض له من قبل الوليّ الذاتيّ.</w:t>
      </w:r>
    </w:p>
    <w:p w:rsidR="00EA09EB" w:rsidRPr="00A32FC0" w:rsidRDefault="00EA09EB" w:rsidP="00EA09EB">
      <w:pPr>
        <w:rPr>
          <w:rtl/>
        </w:rPr>
      </w:pPr>
      <w:r w:rsidRPr="00A32FC0">
        <w:rPr>
          <w:rFonts w:hint="cs"/>
          <w:rtl/>
        </w:rPr>
        <w:t>أما الولاية التكوينية فهي عبارة عن التصرُّف في أمور الخلق وإدارة شؤون الكون. وإيجادُ الموجودات هو من الولاية التكوينيّة. والولاية التشريعية هي ولاية تكتسب من القانون، ويعتبر حقّ التقنين من أهمّ مصاديق الولاية التشريعيّة.</w:t>
      </w:r>
    </w:p>
    <w:p w:rsidR="00EA09EB" w:rsidRPr="00A32FC0" w:rsidRDefault="00EA09EB" w:rsidP="00EA09EB">
      <w:pPr>
        <w:rPr>
          <w:rtl/>
        </w:rPr>
      </w:pPr>
      <w:r w:rsidRPr="00EA09EB">
        <w:rPr>
          <w:rFonts w:hint="cs"/>
          <w:rtl/>
        </w:rPr>
        <w:t>تختصّ بالولاية الذاتيّة ذات الله تعالى، فهو صاحب الولاية التكوينية الذاتية. وكلّ ولاية تشريعية يجب أن تكون مفوَّضة ومأذوناً بها من قبل الله سبحانه وتعالى. وقد فوَّض بها الرسول الأكرم</w:t>
      </w:r>
      <w:r w:rsidRPr="00EA09EB">
        <w:rPr>
          <w:rFonts w:hint="cs"/>
          <w:rtl/>
        </w:rPr>
        <w:sym w:font="Roumouz" w:char="F02D"/>
      </w:r>
      <w:r w:rsidRPr="00EA09EB">
        <w:rPr>
          <w:rFonts w:hint="cs"/>
          <w:rtl/>
        </w:rPr>
        <w:t>، كما هو واضح. أما الأئمّة فإنّهم وإنْ عُدُّوا ممَّنْ فُوِّض لهم حقّ التشريع، إلاّ أنهم لم يستعملوا هذا الحق، بل كانوا دائماً مخبرين عن تشريع الله تعالى ورسوله</w:t>
      </w:r>
      <w:r w:rsidRPr="00EA09EB">
        <w:rPr>
          <w:rFonts w:hint="cs"/>
          <w:rtl/>
        </w:rPr>
        <w:sym w:font="Roumouz" w:char="F02D"/>
      </w:r>
      <w:r w:rsidRPr="00064619">
        <w:rPr>
          <w:rFonts w:cs="Taher"/>
          <w:vertAlign w:val="superscript"/>
          <w:rtl/>
        </w:rPr>
        <w:t>(</w:t>
      </w:r>
      <w:r w:rsidRPr="00064619">
        <w:rPr>
          <w:rStyle w:val="FootnoteReference"/>
          <w:rFonts w:cs="Taher"/>
          <w:sz w:val="32"/>
          <w:rtl/>
        </w:rPr>
        <w:footnoteReference w:id="71"/>
      </w:r>
      <w:r w:rsidRPr="00064619">
        <w:rPr>
          <w:rFonts w:cs="Taher"/>
          <w:vertAlign w:val="superscript"/>
          <w:rtl/>
        </w:rPr>
        <w:t>)</w:t>
      </w:r>
      <w:r w:rsidRPr="00A32FC0">
        <w:rPr>
          <w:rFonts w:hint="cs"/>
          <w:rtl/>
        </w:rPr>
        <w:t>.</w:t>
      </w:r>
    </w:p>
    <w:p w:rsidR="00EA09EB" w:rsidRPr="00A32FC0" w:rsidRDefault="00EA09EB" w:rsidP="00635BE2">
      <w:pPr>
        <w:pStyle w:val="Normal93"/>
        <w:rPr>
          <w:rtl/>
        </w:rPr>
      </w:pPr>
      <w:r w:rsidRPr="00A32FC0">
        <w:rPr>
          <w:rFonts w:hint="cs"/>
          <w:rtl/>
        </w:rPr>
        <w:t>12</w:t>
      </w:r>
      <w:r w:rsidRPr="00A32FC0">
        <w:rPr>
          <w:rtl/>
        </w:rPr>
        <w:t>ـ</w:t>
      </w:r>
      <w:r w:rsidRPr="00A32FC0">
        <w:rPr>
          <w:rFonts w:hint="cs"/>
          <w:rtl/>
        </w:rPr>
        <w:t xml:space="preserve"> من وجهة نظر الشيعة فإنّ المعصومين، أي النبيّ</w:t>
      </w:r>
      <w:r w:rsidRPr="00A32FC0">
        <w:rPr>
          <w:rFonts w:hint="cs"/>
          <w:rtl/>
        </w:rPr>
        <w:sym w:font="Roumouz" w:char="F02D"/>
      </w:r>
      <w:r w:rsidRPr="00A32FC0">
        <w:rPr>
          <w:rFonts w:hint="cs"/>
          <w:rtl/>
        </w:rPr>
        <w:t xml:space="preserve"> وأهل بيته</w:t>
      </w:r>
      <w:r w:rsidR="007A340E">
        <w:rPr>
          <w:rFonts w:hint="cs"/>
          <w:rtl/>
        </w:rPr>
        <w:t>^</w:t>
      </w:r>
      <w:r w:rsidRPr="00A32FC0">
        <w:rPr>
          <w:rFonts w:hint="cs"/>
          <w:rtl/>
        </w:rPr>
        <w:t>، هم من أصحاب مرتبة من مراتب الولاية التكوينية الغيريّة، ولهم سلطة غيبيّة على الإنسان والكون، ويشرفون على الأرواح والنفوس والقلوب، وهم وسائط فيض الله بإذنه تعالى. إنّ الولاية التكوينية، أو ولاء التصرُّف، هو فصلٌ مشتركٌ بين الكلام الشيعيّ والعرفان. إنّ ما صدر من المعصومين من معجزات هو من مظاهر هذه الولاية. وإنّ أمر الهداية الروحيّة بيد الإمام</w:t>
      </w:r>
      <w:r>
        <w:rPr>
          <w:rFonts w:hint="cs"/>
          <w:rtl/>
        </w:rPr>
        <w:t>×</w:t>
      </w:r>
      <w:r w:rsidRPr="00A32FC0">
        <w:rPr>
          <w:rFonts w:hint="cs"/>
          <w:rtl/>
        </w:rPr>
        <w:t xml:space="preserve">، ولا تخلو الأرض من حجّة لله </w:t>
      </w:r>
      <w:r w:rsidRPr="00A32FC0">
        <w:rPr>
          <w:rtl/>
        </w:rPr>
        <w:t>ـ</w:t>
      </w:r>
      <w:r w:rsidRPr="00A32FC0">
        <w:rPr>
          <w:rFonts w:hint="cs"/>
          <w:rtl/>
        </w:rPr>
        <w:t xml:space="preserve"> صاحب الولاية الروحيّة </w:t>
      </w:r>
      <w:r w:rsidRPr="00A32FC0">
        <w:rPr>
          <w:rtl/>
        </w:rPr>
        <w:t>ـ</w:t>
      </w:r>
      <w:r w:rsidRPr="00A32FC0">
        <w:rPr>
          <w:rFonts w:hint="cs"/>
          <w:rtl/>
        </w:rPr>
        <w:t>، وإنّ إحدى بركات وجود الإمام الحجة</w:t>
      </w:r>
      <w:r w:rsidRPr="00A32FC0">
        <w:rPr>
          <w:rFonts w:hint="cs"/>
          <w:rtl/>
        </w:rPr>
        <w:sym w:font="Abz Roumouz" w:char="F02E"/>
      </w:r>
      <w:r w:rsidRPr="00A32FC0">
        <w:rPr>
          <w:rFonts w:hint="cs"/>
          <w:rtl/>
        </w:rPr>
        <w:t xml:space="preserve"> هو استفادة العالم من ولايته الروحيّة. إنّ الولاية الروحية هي من المسائل الاعتقادية، إلاّ أنّها لا تعدّ من أركان التشيُّع، ولا تعتبر من المسائل الخلافيّة بين السنّة والشيعة</w:t>
      </w:r>
      <w:r w:rsidRPr="00064619">
        <w:rPr>
          <w:rFonts w:cs="Taher"/>
          <w:vertAlign w:val="superscript"/>
          <w:rtl/>
        </w:rPr>
        <w:t>(</w:t>
      </w:r>
      <w:r w:rsidRPr="00064619">
        <w:rPr>
          <w:rStyle w:val="FootnoteReference"/>
          <w:rFonts w:cs="Taher"/>
          <w:sz w:val="32"/>
          <w:rtl/>
        </w:rPr>
        <w:footnoteReference w:id="72"/>
      </w:r>
      <w:r w:rsidRPr="00064619">
        <w:rPr>
          <w:rFonts w:cs="Taher"/>
          <w:vertAlign w:val="superscript"/>
          <w:rtl/>
        </w:rPr>
        <w:t>)</w:t>
      </w:r>
      <w:r w:rsidRPr="00A32FC0">
        <w:rPr>
          <w:rFonts w:hint="cs"/>
          <w:rtl/>
        </w:rPr>
        <w:t>.</w:t>
      </w:r>
    </w:p>
    <w:p w:rsidR="00EA09EB" w:rsidRPr="00A32FC0" w:rsidRDefault="00EA09EB" w:rsidP="00EA09EB">
      <w:pPr>
        <w:rPr>
          <w:rtl/>
        </w:rPr>
      </w:pPr>
      <w:r w:rsidRPr="00A32FC0">
        <w:rPr>
          <w:rFonts w:hint="cs"/>
          <w:rtl/>
        </w:rPr>
        <w:t>13</w:t>
      </w:r>
      <w:r w:rsidRPr="00A32FC0">
        <w:rPr>
          <w:rtl/>
        </w:rPr>
        <w:t>ـ</w:t>
      </w:r>
      <w:r w:rsidRPr="00A32FC0">
        <w:rPr>
          <w:rFonts w:hint="cs"/>
          <w:rtl/>
        </w:rPr>
        <w:t xml:space="preserve"> في زمان النبيّ أوكل الله أمر الزعامة السياسية، وأمر القضاء في المنازعات بين المسلمين، إليه</w:t>
      </w:r>
      <w:r w:rsidRPr="00A32FC0">
        <w:rPr>
          <w:rFonts w:hint="cs"/>
          <w:rtl/>
        </w:rPr>
        <w:sym w:font="Roumouz" w:char="F02D"/>
      </w:r>
      <w:r w:rsidRPr="00A32FC0">
        <w:rPr>
          <w:rFonts w:hint="cs"/>
          <w:rtl/>
        </w:rPr>
        <w:t>. ويعتقد الشيعة أن الله قد نصّب ـ بعد وفاة النبيّ ـ الأئمّة الأطهار للزعامة السياسية والقضاء، وأنّ إطاعتهم بعنوان أنّهم أولياء أمور المسلمين واجبةٌ. وتعدّ الولاية في القضاء والزعامة من شؤون ولاية أهل البيت</w:t>
      </w:r>
      <w:r w:rsidR="007A340E">
        <w:rPr>
          <w:rFonts w:hint="cs"/>
          <w:rtl/>
        </w:rPr>
        <w:t>^</w:t>
      </w:r>
      <w:r w:rsidRPr="00064619">
        <w:rPr>
          <w:rFonts w:cs="Taher"/>
          <w:vertAlign w:val="superscript"/>
          <w:rtl/>
        </w:rPr>
        <w:t>(</w:t>
      </w:r>
      <w:r w:rsidRPr="00064619">
        <w:rPr>
          <w:rStyle w:val="FootnoteReference"/>
          <w:rFonts w:cs="Taher"/>
          <w:sz w:val="32"/>
          <w:rtl/>
        </w:rPr>
        <w:footnoteReference w:id="73"/>
      </w:r>
      <w:r w:rsidRPr="00064619">
        <w:rPr>
          <w:rFonts w:cs="Taher"/>
          <w:vertAlign w:val="superscript"/>
          <w:rtl/>
        </w:rPr>
        <w:t>)</w:t>
      </w:r>
      <w:r w:rsidRPr="00EA09EB">
        <w:rPr>
          <w:rFonts w:hint="cs"/>
          <w:rtl/>
        </w:rPr>
        <w:t>. وقد أولى الإسلام اهتماماً بالشأن السياسي والحكومي والحقوق العامة؛ لأجل حفظ التراث الروحيّ، أي التوحيد، والمعارف الإلهية، والضوابط الأخلاقية والاجتماعية للدين. لا تعد الأحكام القضائية والسياسيّة للنبيّ</w:t>
      </w:r>
      <w:r w:rsidRPr="00EA09EB">
        <w:rPr>
          <w:rFonts w:hint="cs"/>
          <w:rtl/>
        </w:rPr>
        <w:sym w:font="Roumouz" w:char="F02D"/>
      </w:r>
      <w:r w:rsidRPr="00EA09EB">
        <w:rPr>
          <w:rFonts w:hint="cs"/>
          <w:rtl/>
        </w:rPr>
        <w:t xml:space="preserve"> والإمام عليّ</w:t>
      </w:r>
      <w:r>
        <w:rPr>
          <w:rFonts w:hint="cs"/>
          <w:rtl/>
        </w:rPr>
        <w:t>×</w:t>
      </w:r>
      <w:r w:rsidRPr="00EA09EB">
        <w:rPr>
          <w:rFonts w:hint="cs"/>
          <w:rtl/>
        </w:rPr>
        <w:t xml:space="preserve"> وحياً، ولكنها مستندة إلى الشواهد والقرائن والأدلّة. والمعصوم وإنْ كان هو الحاكم السياسيّ بأمر من الله، إلاّ أنّه ملزَمٌ بالشورى. وبما أنّ حكم الله غير قابل للشورى فأحكامهم القضائيّة والسياسيّة تختلف عن إبلاغ الوحي أو تبيينه</w:t>
      </w:r>
      <w:r w:rsidRPr="00064619">
        <w:rPr>
          <w:rFonts w:cs="Taher"/>
          <w:vertAlign w:val="superscript"/>
          <w:rtl/>
        </w:rPr>
        <w:t>(</w:t>
      </w:r>
      <w:r w:rsidRPr="00064619">
        <w:rPr>
          <w:rStyle w:val="FootnoteReference"/>
          <w:rFonts w:cs="Taher"/>
          <w:sz w:val="32"/>
          <w:rtl/>
        </w:rPr>
        <w:footnoteReference w:id="74"/>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rPr>
        <w:t>14</w:t>
      </w:r>
      <w:r w:rsidRPr="00A32FC0">
        <w:rPr>
          <w:rtl/>
        </w:rPr>
        <w:t>ـ</w:t>
      </w:r>
      <w:r w:rsidRPr="00A32FC0">
        <w:rPr>
          <w:rFonts w:hint="cs"/>
          <w:rtl/>
        </w:rPr>
        <w:t xml:space="preserve"> «إنّ المسألة الأهم في موضوع الإمامة هي مسألة خلافة النبيّ</w:t>
      </w:r>
      <w:r w:rsidRPr="00A32FC0">
        <w:rPr>
          <w:rFonts w:hint="cs"/>
          <w:rtl/>
        </w:rPr>
        <w:sym w:font="Roumouz" w:char="F02D"/>
      </w:r>
      <w:r w:rsidRPr="00A32FC0">
        <w:rPr>
          <w:rFonts w:hint="cs"/>
          <w:rtl/>
        </w:rPr>
        <w:t xml:space="preserve"> في بيان أمور الدين خارج دائرة الوحي»</w:t>
      </w:r>
      <w:r w:rsidRPr="00064619">
        <w:rPr>
          <w:rFonts w:cs="Taher"/>
          <w:vertAlign w:val="superscript"/>
          <w:rtl/>
        </w:rPr>
        <w:t>(</w:t>
      </w:r>
      <w:r w:rsidRPr="00064619">
        <w:rPr>
          <w:rStyle w:val="FootnoteReference"/>
          <w:rFonts w:cs="Taher"/>
          <w:sz w:val="32"/>
          <w:rtl/>
        </w:rPr>
        <w:footnoteReference w:id="75"/>
      </w:r>
      <w:r w:rsidRPr="00064619">
        <w:rPr>
          <w:rFonts w:cs="Taher"/>
          <w:vertAlign w:val="superscript"/>
          <w:rtl/>
        </w:rPr>
        <w:t>)</w:t>
      </w:r>
      <w:r w:rsidRPr="00EA09EB">
        <w:rPr>
          <w:rFonts w:hint="cs"/>
          <w:rtl/>
        </w:rPr>
        <w:t>. فهذا الجانب هو الأساس في مسألة الإمامة. «إنّ الحكومة هي أحد فروع الإمامة، ولذلك عندما تطرح مسألة الإمامة عند الشيعة علينا أن لا نقع في الخطأ بقولنا: إنّ مسألة الإمامة هي مسألة الحكومة»</w:t>
      </w:r>
      <w:r w:rsidRPr="00064619">
        <w:rPr>
          <w:rFonts w:cs="Taher"/>
          <w:vertAlign w:val="superscript"/>
          <w:rtl/>
        </w:rPr>
        <w:t>(</w:t>
      </w:r>
      <w:r w:rsidRPr="00064619">
        <w:rPr>
          <w:rStyle w:val="FootnoteReference"/>
          <w:rFonts w:cs="Taher"/>
          <w:sz w:val="32"/>
          <w:rtl/>
        </w:rPr>
        <w:footnoteReference w:id="76"/>
      </w:r>
      <w:r w:rsidRPr="00064619">
        <w:rPr>
          <w:rFonts w:cs="Taher"/>
          <w:vertAlign w:val="superscript"/>
          <w:rtl/>
        </w:rPr>
        <w:t>)</w:t>
      </w:r>
      <w:r w:rsidRPr="00EA09EB">
        <w:rPr>
          <w:rFonts w:hint="cs"/>
          <w:rtl/>
        </w:rPr>
        <w:t>. وقد «يقع بعض المتكلِّمين أحياناً في هذا الخطأ، الذي يتكرَّر كثيراً هذه الأيام»</w:t>
      </w:r>
      <w:r w:rsidRPr="00064619">
        <w:rPr>
          <w:rFonts w:cs="Taher"/>
          <w:vertAlign w:val="superscript"/>
          <w:rtl/>
        </w:rPr>
        <w:t>(</w:t>
      </w:r>
      <w:r w:rsidRPr="00064619">
        <w:rPr>
          <w:rStyle w:val="FootnoteReference"/>
          <w:rFonts w:cs="Taher"/>
          <w:sz w:val="32"/>
          <w:rtl/>
        </w:rPr>
        <w:footnoteReference w:id="77"/>
      </w:r>
      <w:r w:rsidRPr="00064619">
        <w:rPr>
          <w:rFonts w:cs="Taher"/>
          <w:vertAlign w:val="superscript"/>
          <w:rtl/>
        </w:rPr>
        <w:t>)</w:t>
      </w:r>
      <w:r w:rsidRPr="00EA09EB">
        <w:rPr>
          <w:rFonts w:hint="cs"/>
          <w:rtl/>
        </w:rPr>
        <w:t>. إنّ «مسألة الحكومة تعدّ من الفروع الصغيرة لمسألة الإمامة، ولا يصحّ أن نخلط بينهما»</w:t>
      </w:r>
      <w:r w:rsidRPr="00064619">
        <w:rPr>
          <w:rFonts w:cs="Taher"/>
          <w:vertAlign w:val="superscript"/>
          <w:rtl/>
        </w:rPr>
        <w:t>(</w:t>
      </w:r>
      <w:r w:rsidRPr="00064619">
        <w:rPr>
          <w:rStyle w:val="FootnoteReference"/>
          <w:rFonts w:cs="Taher"/>
          <w:sz w:val="32"/>
          <w:rtl/>
        </w:rPr>
        <w:footnoteReference w:id="78"/>
      </w:r>
      <w:r w:rsidRPr="00064619">
        <w:rPr>
          <w:rFonts w:cs="Taher"/>
          <w:vertAlign w:val="superscript"/>
          <w:rtl/>
        </w:rPr>
        <w:t>)</w:t>
      </w:r>
      <w:r w:rsidRPr="00EA09EB">
        <w:rPr>
          <w:rFonts w:hint="cs"/>
          <w:rtl/>
        </w:rPr>
        <w:t>.</w:t>
      </w:r>
    </w:p>
    <w:p w:rsidR="00EA09EB" w:rsidRPr="00A32FC0" w:rsidRDefault="00EA09EB" w:rsidP="00635BE2">
      <w:pPr>
        <w:rPr>
          <w:rtl/>
        </w:rPr>
      </w:pPr>
      <w:r w:rsidRPr="00A32FC0">
        <w:rPr>
          <w:rFonts w:hint="cs"/>
          <w:rtl/>
        </w:rPr>
        <w:t>من الواضح أنه مع حضور المرجع الدينيّ المعصوم فإنّ الحكومة تكون حقّاً له. وإنّ عدمَ الالتفات إلى المسألة الأساسيّة في الإمامة والولاية، وهي كونهما إتماماً للنبوّة، ومرجعية معصومة للدين، وتحجيمهما لتقتصرا على مسألة الحكومة في الإسلام، يتسبَّب في تدنّي مسألة الإمامة الرفيعة إلى مسألة حكومة دنيوية.</w:t>
      </w:r>
    </w:p>
    <w:p w:rsidR="00EA09EB" w:rsidRPr="00A32FC0" w:rsidRDefault="00EA09EB" w:rsidP="00635BE2">
      <w:pPr>
        <w:pStyle w:val="Normal84"/>
        <w:rPr>
          <w:rtl/>
        </w:rPr>
      </w:pPr>
      <w:r w:rsidRPr="00EA09EB">
        <w:rPr>
          <w:rFonts w:hint="cs"/>
          <w:rtl/>
        </w:rPr>
        <w:t>15</w:t>
      </w:r>
      <w:r w:rsidRPr="00EA09EB">
        <w:rPr>
          <w:rtl/>
        </w:rPr>
        <w:t>ـ</w:t>
      </w:r>
      <w:r w:rsidRPr="00EA09EB">
        <w:rPr>
          <w:rFonts w:hint="cs"/>
          <w:rtl/>
        </w:rPr>
        <w:t xml:space="preserve"> إنّ الخلاف الأساسيّ بين الشيعة والسنّة في مسألة الإمامة والولاية يدور حول الخليفة المعصوم، الذي يجب أن تؤخذ عنه معالم الدين بعد رسول الله، والذي يعدّ تفسيره للوحي وبيانه للأحكام الإلهية من صلب الدين. وهذه المسألة </w:t>
      </w:r>
      <w:r w:rsidRPr="00635BE2">
        <w:rPr>
          <w:rFonts w:hint="cs"/>
          <w:sz w:val="26"/>
          <w:szCs w:val="28"/>
          <w:rtl/>
        </w:rPr>
        <w:t>هي الحدّ الاعتقاديّ الفاصل بين المذهبين</w:t>
      </w:r>
      <w:r w:rsidRPr="00EA09EB">
        <w:rPr>
          <w:rFonts w:hint="cs"/>
          <w:rtl/>
        </w:rPr>
        <w:t>. أمّا كونه خليفة مَنْ؟ ومَنْ يكون؟ وهل يعيِّنه الرسول أم أنه يُعَّين من قبل أهل الحَلّ والعَقْد؟ فهذا بحث تاريخيّ</w:t>
      </w:r>
      <w:r w:rsidRPr="00064619">
        <w:rPr>
          <w:rFonts w:cs="Taher"/>
          <w:vertAlign w:val="superscript"/>
          <w:rtl/>
        </w:rPr>
        <w:t>(</w:t>
      </w:r>
      <w:r w:rsidRPr="00064619">
        <w:rPr>
          <w:rStyle w:val="FootnoteReference"/>
          <w:rFonts w:cs="Taher"/>
          <w:sz w:val="32"/>
          <w:rtl/>
        </w:rPr>
        <w:footnoteReference w:id="79"/>
      </w:r>
      <w:r w:rsidRPr="00064619">
        <w:rPr>
          <w:rFonts w:cs="Taher"/>
          <w:vertAlign w:val="superscript"/>
          <w:rtl/>
        </w:rPr>
        <w:t>)</w:t>
      </w:r>
      <w:r w:rsidRPr="00A32FC0">
        <w:rPr>
          <w:rFonts w:hint="cs"/>
          <w:rtl/>
        </w:rPr>
        <w:t>.</w:t>
      </w:r>
    </w:p>
    <w:p w:rsidR="00EA09EB" w:rsidRPr="00EA09EB" w:rsidRDefault="00EA09EB" w:rsidP="00635BE2">
      <w:pPr>
        <w:pStyle w:val="Normal87"/>
        <w:rPr>
          <w:rtl/>
        </w:rPr>
      </w:pPr>
      <w:r w:rsidRPr="00A32FC0">
        <w:rPr>
          <w:rFonts w:hint="cs"/>
          <w:rtl/>
        </w:rPr>
        <w:t>وطبقاً للأدلة القطعيّة يعتقد الشيعة أن الله قد نصّب الإمام عليّ</w:t>
      </w:r>
      <w:r>
        <w:rPr>
          <w:rFonts w:hint="cs"/>
          <w:rtl/>
        </w:rPr>
        <w:t>×</w:t>
      </w:r>
      <w:r w:rsidRPr="00A32FC0">
        <w:rPr>
          <w:rFonts w:hint="cs"/>
          <w:rtl/>
        </w:rPr>
        <w:t xml:space="preserve"> خليفةً لرسول الله. أما أهل السنة فيعتقدون أنّ النبيّ</w:t>
      </w:r>
      <w:r w:rsidRPr="00A32FC0">
        <w:rPr>
          <w:rFonts w:hint="cs"/>
          <w:rtl/>
        </w:rPr>
        <w:sym w:font="Roumouz" w:char="F02D"/>
      </w:r>
      <w:r w:rsidRPr="00A32FC0">
        <w:rPr>
          <w:rFonts w:hint="cs"/>
          <w:rtl/>
        </w:rPr>
        <w:t xml:space="preserve"> لم يعيِّن خليفةً من بعده، وأوكل هذا الأمر إلى أصحاب الحَلَ والعَقْد. وقد كانت هذه المسألة من أهمّ القضايا الاجتماعية في عصر المعصومين، إلاّ أنّها في عصر غيبة الإمام المعصوم قد أصبحت سالبةً بانتفاء الموضوع</w:t>
      </w:r>
      <w:r w:rsidRPr="00064619">
        <w:rPr>
          <w:rFonts w:cs="Taher"/>
          <w:vertAlign w:val="superscript"/>
          <w:rtl/>
        </w:rPr>
        <w:t>(</w:t>
      </w:r>
      <w:r w:rsidRPr="00064619">
        <w:rPr>
          <w:rStyle w:val="FootnoteReference"/>
          <w:rFonts w:cs="Taher"/>
          <w:sz w:val="32"/>
          <w:rtl/>
        </w:rPr>
        <w:footnoteReference w:id="80"/>
      </w:r>
      <w:r w:rsidRPr="00064619">
        <w:rPr>
          <w:rFonts w:cs="Taher"/>
          <w:vertAlign w:val="superscript"/>
          <w:rtl/>
        </w:rPr>
        <w:t>)</w:t>
      </w:r>
      <w:r w:rsidRPr="00EA09EB">
        <w:rPr>
          <w:rFonts w:hint="cs"/>
          <w:rtl/>
        </w:rPr>
        <w:t>. وعلى أيّ حالٍ فإنّها تشكِّل مسألةً تاريخيّةً هامّةً. مع العلم أيضاً أنّ تجاوز رأي النبيّ في هذه المسألة قد ألحق خسائر غير قابلة للجبران في العالم الإسلاميّ.</w:t>
      </w:r>
    </w:p>
    <w:p w:rsidR="00EA09EB" w:rsidRPr="00A32FC0" w:rsidRDefault="00EA09EB" w:rsidP="00635BE2">
      <w:pPr>
        <w:pStyle w:val="Normal87"/>
        <w:rPr>
          <w:rtl/>
        </w:rPr>
      </w:pPr>
      <w:r w:rsidRPr="00A32FC0">
        <w:rPr>
          <w:rFonts w:hint="cs"/>
          <w:rtl/>
        </w:rPr>
        <w:t xml:space="preserve">ومن الجدير الإشارة إلى أنّ علم الكلام لم يتطرَّق إلى مسألة إمامة الحكومة في زمن </w:t>
      </w:r>
      <w:r w:rsidRPr="00635BE2">
        <w:rPr>
          <w:rFonts w:hint="cs"/>
          <w:sz w:val="26"/>
          <w:szCs w:val="28"/>
          <w:rtl/>
        </w:rPr>
        <w:t xml:space="preserve">غيبة المعصوم. ولم يتعرَّض المتكلِّمون إلى مسألة </w:t>
      </w:r>
      <w:r w:rsidRPr="00A32FC0">
        <w:rPr>
          <w:rFonts w:hint="cs"/>
          <w:rtl/>
        </w:rPr>
        <w:t>ولاية الفقيه، لا نفياً ولا إثباتاً.</w:t>
      </w:r>
    </w:p>
    <w:p w:rsidR="007A340E" w:rsidRDefault="00EA09EB" w:rsidP="00635BE2">
      <w:pPr>
        <w:pStyle w:val="Normal84"/>
        <w:rPr>
          <w:rtl/>
        </w:rPr>
      </w:pPr>
      <w:r w:rsidRPr="009C6220">
        <w:rPr>
          <w:rFonts w:hint="cs"/>
          <w:rtl/>
        </w:rPr>
        <w:t>وبعد التعرُّف على الأبعاد المختلفة للولاية الكلاميّة أصبح بإمكاننا الإجابة عن السؤال</w:t>
      </w:r>
      <w:r w:rsidRPr="00A32FC0">
        <w:rPr>
          <w:rFonts w:hint="cs"/>
          <w:rtl/>
        </w:rPr>
        <w:t xml:space="preserve"> الأساس بشكل</w:t>
      </w:r>
      <w:r>
        <w:rPr>
          <w:rFonts w:hint="cs"/>
          <w:rtl/>
        </w:rPr>
        <w:t>ٍ</w:t>
      </w:r>
      <w:r w:rsidRPr="00A32FC0">
        <w:rPr>
          <w:rFonts w:hint="cs"/>
          <w:rtl/>
        </w:rPr>
        <w:t xml:space="preserve"> أعمق</w:t>
      </w:r>
      <w:r w:rsidRPr="007A340E">
        <w:rPr>
          <w:rFonts w:hint="cs"/>
          <w:rtl/>
        </w:rPr>
        <w:t xml:space="preserve">: ما هو المراد من الولاية في ولاية الفقيه؟ هل نستطيع أن نقول بالتبعيض في آثار ولوازم الولاية الكلامية، بمعنى أن نقبل البعض ونرفض البعض الآخر؟ وبالإضافة إلى ذلك هل ولاية الفقيه مسألة فقهية أم مسألة كلامية؟ وما هي </w:t>
      </w:r>
      <w:r w:rsidRPr="00D54247">
        <w:rPr>
          <w:rFonts w:hint="cs"/>
          <w:rtl/>
        </w:rPr>
        <w:t>لوازم وآثار كون المسألة (بالإضافة إلى أن مفهوم الولاية في ولاية الفقيه نفسه اصطلاح الولاية الكلاميّة أم لا) من المسائل الكلامية؟</w:t>
      </w:r>
      <w:r w:rsidRPr="00EA09EB">
        <w:rPr>
          <w:rtl/>
        </w:rPr>
        <w:br w:type="page"/>
      </w:r>
    </w:p>
    <w:p w:rsidR="007A340E" w:rsidRDefault="007A340E" w:rsidP="007A340E">
      <w:pPr>
        <w:rPr>
          <w:rtl/>
        </w:rPr>
        <w:sectPr w:rsidR="007A340E" w:rsidSect="009003FC">
          <w:headerReference w:type="first" r:id="rId27"/>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Default="007A340E" w:rsidP="007A340E">
      <w:pPr>
        <w:rPr>
          <w:rtl/>
        </w:rPr>
      </w:pPr>
    </w:p>
    <w:p w:rsidR="00EA09EB" w:rsidRPr="00E2207F" w:rsidRDefault="00EA09EB" w:rsidP="007A340E">
      <w:pPr>
        <w:pStyle w:val="Heading2"/>
        <w:jc w:val="center"/>
        <w:rPr>
          <w:rtl/>
        </w:rPr>
      </w:pPr>
      <w:bookmarkStart w:id="37" w:name="_Toc413658820"/>
      <w:r w:rsidRPr="00E2207F">
        <w:rPr>
          <w:rFonts w:hint="cs"/>
          <w:rtl/>
        </w:rPr>
        <w:t xml:space="preserve">الفصل الرابع: الولاية </w:t>
      </w:r>
      <w:r w:rsidRPr="007A340E">
        <w:rPr>
          <w:rFonts w:hint="cs"/>
          <w:rtl/>
        </w:rPr>
        <w:t>الفقهيّة</w:t>
      </w:r>
      <w:bookmarkEnd w:id="37"/>
    </w:p>
    <w:p w:rsidR="00EA09EB" w:rsidRPr="00A32FC0" w:rsidRDefault="00EA09EB" w:rsidP="00EA09EB">
      <w:pPr>
        <w:rPr>
          <w:rtl/>
        </w:rPr>
      </w:pPr>
      <w:r w:rsidRPr="00A32FC0">
        <w:rPr>
          <w:rFonts w:hint="cs"/>
          <w:rtl/>
        </w:rPr>
        <w:t>1</w:t>
      </w:r>
      <w:r w:rsidRPr="00A32FC0">
        <w:rPr>
          <w:rtl/>
        </w:rPr>
        <w:t>ـ</w:t>
      </w:r>
      <w:r w:rsidRPr="00A32FC0">
        <w:rPr>
          <w:rFonts w:hint="cs"/>
          <w:rtl/>
        </w:rPr>
        <w:t xml:space="preserve"> إن طرح مسألة الولاية في الفقه طرح قديم. وهي قديمة قِدَم الفقه. وتعدّ الولاية الشرعية أحد الفروع الفقهية، وليست من الأصول الاعتقادية، أو من أركان التشيع.</w:t>
      </w:r>
    </w:p>
    <w:p w:rsidR="00EA09EB" w:rsidRPr="00A32FC0" w:rsidRDefault="00EA09EB" w:rsidP="00EA09EB">
      <w:pPr>
        <w:rPr>
          <w:rtl/>
        </w:rPr>
      </w:pPr>
      <w:r w:rsidRPr="00A32FC0">
        <w:rPr>
          <w:rFonts w:hint="cs"/>
          <w:rtl/>
        </w:rPr>
        <w:t>2</w:t>
      </w:r>
      <w:r w:rsidRPr="00A32FC0">
        <w:rPr>
          <w:rtl/>
        </w:rPr>
        <w:t>ـ</w:t>
      </w:r>
      <w:r w:rsidRPr="00A32FC0">
        <w:rPr>
          <w:rFonts w:hint="cs"/>
          <w:rtl/>
        </w:rPr>
        <w:t xml:space="preserve"> تقسم المباحث الفقهية بتقسيم أوّليّ إلى: العبادات؛ والمعاملات. </w:t>
      </w:r>
    </w:p>
    <w:p w:rsidR="00EA09EB" w:rsidRPr="00A32FC0" w:rsidRDefault="00EA09EB" w:rsidP="00EA09EB">
      <w:pPr>
        <w:rPr>
          <w:rtl/>
        </w:rPr>
      </w:pPr>
      <w:r w:rsidRPr="00A32FC0">
        <w:rPr>
          <w:rFonts w:hint="cs"/>
          <w:rtl/>
        </w:rPr>
        <w:t xml:space="preserve">وتنضوي الولاية تحت قسم المعاملات (بالمعنى الأعم)، لا تحت العبادات. </w:t>
      </w:r>
    </w:p>
    <w:p w:rsidR="00EA09EB" w:rsidRPr="00EA09EB" w:rsidRDefault="00EA09EB" w:rsidP="007A340E">
      <w:pPr>
        <w:ind w:firstLine="283"/>
        <w:rPr>
          <w:rtl/>
        </w:rPr>
      </w:pPr>
      <w:r w:rsidRPr="00EA09EB">
        <w:rPr>
          <w:rFonts w:hint="cs"/>
          <w:rtl/>
        </w:rPr>
        <w:t>وتقسَّم المعاملات بتقسيم أوّليّ إلى: العقود؛ والإيقاعات؛ والأحكام</w:t>
      </w:r>
      <w:r w:rsidRPr="00064619">
        <w:rPr>
          <w:rFonts w:cs="Taher"/>
          <w:sz w:val="32"/>
          <w:vertAlign w:val="superscript"/>
          <w:rtl/>
        </w:rPr>
        <w:t>(</w:t>
      </w:r>
      <w:r w:rsidRPr="00064619">
        <w:rPr>
          <w:rStyle w:val="FootnoteReference"/>
          <w:rFonts w:cs="Taher"/>
          <w:sz w:val="32"/>
          <w:rtl/>
        </w:rPr>
        <w:footnoteReference w:id="81"/>
      </w:r>
      <w:r w:rsidRPr="00064619">
        <w:rPr>
          <w:rFonts w:cs="Taher"/>
          <w:sz w:val="32"/>
          <w:vertAlign w:val="superscript"/>
          <w:rtl/>
        </w:rPr>
        <w:t>)</w:t>
      </w:r>
      <w:r w:rsidRPr="00EA09EB">
        <w:rPr>
          <w:rFonts w:hint="cs"/>
          <w:rtl/>
        </w:rPr>
        <w:t>.</w:t>
      </w:r>
    </w:p>
    <w:p w:rsidR="00EA09EB" w:rsidRPr="00A32FC0" w:rsidRDefault="00EA09EB" w:rsidP="00EA09EB">
      <w:pPr>
        <w:rPr>
          <w:rtl/>
        </w:rPr>
      </w:pPr>
      <w:r w:rsidRPr="00A32FC0">
        <w:rPr>
          <w:rFonts w:hint="cs"/>
          <w:rtl/>
        </w:rPr>
        <w:t>والعقد هو إنشاء مبنيّ على رضا الطرفين، كالبيع، والنكاح.</w:t>
      </w:r>
    </w:p>
    <w:p w:rsidR="00EA09EB" w:rsidRPr="00A32FC0" w:rsidRDefault="00EA09EB" w:rsidP="00EA09EB">
      <w:pPr>
        <w:rPr>
          <w:rtl/>
        </w:rPr>
      </w:pPr>
      <w:r w:rsidRPr="00A32FC0">
        <w:rPr>
          <w:rFonts w:hint="cs"/>
          <w:rtl/>
        </w:rPr>
        <w:t>والإيقاع هو إنشاء من طرف واحد، ولا يعتبر فيه رضا الطرف الآخر، كالطلاق.</w:t>
      </w:r>
    </w:p>
    <w:p w:rsidR="00EA09EB" w:rsidRPr="00A32FC0" w:rsidRDefault="00EA09EB" w:rsidP="00EA09EB">
      <w:pPr>
        <w:rPr>
          <w:rtl/>
        </w:rPr>
      </w:pPr>
      <w:r w:rsidRPr="00A32FC0">
        <w:rPr>
          <w:rFonts w:hint="cs"/>
          <w:rtl/>
        </w:rPr>
        <w:t xml:space="preserve">والحكم هو جعلٌ شرعيٌّ، ليس هو بعقد، ولا بإيقاع. </w:t>
      </w:r>
    </w:p>
    <w:p w:rsidR="00EA09EB" w:rsidRPr="00A32FC0" w:rsidRDefault="00EA09EB" w:rsidP="00EA09EB">
      <w:pPr>
        <w:rPr>
          <w:rtl/>
        </w:rPr>
      </w:pPr>
      <w:r w:rsidRPr="00A32FC0">
        <w:rPr>
          <w:rFonts w:hint="cs"/>
          <w:rtl/>
        </w:rPr>
        <w:t>والولاية من الأحكام، وليست من العقود، ولا من الإيقاعات.</w:t>
      </w:r>
    </w:p>
    <w:p w:rsidR="00EA09EB" w:rsidRPr="00A32FC0" w:rsidRDefault="00EA09EB" w:rsidP="00EA09EB">
      <w:pPr>
        <w:rPr>
          <w:rtl/>
        </w:rPr>
      </w:pPr>
      <w:r w:rsidRPr="00A32FC0">
        <w:rPr>
          <w:rFonts w:hint="cs"/>
          <w:rtl/>
        </w:rPr>
        <w:t>3</w:t>
      </w:r>
      <w:r w:rsidRPr="00A32FC0">
        <w:rPr>
          <w:rtl/>
        </w:rPr>
        <w:t>ـ</w:t>
      </w:r>
      <w:r w:rsidRPr="00A32FC0">
        <w:rPr>
          <w:rFonts w:hint="cs"/>
          <w:rtl/>
        </w:rPr>
        <w:t xml:space="preserve"> الفقه هو علم يبحث فيه عن الأحكام المجعولة من قبل الشارع. </w:t>
      </w:r>
    </w:p>
    <w:p w:rsidR="00EA09EB" w:rsidRPr="00A32FC0" w:rsidRDefault="00EA09EB" w:rsidP="00EA09EB">
      <w:pPr>
        <w:rPr>
          <w:rtl/>
        </w:rPr>
      </w:pPr>
      <w:r w:rsidRPr="00A32FC0">
        <w:rPr>
          <w:rFonts w:hint="cs"/>
          <w:rtl/>
        </w:rPr>
        <w:t>والأحكام الشرعية على قسمين: الأحكام التكليفية؛ والأحكام الوضعية.</w:t>
      </w:r>
    </w:p>
    <w:p w:rsidR="00EA09EB" w:rsidRPr="00A32FC0" w:rsidRDefault="00EA09EB" w:rsidP="00EA09EB">
      <w:pPr>
        <w:rPr>
          <w:rtl/>
        </w:rPr>
      </w:pPr>
      <w:r w:rsidRPr="00A32FC0">
        <w:rPr>
          <w:rFonts w:hint="cs"/>
          <w:rtl/>
        </w:rPr>
        <w:t xml:space="preserve">والأحكام التكليفية إما إلزامية؛ وإمّا غير إلزامية. </w:t>
      </w:r>
    </w:p>
    <w:p w:rsidR="00EA09EB" w:rsidRPr="00A32FC0" w:rsidRDefault="00EA09EB" w:rsidP="00635BE2">
      <w:pPr>
        <w:pStyle w:val="Normal84"/>
        <w:rPr>
          <w:rtl/>
        </w:rPr>
      </w:pPr>
      <w:r w:rsidRPr="00A32FC0">
        <w:rPr>
          <w:rFonts w:hint="cs"/>
          <w:rtl/>
        </w:rPr>
        <w:t xml:space="preserve">أمّا الأحكام التكليفية الإلزامية فهي عبارة عن الوجوب، والحرمة. </w:t>
      </w:r>
    </w:p>
    <w:p w:rsidR="00EA09EB" w:rsidRPr="00A32FC0" w:rsidRDefault="00EA09EB" w:rsidP="00635BE2">
      <w:pPr>
        <w:pStyle w:val="Normal84"/>
        <w:rPr>
          <w:rtl/>
        </w:rPr>
      </w:pPr>
      <w:r w:rsidRPr="00A32FC0">
        <w:rPr>
          <w:rFonts w:hint="cs"/>
          <w:rtl/>
        </w:rPr>
        <w:t>وأمّا الأحكام التكليفيّة غير الإلزامية فهي عبارة عن الاستحباب، والكراهة، والإباحة.</w:t>
      </w:r>
    </w:p>
    <w:p w:rsidR="00EA09EB" w:rsidRPr="00A32FC0" w:rsidRDefault="00EA09EB" w:rsidP="00635BE2">
      <w:pPr>
        <w:pStyle w:val="Normal84"/>
        <w:rPr>
          <w:rtl/>
        </w:rPr>
      </w:pPr>
      <w:r w:rsidRPr="00EA09EB">
        <w:rPr>
          <w:rFonts w:hint="cs"/>
          <w:rtl/>
        </w:rPr>
        <w:t>والأحكام الوضعية هي من الأحكام الشرعية التي لا يوجد فيها تكليف، وإنْ كان لها آثار تكليفية، كالطهارة، والنجاسة، والحجّية، والقضاء، والنيابة، والوصاية، والحرية، والرقية، والزوجية، والسببية، والشرطية، والمانعية، والصحّة، والفساد</w:t>
      </w:r>
      <w:r w:rsidRPr="00064619">
        <w:rPr>
          <w:rFonts w:cs="Taher"/>
          <w:vertAlign w:val="superscript"/>
          <w:rtl/>
        </w:rPr>
        <w:t>(</w:t>
      </w:r>
      <w:r w:rsidRPr="00064619">
        <w:rPr>
          <w:rStyle w:val="FootnoteReference"/>
          <w:rFonts w:cs="Taher"/>
          <w:sz w:val="32"/>
          <w:rtl/>
        </w:rPr>
        <w:footnoteReference w:id="82"/>
      </w:r>
      <w:r w:rsidRPr="00064619">
        <w:rPr>
          <w:rFonts w:cs="Taher"/>
          <w:vertAlign w:val="superscript"/>
          <w:rtl/>
        </w:rPr>
        <w:t>)</w:t>
      </w:r>
      <w:r w:rsidRPr="00A32FC0">
        <w:rPr>
          <w:rFonts w:hint="cs"/>
          <w:rtl/>
        </w:rPr>
        <w:t>.</w:t>
      </w:r>
    </w:p>
    <w:p w:rsidR="00EA09EB" w:rsidRPr="00EA09EB" w:rsidRDefault="00EA09EB" w:rsidP="00635BE2">
      <w:pPr>
        <w:pStyle w:val="Normal84"/>
        <w:rPr>
          <w:rtl/>
        </w:rPr>
      </w:pPr>
      <w:r w:rsidRPr="00A32FC0">
        <w:rPr>
          <w:rFonts w:hint="cs"/>
          <w:rtl/>
        </w:rPr>
        <w:t>وتعدّ الولاية من الأحكام الوضعيّة، لا من الأحكام التكليفيّة</w:t>
      </w:r>
      <w:r w:rsidRPr="00064619">
        <w:rPr>
          <w:rFonts w:cs="Taher"/>
          <w:vertAlign w:val="superscript"/>
          <w:rtl/>
        </w:rPr>
        <w:t>(</w:t>
      </w:r>
      <w:r w:rsidRPr="00064619">
        <w:rPr>
          <w:rStyle w:val="FootnoteReference"/>
          <w:rFonts w:cs="Taher"/>
          <w:sz w:val="32"/>
          <w:rtl/>
        </w:rPr>
        <w:footnoteReference w:id="83"/>
      </w:r>
      <w:r w:rsidRPr="00064619">
        <w:rPr>
          <w:rFonts w:cs="Taher"/>
          <w:vertAlign w:val="superscript"/>
          <w:rtl/>
        </w:rPr>
        <w:t>)</w:t>
      </w:r>
      <w:r w:rsidRPr="00EA09EB">
        <w:rPr>
          <w:rFonts w:hint="cs"/>
          <w:rtl/>
        </w:rPr>
        <w:t>.</w:t>
      </w:r>
    </w:p>
    <w:p w:rsidR="00EA09EB" w:rsidRPr="00A32FC0" w:rsidRDefault="00EA09EB" w:rsidP="00635BE2">
      <w:pPr>
        <w:pStyle w:val="Normal84"/>
        <w:rPr>
          <w:rtl/>
        </w:rPr>
      </w:pPr>
      <w:r w:rsidRPr="00A32FC0">
        <w:rPr>
          <w:rFonts w:hint="cs"/>
          <w:rtl/>
        </w:rPr>
        <w:t>4</w:t>
      </w:r>
      <w:r w:rsidRPr="00A32FC0">
        <w:rPr>
          <w:rtl/>
        </w:rPr>
        <w:t>ـ</w:t>
      </w:r>
      <w:r w:rsidRPr="00A32FC0">
        <w:rPr>
          <w:rFonts w:hint="cs"/>
          <w:rtl/>
        </w:rPr>
        <w:t xml:space="preserve"> تقسم الأحكام الوضعية إلى قسمين: أحكام؛ وحقوق. </w:t>
      </w:r>
    </w:p>
    <w:p w:rsidR="00EA09EB" w:rsidRPr="00A32FC0" w:rsidRDefault="00EA09EB" w:rsidP="00635BE2">
      <w:pPr>
        <w:pStyle w:val="Normal84"/>
        <w:rPr>
          <w:rtl/>
        </w:rPr>
      </w:pPr>
      <w:r w:rsidRPr="00EA09EB">
        <w:rPr>
          <w:rFonts w:hint="cs"/>
          <w:rtl/>
        </w:rPr>
        <w:t xml:space="preserve">وللحقوق الوضعيّة ثلاث خصائص: </w:t>
      </w:r>
      <w:r w:rsidRPr="00A32FC0">
        <w:rPr>
          <w:rFonts w:hint="cs"/>
          <w:b/>
          <w:bCs/>
          <w:rtl/>
        </w:rPr>
        <w:t>الأولى</w:t>
      </w:r>
      <w:r w:rsidRPr="00EA09EB">
        <w:rPr>
          <w:rFonts w:hint="cs"/>
          <w:rtl/>
        </w:rPr>
        <w:t xml:space="preserve">: قابلية الإسقاط؛ </w:t>
      </w:r>
      <w:r w:rsidRPr="00A32FC0">
        <w:rPr>
          <w:rFonts w:hint="cs"/>
          <w:b/>
          <w:bCs/>
          <w:rtl/>
        </w:rPr>
        <w:t>الثانية</w:t>
      </w:r>
      <w:r w:rsidRPr="00EA09EB">
        <w:rPr>
          <w:rFonts w:hint="cs"/>
          <w:rtl/>
        </w:rPr>
        <w:t xml:space="preserve">: قابلية الانتقال؛ </w:t>
      </w:r>
      <w:r w:rsidRPr="00A32FC0">
        <w:rPr>
          <w:rFonts w:hint="cs"/>
          <w:b/>
          <w:bCs/>
          <w:rtl/>
        </w:rPr>
        <w:t>الثالثة</w:t>
      </w:r>
      <w:r w:rsidRPr="00EA09EB">
        <w:rPr>
          <w:rFonts w:hint="cs"/>
          <w:rtl/>
        </w:rPr>
        <w:t>: قابلية التوريث</w:t>
      </w:r>
      <w:r w:rsidRPr="00064619">
        <w:rPr>
          <w:rFonts w:cs="Taher"/>
          <w:vertAlign w:val="superscript"/>
          <w:rtl/>
        </w:rPr>
        <w:t>(</w:t>
      </w:r>
      <w:r w:rsidRPr="00064619">
        <w:rPr>
          <w:rStyle w:val="FootnoteReference"/>
          <w:rFonts w:cs="Taher"/>
          <w:sz w:val="32"/>
          <w:rtl/>
        </w:rPr>
        <w:footnoteReference w:id="84"/>
      </w:r>
      <w:r w:rsidRPr="00064619">
        <w:rPr>
          <w:rFonts w:cs="Taher"/>
          <w:vertAlign w:val="superscript"/>
          <w:rtl/>
        </w:rPr>
        <w:t>)</w:t>
      </w:r>
      <w:r w:rsidRPr="00A32FC0">
        <w:rPr>
          <w:rFonts w:hint="cs"/>
          <w:rtl/>
        </w:rPr>
        <w:t xml:space="preserve">. </w:t>
      </w:r>
    </w:p>
    <w:p w:rsidR="00EA09EB" w:rsidRPr="00EA09EB" w:rsidRDefault="00EA09EB" w:rsidP="00635BE2">
      <w:pPr>
        <w:pStyle w:val="Normal87"/>
        <w:rPr>
          <w:rtl/>
        </w:rPr>
      </w:pPr>
      <w:r w:rsidRPr="00A32FC0">
        <w:rPr>
          <w:rFonts w:hint="cs"/>
          <w:rtl/>
        </w:rPr>
        <w:t xml:space="preserve">والأحكام الوضعية غير قابلة للإسقاط والانتقال والتوريث، كالملكية، والشفعة، والخيار، </w:t>
      </w:r>
      <w:r w:rsidRPr="00635BE2">
        <w:rPr>
          <w:rFonts w:hint="cs"/>
          <w:sz w:val="26"/>
          <w:szCs w:val="28"/>
          <w:rtl/>
        </w:rPr>
        <w:t xml:space="preserve">والحضانة، والولاية، فهي تعدّ من الأحكام، لا من </w:t>
      </w:r>
      <w:r w:rsidRPr="00A32FC0">
        <w:rPr>
          <w:rFonts w:hint="cs"/>
          <w:rtl/>
        </w:rPr>
        <w:t>الحقوق</w:t>
      </w:r>
      <w:r w:rsidRPr="00064619">
        <w:rPr>
          <w:rFonts w:cs="Taher"/>
          <w:vertAlign w:val="superscript"/>
          <w:rtl/>
        </w:rPr>
        <w:t>(</w:t>
      </w:r>
      <w:r w:rsidRPr="00064619">
        <w:rPr>
          <w:rStyle w:val="FootnoteReference"/>
          <w:rFonts w:cs="Taher"/>
          <w:sz w:val="32"/>
          <w:rtl/>
        </w:rPr>
        <w:footnoteReference w:id="85"/>
      </w:r>
      <w:r w:rsidRPr="00064619">
        <w:rPr>
          <w:rFonts w:cs="Taher"/>
          <w:vertAlign w:val="superscript"/>
          <w:rtl/>
        </w:rPr>
        <w:t>)</w:t>
      </w:r>
      <w:r w:rsidRPr="00EA09EB">
        <w:rPr>
          <w:rFonts w:hint="cs"/>
          <w:rtl/>
        </w:rPr>
        <w:t>.</w:t>
      </w:r>
    </w:p>
    <w:p w:rsidR="00EA09EB" w:rsidRPr="00A32FC0" w:rsidRDefault="00EA09EB" w:rsidP="00635BE2">
      <w:pPr>
        <w:pStyle w:val="Normal93"/>
        <w:rPr>
          <w:rtl/>
        </w:rPr>
      </w:pPr>
      <w:r w:rsidRPr="00A32FC0">
        <w:rPr>
          <w:rFonts w:hint="cs"/>
          <w:rtl/>
        </w:rPr>
        <w:t>5</w:t>
      </w:r>
      <w:r w:rsidRPr="00A32FC0">
        <w:rPr>
          <w:rtl/>
        </w:rPr>
        <w:t>ـ</w:t>
      </w:r>
      <w:r w:rsidRPr="00A32FC0">
        <w:rPr>
          <w:rFonts w:hint="cs"/>
          <w:rtl/>
        </w:rPr>
        <w:t xml:space="preserve"> تنقسم الأمور إلى قسمين: قسم حقيقيّ وتكوينيّ؛ وقسم اعتباريّ ووضعيّ. </w:t>
      </w:r>
    </w:p>
    <w:p w:rsidR="00EA09EB" w:rsidRPr="00A32FC0" w:rsidRDefault="00EA09EB" w:rsidP="00635BE2">
      <w:pPr>
        <w:pStyle w:val="Normal93"/>
        <w:rPr>
          <w:rtl/>
        </w:rPr>
      </w:pPr>
      <w:r w:rsidRPr="00A32FC0">
        <w:rPr>
          <w:rFonts w:hint="cs"/>
          <w:rtl/>
        </w:rPr>
        <w:t>أمّا الأمور الاعتبارية فليس لها واقع خارج اعتبار المعتبِر وجعل الجاعل ووضع الواضع.</w:t>
      </w:r>
    </w:p>
    <w:p w:rsidR="00EA09EB" w:rsidRPr="00A32FC0" w:rsidRDefault="00B36623" w:rsidP="00635BE2">
      <w:pPr>
        <w:pStyle w:val="Normal93"/>
        <w:rPr>
          <w:rtl/>
        </w:rPr>
      </w:pPr>
      <w:r>
        <w:rPr>
          <w:rFonts w:hint="cs"/>
          <w:rtl/>
        </w:rPr>
        <w:t>والاعتباريّات إمّا ع</w:t>
      </w:r>
      <w:r w:rsidR="00EA09EB" w:rsidRPr="00A32FC0">
        <w:rPr>
          <w:rFonts w:hint="cs"/>
          <w:rtl/>
        </w:rPr>
        <w:t>قل</w:t>
      </w:r>
      <w:r>
        <w:rPr>
          <w:rFonts w:hint="cs"/>
          <w:rtl/>
        </w:rPr>
        <w:t>ائ</w:t>
      </w:r>
      <w:r w:rsidR="00EA09EB" w:rsidRPr="00A32FC0">
        <w:rPr>
          <w:rFonts w:hint="cs"/>
          <w:rtl/>
        </w:rPr>
        <w:t xml:space="preserve">يّة؛ وإما غير </w:t>
      </w:r>
      <w:r w:rsidRPr="00B36623">
        <w:rPr>
          <w:rFonts w:hint="cs"/>
          <w:rtl/>
        </w:rPr>
        <w:t>عقلائيّة</w:t>
      </w:r>
      <w:r w:rsidR="00EA09EB" w:rsidRPr="00A32FC0">
        <w:rPr>
          <w:rFonts w:hint="cs"/>
          <w:rtl/>
        </w:rPr>
        <w:t xml:space="preserve">. </w:t>
      </w:r>
    </w:p>
    <w:p w:rsidR="00EA09EB" w:rsidRPr="00A32FC0" w:rsidRDefault="00EA09EB" w:rsidP="00635BE2">
      <w:pPr>
        <w:pStyle w:val="Normal93"/>
        <w:rPr>
          <w:rtl/>
        </w:rPr>
      </w:pPr>
      <w:r w:rsidRPr="00A32FC0">
        <w:rPr>
          <w:rFonts w:hint="cs"/>
          <w:rtl/>
        </w:rPr>
        <w:t xml:space="preserve">أمّا الاعتبارات </w:t>
      </w:r>
      <w:r w:rsidR="00B36623">
        <w:rPr>
          <w:rFonts w:hint="cs"/>
          <w:rtl/>
        </w:rPr>
        <w:t>ال</w:t>
      </w:r>
      <w:r w:rsidR="00B36623" w:rsidRPr="00B36623">
        <w:rPr>
          <w:rFonts w:hint="cs"/>
          <w:rtl/>
        </w:rPr>
        <w:t xml:space="preserve">عقلائيّة </w:t>
      </w:r>
      <w:r w:rsidRPr="00A32FC0">
        <w:rPr>
          <w:rFonts w:hint="cs"/>
          <w:rtl/>
        </w:rPr>
        <w:t xml:space="preserve">فهي عبارة عن أمور تعاقد عليها العقلاء بما هم عقلاء. وهذه الأمور </w:t>
      </w:r>
      <w:r w:rsidR="00B36623">
        <w:rPr>
          <w:rFonts w:hint="cs"/>
          <w:rtl/>
        </w:rPr>
        <w:t>ال</w:t>
      </w:r>
      <w:r w:rsidR="00B36623" w:rsidRPr="00B36623">
        <w:rPr>
          <w:rFonts w:hint="cs"/>
          <w:rtl/>
        </w:rPr>
        <w:t xml:space="preserve">عقلائيّة </w:t>
      </w:r>
      <w:r w:rsidRPr="00A32FC0">
        <w:rPr>
          <w:rFonts w:hint="cs"/>
          <w:rtl/>
        </w:rPr>
        <w:t xml:space="preserve">هي التي يبتني عليها نظام المجتمع، وما لم يردع عنه الشارع من هذه الأمور الاعتبارية </w:t>
      </w:r>
      <w:r w:rsidR="00B36623">
        <w:rPr>
          <w:rFonts w:hint="cs"/>
          <w:rtl/>
        </w:rPr>
        <w:t>ال</w:t>
      </w:r>
      <w:r w:rsidR="00B36623" w:rsidRPr="00B36623">
        <w:rPr>
          <w:rFonts w:hint="cs"/>
          <w:rtl/>
        </w:rPr>
        <w:t xml:space="preserve">عقلائيّة </w:t>
      </w:r>
      <w:r w:rsidRPr="00A32FC0">
        <w:rPr>
          <w:rFonts w:hint="cs"/>
          <w:rtl/>
        </w:rPr>
        <w:t xml:space="preserve">يعدّ من الأمور الإمضائيّة الشرعيّة. </w:t>
      </w:r>
    </w:p>
    <w:p w:rsidR="00EA09EB" w:rsidRPr="00A32FC0" w:rsidRDefault="00EA09EB" w:rsidP="00635BE2">
      <w:pPr>
        <w:pStyle w:val="Normal93"/>
        <w:rPr>
          <w:rtl/>
        </w:rPr>
      </w:pPr>
      <w:r w:rsidRPr="00EA09EB">
        <w:rPr>
          <w:rFonts w:hint="cs"/>
          <w:rtl/>
        </w:rPr>
        <w:t>والولاية من جملة الأمور الاعتبارية، لا الحقيقية</w:t>
      </w:r>
      <w:r w:rsidRPr="00064619">
        <w:rPr>
          <w:rFonts w:cs="Taher"/>
          <w:vertAlign w:val="superscript"/>
          <w:rtl/>
        </w:rPr>
        <w:t>(</w:t>
      </w:r>
      <w:r w:rsidRPr="00064619">
        <w:rPr>
          <w:rStyle w:val="FootnoteReference"/>
          <w:rFonts w:cs="Taher"/>
          <w:sz w:val="32"/>
          <w:rtl/>
        </w:rPr>
        <w:footnoteReference w:id="86"/>
      </w:r>
      <w:r w:rsidRPr="00064619">
        <w:rPr>
          <w:rFonts w:cs="Taher"/>
          <w:vertAlign w:val="superscript"/>
          <w:rtl/>
        </w:rPr>
        <w:t>)</w:t>
      </w:r>
      <w:r w:rsidRPr="00A32FC0">
        <w:rPr>
          <w:rFonts w:hint="cs"/>
          <w:rtl/>
        </w:rPr>
        <w:t xml:space="preserve">. والولاية من الاعتباريّات </w:t>
      </w:r>
      <w:r w:rsidR="00B36623">
        <w:rPr>
          <w:rFonts w:hint="cs"/>
          <w:rtl/>
        </w:rPr>
        <w:t>ال</w:t>
      </w:r>
      <w:r w:rsidR="00B36623" w:rsidRPr="00B36623">
        <w:rPr>
          <w:rFonts w:hint="cs"/>
          <w:rtl/>
        </w:rPr>
        <w:t xml:space="preserve">عقلائيّة </w:t>
      </w:r>
      <w:r w:rsidRPr="00A32FC0">
        <w:rPr>
          <w:rFonts w:hint="cs"/>
          <w:rtl/>
        </w:rPr>
        <w:t>التي أمضاها الشارع، فهي من الأحكام الإمضائية، لا التأسيسية، ومن الأحكام التشريعية، لا التكوينيّة.</w:t>
      </w:r>
    </w:p>
    <w:p w:rsidR="00EA09EB" w:rsidRPr="00EA09EB" w:rsidRDefault="00EA09EB" w:rsidP="00635BE2">
      <w:pPr>
        <w:pStyle w:val="Normal84"/>
        <w:rPr>
          <w:rtl/>
        </w:rPr>
      </w:pPr>
      <w:r w:rsidRPr="00A32FC0">
        <w:rPr>
          <w:rFonts w:hint="cs"/>
          <w:rtl/>
        </w:rPr>
        <w:t>6</w:t>
      </w:r>
      <w:r w:rsidRPr="00A32FC0">
        <w:rPr>
          <w:rtl/>
        </w:rPr>
        <w:t>ـ</w:t>
      </w:r>
      <w:r w:rsidRPr="00A32FC0">
        <w:rPr>
          <w:rFonts w:hint="cs"/>
          <w:rtl/>
        </w:rPr>
        <w:t xml:space="preserve"> الولاية الفقهية ـ والتي يعبَّر عنها بالولاية الشرعية ـ هي عبارة عن التصدّي للقيام بشؤون الغير</w:t>
      </w:r>
      <w:r w:rsidRPr="00064619">
        <w:rPr>
          <w:rFonts w:cs="Taher"/>
          <w:vertAlign w:val="superscript"/>
          <w:rtl/>
        </w:rPr>
        <w:t>(</w:t>
      </w:r>
      <w:r w:rsidRPr="00064619">
        <w:rPr>
          <w:rStyle w:val="FootnoteReference"/>
          <w:rFonts w:cs="Taher"/>
          <w:sz w:val="32"/>
          <w:rtl/>
        </w:rPr>
        <w:footnoteReference w:id="87"/>
      </w:r>
      <w:r w:rsidRPr="00064619">
        <w:rPr>
          <w:rFonts w:cs="Taher"/>
          <w:vertAlign w:val="superscript"/>
          <w:rtl/>
        </w:rPr>
        <w:t>)</w:t>
      </w:r>
      <w:r w:rsidRPr="00EA09EB">
        <w:rPr>
          <w:rFonts w:hint="cs"/>
          <w:rtl/>
        </w:rPr>
        <w:t xml:space="preserve">. وهذا المعنى هو المعنى الرابع من المعاني اللغوية للولاية، التي سبقت الإشارة إليه (التصدّي للأمر، الحاكمية، الإمارة). </w:t>
      </w:r>
    </w:p>
    <w:p w:rsidR="00EA09EB" w:rsidRPr="00A32FC0" w:rsidRDefault="00EA09EB" w:rsidP="00EA09EB">
      <w:pPr>
        <w:rPr>
          <w:rtl/>
        </w:rPr>
      </w:pPr>
      <w:r w:rsidRPr="00A32FC0">
        <w:rPr>
          <w:rFonts w:hint="cs"/>
          <w:rtl/>
        </w:rPr>
        <w:t>وعليه فإنّ معنى الولاية الفقهية ليس سوى المعنى اللغوي للولاية. ولهذا فإنّ هذه الكلمة ليس لها حقيقة شرعيّة، ولا حتّى حقيقة متشرِّعيّة، إلاّ أنها ـ وككثير من الاصطلاحات الفقهية ـ تستعمل في موارد أخصّ من المعنى اللغويّ. وبعبارة أخرى: إنّ المعنى الفقهيّ الذي تستعمل فيه كلمة الولاية هو أخصّ من المعنى اللغويّ الذي وضعت له. إنّ الدقّة في الاستعمالات الفقهيّة المختلفة تستلزم إضافة بعض القيود لكلمة الولاية في مقام الاستعمال. ولعلّ أقرب الكلمات التي تعبّر عن المعنى الفقهيّ للولاية هي: السيطرة، والسلطة، والملكية، والاستيلاء. ويمكن المقارنة بين مصطلحي الولاية والملكية؛ فالملكية هي السلطة على الأشياء؛ والولاية هي سلطة على الأشخاص. وكما أنّ المالك مسلّط على جميع شؤون ما يملك فإنّ الولي مسلَّط على جميع شؤون المولّى عليه.</w:t>
      </w:r>
    </w:p>
    <w:p w:rsidR="00EA09EB" w:rsidRPr="00A32FC0" w:rsidRDefault="00EA09EB" w:rsidP="00635BE2">
      <w:pPr>
        <w:pStyle w:val="Normal87"/>
        <w:rPr>
          <w:rtl/>
        </w:rPr>
      </w:pPr>
      <w:r w:rsidRPr="00A32FC0">
        <w:rPr>
          <w:rFonts w:hint="cs"/>
          <w:rtl/>
        </w:rPr>
        <w:t>7</w:t>
      </w:r>
      <w:r w:rsidRPr="00A32FC0">
        <w:rPr>
          <w:rtl/>
        </w:rPr>
        <w:t>ـ</w:t>
      </w:r>
      <w:r w:rsidRPr="00A32FC0">
        <w:rPr>
          <w:rFonts w:hint="cs"/>
          <w:rtl/>
        </w:rPr>
        <w:t xml:space="preserve"> في الولاية الفقهية يمكن ملاحظة أبعادٍ أربعة. وهذه الأبعاد يمكن تسميتها بأركان الولاية؛ وذلك لأن الولاية الشرعيّة لا تتحقَّق من دون هذه الأركان. وهذه الأركان هي:</w:t>
      </w:r>
    </w:p>
    <w:p w:rsidR="00EA09EB" w:rsidRPr="00EA09EB" w:rsidRDefault="00EA09EB" w:rsidP="007A340E">
      <w:pPr>
        <w:ind w:firstLine="283"/>
        <w:rPr>
          <w:rtl/>
        </w:rPr>
      </w:pPr>
      <w:r w:rsidRPr="007A340E">
        <w:rPr>
          <w:rFonts w:hint="cs"/>
          <w:b/>
          <w:bCs/>
          <w:rtl/>
        </w:rPr>
        <w:t>الأول</w:t>
      </w:r>
      <w:r w:rsidRPr="00EA09EB">
        <w:rPr>
          <w:rFonts w:hint="cs"/>
          <w:rtl/>
        </w:rPr>
        <w:t>: جاعل الولاية. وحيث إنّ الولاية حكم وضعيّ، وكل حكم وضعيّ يحتاج إلى جعل، فالولاية إذاً تحتاج إلى جاعل، وجاعلها هو الله تعالى.</w:t>
      </w:r>
    </w:p>
    <w:p w:rsidR="00EA09EB" w:rsidRPr="00EA09EB" w:rsidRDefault="00EA09EB" w:rsidP="00635BE2">
      <w:pPr>
        <w:pStyle w:val="Normal93"/>
        <w:rPr>
          <w:rtl/>
        </w:rPr>
      </w:pPr>
      <w:r w:rsidRPr="007A340E">
        <w:rPr>
          <w:rFonts w:hint="cs"/>
          <w:b/>
          <w:bCs/>
          <w:rtl/>
        </w:rPr>
        <w:t>الثاني</w:t>
      </w:r>
      <w:r w:rsidRPr="00EA09EB">
        <w:rPr>
          <w:rFonts w:hint="cs"/>
          <w:rtl/>
        </w:rPr>
        <w:t>: الولي، وهو الشخص الذي عيَّنه جاعل الولاية (الشارع). والولاية هي التصرُّف والقيام بشؤون الغير من قبل من فُوِّض إليه هذا الأمر، وهو (الولي)، وجمعه (أولياء).</w:t>
      </w:r>
    </w:p>
    <w:p w:rsidR="00EA09EB" w:rsidRPr="00EA09EB" w:rsidRDefault="00EA09EB" w:rsidP="00635BE2">
      <w:pPr>
        <w:pStyle w:val="Normal93"/>
        <w:rPr>
          <w:rtl/>
        </w:rPr>
      </w:pPr>
      <w:r w:rsidRPr="007A340E">
        <w:rPr>
          <w:rFonts w:hint="cs"/>
          <w:b/>
          <w:bCs/>
          <w:rtl/>
        </w:rPr>
        <w:t>الثالث</w:t>
      </w:r>
      <w:r w:rsidRPr="00EA09EB">
        <w:rPr>
          <w:rFonts w:hint="cs"/>
          <w:rtl/>
        </w:rPr>
        <w:t>: المولّى عليه، وهو الفرد أو الأفراد العاجزون شرعاً عن التصدّي لشؤونهم، ففوَّض الشارع أمر التصدّي هذا إلى الوليّ، فأصبحوا تحت ولايته، أو مولّىً عليهم.</w:t>
      </w:r>
    </w:p>
    <w:p w:rsidR="00EA09EB" w:rsidRPr="00A32FC0" w:rsidRDefault="00EA09EB" w:rsidP="00635BE2">
      <w:pPr>
        <w:pStyle w:val="Normal93"/>
        <w:rPr>
          <w:rtl/>
        </w:rPr>
      </w:pPr>
      <w:r w:rsidRPr="00A32FC0">
        <w:rPr>
          <w:rFonts w:hint="cs"/>
          <w:b/>
          <w:bCs/>
          <w:rtl/>
        </w:rPr>
        <w:t>الرابع</w:t>
      </w:r>
      <w:r w:rsidRPr="00EA09EB">
        <w:rPr>
          <w:rFonts w:hint="cs"/>
          <w:rtl/>
        </w:rPr>
        <w:t>: دائرة حدود الولاية. إنّ حدود الولاية تبقى ضمن الأمور التي لا يملك المولّى عليهم أهليّة التصرُّف فيها، والتي أوكل الشارع أمر التصرُّف فيها إلى الوليّ</w:t>
      </w:r>
      <w:r w:rsidRPr="00064619">
        <w:rPr>
          <w:rFonts w:cs="Taher"/>
          <w:vertAlign w:val="superscript"/>
          <w:rtl/>
        </w:rPr>
        <w:t>(</w:t>
      </w:r>
      <w:r w:rsidRPr="00064619">
        <w:rPr>
          <w:rStyle w:val="FootnoteReference"/>
          <w:rFonts w:cs="Taher"/>
          <w:sz w:val="32"/>
          <w:rtl/>
        </w:rPr>
        <w:footnoteReference w:id="88"/>
      </w:r>
      <w:r w:rsidRPr="00064619">
        <w:rPr>
          <w:rFonts w:cs="Taher"/>
          <w:vertAlign w:val="superscript"/>
          <w:rtl/>
        </w:rPr>
        <w:t>)</w:t>
      </w:r>
      <w:r w:rsidRPr="00A32FC0">
        <w:rPr>
          <w:rFonts w:hint="cs"/>
          <w:rtl/>
        </w:rPr>
        <w:t>.</w:t>
      </w:r>
    </w:p>
    <w:p w:rsidR="00EA09EB" w:rsidRPr="00EA09EB" w:rsidRDefault="00EA09EB" w:rsidP="00635BE2">
      <w:pPr>
        <w:pStyle w:val="Normal93"/>
        <w:rPr>
          <w:rtl/>
        </w:rPr>
      </w:pPr>
      <w:r w:rsidRPr="00A32FC0">
        <w:rPr>
          <w:rFonts w:hint="cs"/>
          <w:rtl/>
        </w:rPr>
        <w:t>8</w:t>
      </w:r>
      <w:r w:rsidRPr="00A32FC0">
        <w:rPr>
          <w:rtl/>
        </w:rPr>
        <w:t>ـ</w:t>
      </w:r>
      <w:r w:rsidRPr="00A32FC0">
        <w:rPr>
          <w:rFonts w:hint="cs"/>
          <w:rtl/>
        </w:rPr>
        <w:t xml:space="preserve"> فلسفة جعل الولاية: بما أنّ الشارع المقدس حكيم فلابدّ أن أفعاله وتشريعاته مبنيّة على الحكمة البالغة. ولذلك فإنّ نظام الكائنات والدين كان طبقاً (لنظام الأحسن). وجعلُ الولاية لازمٌ لـ (النظام الأحسن)، وبدونه لا يمكن نظم المجتمع البشري. وبما أن هناك أفراداً في المجتمع غير قادرين على التصدّي لإدارة شؤونهم، وغير مؤهَّلين لذلك، وفي المقابل هناك أفراد يتمتَّعون بالقدرة والأهليّة لتدبير شؤونهم، لهذا فقد جعل الله أمر تدبير شؤون غير القادرين بيد أولئك الذين يملكون القدرة على هذا الأمر. وبعبارة أخرى: إن الشارع المقدَّس يجبر عدم القدرة والضعف في طرف بالقدرة والتدبير والولاية عند الطرف الآخر</w:t>
      </w:r>
      <w:r w:rsidRPr="00064619">
        <w:rPr>
          <w:rFonts w:cs="Taher"/>
          <w:vertAlign w:val="superscript"/>
          <w:rtl/>
        </w:rPr>
        <w:t>(</w:t>
      </w:r>
      <w:r w:rsidRPr="00064619">
        <w:rPr>
          <w:rStyle w:val="FootnoteReference"/>
          <w:rFonts w:cs="Taher"/>
          <w:sz w:val="32"/>
          <w:rtl/>
        </w:rPr>
        <w:footnoteReference w:id="89"/>
      </w:r>
      <w:r w:rsidRPr="00064619">
        <w:rPr>
          <w:rFonts w:cs="Taher"/>
          <w:vertAlign w:val="superscript"/>
          <w:rtl/>
        </w:rPr>
        <w:t>)</w:t>
      </w:r>
      <w:r w:rsidRPr="00EA09EB">
        <w:rPr>
          <w:rFonts w:hint="cs"/>
          <w:rtl/>
        </w:rPr>
        <w:t>. فجعل الولاية لازمٌ للنظام الاجتماعيّ المطلوب.</w:t>
      </w:r>
    </w:p>
    <w:p w:rsidR="00EA09EB" w:rsidRPr="00A32FC0" w:rsidRDefault="00EA09EB" w:rsidP="00EA09EB">
      <w:pPr>
        <w:rPr>
          <w:rtl/>
        </w:rPr>
      </w:pPr>
      <w:r w:rsidRPr="00A32FC0">
        <w:rPr>
          <w:rFonts w:hint="cs"/>
          <w:rtl/>
        </w:rPr>
        <w:t>9</w:t>
      </w:r>
      <w:r w:rsidRPr="00A32FC0">
        <w:rPr>
          <w:rtl/>
        </w:rPr>
        <w:t>ـ</w:t>
      </w:r>
      <w:r w:rsidRPr="00A32FC0">
        <w:rPr>
          <w:rFonts w:hint="cs"/>
          <w:rtl/>
        </w:rPr>
        <w:t xml:space="preserve"> لوازم الولاية (ما يترتَّب على الولاية):</w:t>
      </w:r>
    </w:p>
    <w:p w:rsidR="00EA09EB" w:rsidRPr="00EA09EB" w:rsidRDefault="00EA09EB" w:rsidP="00635BE2">
      <w:pPr>
        <w:pStyle w:val="Normal87"/>
        <w:rPr>
          <w:rtl/>
        </w:rPr>
      </w:pPr>
      <w:r w:rsidRPr="007A340E">
        <w:rPr>
          <w:rFonts w:hint="cs"/>
          <w:b/>
          <w:bCs/>
          <w:rtl/>
        </w:rPr>
        <w:t>الأول</w:t>
      </w:r>
      <w:r w:rsidRPr="00EA09EB">
        <w:rPr>
          <w:rFonts w:hint="cs"/>
          <w:rtl/>
        </w:rPr>
        <w:t>: إنّ عدم التساوي في دائرة الولاية هو الحاكم، أي إنه ليس كلّ الأفراد في هذه الدائرة متساوين، سواء أكان ذلك في بعض الشؤون أو في جميعها. وإن الاعتقاد بتساوي الناس في جميع الشؤون، وفي بعضها، يتضادّ مع فكرة الولاية الشرعيّة.</w:t>
      </w:r>
    </w:p>
    <w:p w:rsidR="00EA09EB" w:rsidRPr="00EA09EB" w:rsidRDefault="00EA09EB" w:rsidP="00635BE2">
      <w:pPr>
        <w:pStyle w:val="Normal87"/>
        <w:rPr>
          <w:rtl/>
        </w:rPr>
      </w:pPr>
      <w:r w:rsidRPr="007A340E">
        <w:rPr>
          <w:rFonts w:hint="cs"/>
          <w:b/>
          <w:bCs/>
          <w:rtl/>
        </w:rPr>
        <w:t>الثاني</w:t>
      </w:r>
      <w:r w:rsidRPr="00EA09EB">
        <w:rPr>
          <w:rFonts w:hint="cs"/>
          <w:rtl/>
        </w:rPr>
        <w:t xml:space="preserve">: يلازم عدم التساوي، في دائرة الولاية، وجود أفراد يمتازون </w:t>
      </w:r>
      <w:r w:rsidRPr="00EA09EB">
        <w:rPr>
          <w:rtl/>
        </w:rPr>
        <w:t>ـ</w:t>
      </w:r>
      <w:r w:rsidRPr="00EA09EB">
        <w:rPr>
          <w:rFonts w:hint="cs"/>
          <w:rtl/>
        </w:rPr>
        <w:t xml:space="preserve"> في شأن من الشؤون، وفي جميع الشؤون الإنسانية </w:t>
      </w:r>
      <w:r w:rsidRPr="00EA09EB">
        <w:rPr>
          <w:rtl/>
        </w:rPr>
        <w:t>ـ</w:t>
      </w:r>
      <w:r w:rsidRPr="00EA09EB">
        <w:rPr>
          <w:rFonts w:hint="cs"/>
          <w:rtl/>
        </w:rPr>
        <w:t xml:space="preserve"> عن غيرهم بالقدرة والصلاحية الشرعيّة المعتبرة، فبالإضافة إلى التصدّي لشؤونهم الخاصّة فإنّهم مخوَّلون التصدّي لشؤون غيرهم. فَلِكَيْ تتحقَّق الولاية الفقهية لابدّ من الاعتراف بحقوق وامتيازات شرعيّة خاصّة بالأولياء.</w:t>
      </w:r>
    </w:p>
    <w:p w:rsidR="00EA09EB" w:rsidRPr="00EA09EB" w:rsidRDefault="00EA09EB" w:rsidP="00635BE2">
      <w:pPr>
        <w:pStyle w:val="Normal87"/>
        <w:rPr>
          <w:rtl/>
        </w:rPr>
      </w:pPr>
      <w:r w:rsidRPr="007A340E">
        <w:rPr>
          <w:rFonts w:hint="cs"/>
          <w:b/>
          <w:bCs/>
          <w:rtl/>
        </w:rPr>
        <w:t>الثالث</w:t>
      </w:r>
      <w:r w:rsidRPr="00EA09EB">
        <w:rPr>
          <w:rFonts w:hint="cs"/>
          <w:rtl/>
        </w:rPr>
        <w:t>: ومن الملازمات الأخرى لعدم التساوي في دائرة الولاية وجود أفراد غير قادرين على التصدّي لبعض شؤونهم الخاصّة، أو جميعها، وغير مؤهَّلين لذلك، ويعدّون من المحجور عليهم بطريقة أو بأخرى. (فالمحجوريّة) من الملازمات غير القابلة للانفكاك عن الولاية الفقهيّة. فالمولّى عليهم في الولاية الشرعيّة هم محجورٌ عليهم شرعاً، أما إذا كانوا راشدين وقادرين شرعاً على التصدّي لشؤونهم فإنّ الولاية لا تشملهم</w:t>
      </w:r>
      <w:r w:rsidRPr="00064619">
        <w:rPr>
          <w:rFonts w:cs="Taher"/>
          <w:sz w:val="32"/>
          <w:vertAlign w:val="superscript"/>
          <w:rtl/>
        </w:rPr>
        <w:t>(</w:t>
      </w:r>
      <w:r w:rsidRPr="00064619">
        <w:rPr>
          <w:rStyle w:val="FootnoteReference"/>
          <w:rFonts w:cs="Taher"/>
          <w:sz w:val="32"/>
          <w:rtl/>
        </w:rPr>
        <w:footnoteReference w:id="90"/>
      </w:r>
      <w:r w:rsidRPr="00064619">
        <w:rPr>
          <w:rFonts w:cs="Taher"/>
          <w:sz w:val="32"/>
          <w:vertAlign w:val="superscript"/>
          <w:rtl/>
        </w:rPr>
        <w:t>)</w:t>
      </w:r>
      <w:r w:rsidRPr="00EA09EB">
        <w:rPr>
          <w:rFonts w:hint="cs"/>
          <w:rtl/>
        </w:rPr>
        <w:t>.</w:t>
      </w:r>
    </w:p>
    <w:p w:rsidR="00EA09EB" w:rsidRPr="00A32FC0" w:rsidRDefault="00EA09EB" w:rsidP="00EA09EB">
      <w:pPr>
        <w:rPr>
          <w:rtl/>
        </w:rPr>
      </w:pPr>
      <w:r w:rsidRPr="00A32FC0">
        <w:rPr>
          <w:rFonts w:hint="cs"/>
          <w:rtl/>
        </w:rPr>
        <w:t>10</w:t>
      </w:r>
      <w:r w:rsidRPr="00A32FC0">
        <w:rPr>
          <w:rtl/>
        </w:rPr>
        <w:t>ـ</w:t>
      </w:r>
      <w:r w:rsidRPr="00A32FC0">
        <w:rPr>
          <w:rFonts w:hint="cs"/>
          <w:rtl/>
        </w:rPr>
        <w:t xml:space="preserve"> أحكام الولاية:</w:t>
      </w:r>
    </w:p>
    <w:p w:rsidR="00EA09EB" w:rsidRPr="00EA09EB" w:rsidRDefault="00EA09EB" w:rsidP="007A340E">
      <w:pPr>
        <w:ind w:firstLine="283"/>
        <w:rPr>
          <w:rtl/>
        </w:rPr>
      </w:pPr>
      <w:r w:rsidRPr="007A340E">
        <w:rPr>
          <w:rFonts w:hint="cs"/>
          <w:b/>
          <w:bCs/>
          <w:rtl/>
        </w:rPr>
        <w:t>الأول</w:t>
      </w:r>
      <w:r w:rsidRPr="00EA09EB">
        <w:rPr>
          <w:rFonts w:hint="cs"/>
          <w:rtl/>
        </w:rPr>
        <w:t>: إنّ الله هو جاعل الولاية. وإنّ تعيين وعزل الولي بيد الجاعل، ولا دخالة للمولّى عليه في مسألة تعيين وعزل الوليّ الشرعيّ؛ وذلك لأنّ المولّى عليه في دائرة الولاية محجورٌ عليه، وإنّ تعيين وعزل الأولياء الشرعيّين فوق صلاحياتهم، وتفويضٌ أمر التعيين وعزل الأولياء الشرعيين بيد المولّى عليهم هو خروجٌ عن العنوان الشرعيّ للمولّى عليه.</w:t>
      </w:r>
    </w:p>
    <w:p w:rsidR="00EA09EB" w:rsidRPr="00EA09EB" w:rsidRDefault="00EA09EB" w:rsidP="00635BE2">
      <w:pPr>
        <w:pStyle w:val="Normal93"/>
        <w:rPr>
          <w:rtl/>
        </w:rPr>
      </w:pPr>
      <w:r w:rsidRPr="007A340E">
        <w:rPr>
          <w:rFonts w:hint="cs"/>
          <w:b/>
          <w:bCs/>
          <w:rtl/>
        </w:rPr>
        <w:t>الثاني</w:t>
      </w:r>
      <w:r w:rsidRPr="00EA09EB">
        <w:rPr>
          <w:rFonts w:hint="cs"/>
          <w:rtl/>
        </w:rPr>
        <w:t>: ليس للمولّى عليه حقّ التدخُّل في إجراء الولاية، ولا الإشراف على تصرفات الوليّ الشرعيّ. ومَنْ له الحقّ في التدخُّل والإشراف يجب أن يكون رشيداً وذا حقّ في ذلك. والحال أنّ المولّى عليهم في إطار الولاية هم غير مؤهَّلين للتصدّي لشؤونهم شرعاً</w:t>
      </w:r>
      <w:r w:rsidRPr="00064619">
        <w:rPr>
          <w:rFonts w:cs="Taher"/>
          <w:sz w:val="32"/>
          <w:vertAlign w:val="superscript"/>
          <w:rtl/>
        </w:rPr>
        <w:t>(</w:t>
      </w:r>
      <w:r w:rsidRPr="00064619">
        <w:rPr>
          <w:rStyle w:val="FootnoteReference"/>
          <w:rFonts w:cs="Taher"/>
          <w:sz w:val="32"/>
          <w:rtl/>
        </w:rPr>
        <w:footnoteReference w:id="91"/>
      </w:r>
      <w:r w:rsidRPr="00064619">
        <w:rPr>
          <w:rFonts w:cs="Taher"/>
          <w:sz w:val="32"/>
          <w:vertAlign w:val="superscript"/>
          <w:rtl/>
        </w:rPr>
        <w:t>)</w:t>
      </w:r>
      <w:r w:rsidRPr="00EA09EB">
        <w:rPr>
          <w:rFonts w:hint="cs"/>
          <w:rtl/>
        </w:rPr>
        <w:t>.</w:t>
      </w:r>
    </w:p>
    <w:p w:rsidR="00EA09EB" w:rsidRPr="00A32FC0" w:rsidRDefault="00EA09EB" w:rsidP="00635BE2">
      <w:pPr>
        <w:pStyle w:val="Normal93"/>
        <w:rPr>
          <w:rtl/>
        </w:rPr>
      </w:pPr>
      <w:r w:rsidRPr="00A32FC0">
        <w:rPr>
          <w:rFonts w:hint="cs"/>
          <w:b/>
          <w:bCs/>
          <w:rtl/>
        </w:rPr>
        <w:t>الثالث</w:t>
      </w:r>
      <w:r w:rsidRPr="00A32FC0">
        <w:rPr>
          <w:rFonts w:hint="cs"/>
          <w:rtl/>
        </w:rPr>
        <w:t>: الوليّ فردٌ، لا مؤسَّسة. وبعبارة أخرى: الولي شخصية حقيقية، لا شخصية حقوقية. والولاية الشرعية حكم جعله الله لأشخاص يتمتَّعون بمواصفات خاصّة. والمولّى عليهم أيضاً هم أشخاص حقيقيّون، وليسوا مجتمعاً اعتباريّاً. وبمعنى آخر: إنهم عبارة عن أفراد متفرِّقين منضوين تحت الولاية؛ وذلك لأنّ تكليف المولّى عليهم بإطاعة الوليّ الشرعيّ لا يمكن أن يتعلَّق بأمرٍ اعتباريٍّ.</w:t>
      </w:r>
    </w:p>
    <w:p w:rsidR="00EA09EB" w:rsidRPr="00A32FC0" w:rsidRDefault="00EA09EB" w:rsidP="00635BE2">
      <w:pPr>
        <w:pStyle w:val="Normal93"/>
        <w:rPr>
          <w:rtl/>
        </w:rPr>
      </w:pPr>
      <w:r w:rsidRPr="00A32FC0">
        <w:rPr>
          <w:rFonts w:hint="cs"/>
          <w:rtl/>
        </w:rPr>
        <w:t>11</w:t>
      </w:r>
      <w:r w:rsidRPr="00A32FC0">
        <w:rPr>
          <w:rtl/>
        </w:rPr>
        <w:t>ـ</w:t>
      </w:r>
      <w:r w:rsidRPr="00A32FC0">
        <w:rPr>
          <w:rFonts w:hint="cs"/>
          <w:rtl/>
        </w:rPr>
        <w:t xml:space="preserve"> حتى القرن الثالث عشر لم يكن هناك في فقه الشيعة باب مستقلّ يختصّ بالولاية، ولكنْ تمّ بحث مسائل الولاية الشرعية وأحكامها المتعدِّدة في الأبواب الفقهية المختلفة. وفي القرنين الأخيرين ازداد اهتمام الفقهاء بـ (القواعد الفقهيّة)، وتم البحث في الولاية الشرعية بشكل كلّيّ تحت عنوان كونها إحدى القواعد الفقهية. ويعدّ كتابا «العناوين» و«بلغة الفقيه» من أوائل الكتب الفقهيّة التي بحثت موضوع الولاية الشرعيّة بشكلٍ مستقلٍّ في القرنين الأخيرين</w:t>
      </w:r>
      <w:r w:rsidRPr="00064619">
        <w:rPr>
          <w:rFonts w:cs="Taher"/>
          <w:vertAlign w:val="superscript"/>
          <w:rtl/>
        </w:rPr>
        <w:t>(</w:t>
      </w:r>
      <w:r w:rsidRPr="00064619">
        <w:rPr>
          <w:rStyle w:val="FootnoteReference"/>
          <w:rFonts w:cs="Taher"/>
          <w:sz w:val="32"/>
          <w:rtl/>
        </w:rPr>
        <w:footnoteReference w:id="92"/>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lang w:bidi="ar-LB"/>
        </w:rPr>
        <w:t>12</w:t>
      </w:r>
      <w:r w:rsidRPr="00A32FC0">
        <w:rPr>
          <w:rtl/>
          <w:lang w:bidi="ar-LB"/>
        </w:rPr>
        <w:t>ـ</w:t>
      </w:r>
      <w:r w:rsidRPr="00A32FC0">
        <w:rPr>
          <w:rFonts w:hint="cs"/>
          <w:rtl/>
          <w:lang w:bidi="ar-LB"/>
        </w:rPr>
        <w:t xml:space="preserve"> في الأبواب الفقهية المختلفة أُثبتت الولايات الشرعيّة الآتية</w:t>
      </w:r>
      <w:r w:rsidRPr="00064619">
        <w:rPr>
          <w:rFonts w:cs="Taher"/>
          <w:vertAlign w:val="superscript"/>
          <w:rtl/>
          <w:lang w:bidi="ar-LB"/>
        </w:rPr>
        <w:t>(</w:t>
      </w:r>
      <w:r w:rsidRPr="00064619">
        <w:rPr>
          <w:rStyle w:val="FootnoteReference"/>
          <w:rFonts w:cs="Taher"/>
          <w:sz w:val="32"/>
          <w:rtl/>
          <w:lang w:bidi="ar-LB"/>
        </w:rPr>
        <w:footnoteReference w:id="93"/>
      </w:r>
      <w:r w:rsidRPr="00064619">
        <w:rPr>
          <w:rFonts w:cs="Taher"/>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الأولى</w:t>
      </w:r>
      <w:r w:rsidRPr="00EA09EB">
        <w:rPr>
          <w:rFonts w:hint="cs"/>
          <w:rtl/>
        </w:rPr>
        <w:t>: ولاية أولياء الميت، وهم الورثة النسبيّون أو السببيّون للميت. وتثبت ولايتهم طبقاً لطبقات الإرث، أي إن وجود الطبقة الأعلى من الورثة يحجب الولاية عن الطبقة الأسفل. ولأولياء الميت الولاية في القيام بشؤون الميت، من غسل وتكفين ودفن وصلاة، ولا يجوز مزاحمتهم في هذه الأمور. وإذا أراد أحدٌ القيام بهذه الأمور وجب عليه أن يستأذنهم، حتّى أنّ وصيَّ الميت عليه أن يستأذنهم في القيام بهذه الأمور</w:t>
      </w:r>
      <w:r w:rsidRPr="00064619">
        <w:rPr>
          <w:rFonts w:cs="Taher"/>
          <w:sz w:val="32"/>
          <w:vertAlign w:val="superscript"/>
          <w:rtl/>
          <w:lang w:bidi="ar-LB"/>
        </w:rPr>
        <w:t>(</w:t>
      </w:r>
      <w:r w:rsidRPr="00064619">
        <w:rPr>
          <w:rStyle w:val="FootnoteReference"/>
          <w:rFonts w:cs="Taher"/>
          <w:sz w:val="32"/>
          <w:rtl/>
          <w:lang w:bidi="ar-LB"/>
        </w:rPr>
        <w:footnoteReference w:id="94"/>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الثانية</w:t>
      </w:r>
      <w:r w:rsidRPr="00EA09EB">
        <w:rPr>
          <w:rFonts w:hint="cs"/>
          <w:rtl/>
        </w:rPr>
        <w:t>: ولاية الابن الأكبر. إنّ للابن الأكبر ولاية في أداء الصلاة والصوم الذي فات والده الميت، وكون قضاء ما فات والده، سواء بالمباشرة أو بالتسبيب، في عهدته</w:t>
      </w:r>
      <w:r w:rsidRPr="00064619">
        <w:rPr>
          <w:rFonts w:cs="Taher"/>
          <w:sz w:val="32"/>
          <w:vertAlign w:val="superscript"/>
          <w:rtl/>
          <w:lang w:bidi="ar-LB"/>
        </w:rPr>
        <w:t>(</w:t>
      </w:r>
      <w:r w:rsidRPr="00064619">
        <w:rPr>
          <w:rStyle w:val="FootnoteReference"/>
          <w:rFonts w:cs="Taher"/>
          <w:sz w:val="32"/>
          <w:rtl/>
          <w:lang w:bidi="ar-LB"/>
        </w:rPr>
        <w:footnoteReference w:id="95"/>
      </w:r>
      <w:r w:rsidRPr="00064619">
        <w:rPr>
          <w:rFonts w:cs="Taher"/>
          <w:sz w:val="32"/>
          <w:vertAlign w:val="superscript"/>
          <w:rtl/>
          <w:lang w:bidi="ar-LB"/>
        </w:rPr>
        <w:t>)</w:t>
      </w:r>
      <w:r w:rsidRPr="00EA09EB">
        <w:rPr>
          <w:rFonts w:hint="cs"/>
          <w:rtl/>
        </w:rPr>
        <w:t>.</w:t>
      </w:r>
    </w:p>
    <w:p w:rsidR="00EA09EB" w:rsidRPr="00EA09EB" w:rsidRDefault="00EA09EB" w:rsidP="00635BE2">
      <w:pPr>
        <w:pStyle w:val="Normal84"/>
        <w:rPr>
          <w:rtl/>
        </w:rPr>
      </w:pPr>
      <w:r w:rsidRPr="007A340E">
        <w:rPr>
          <w:rFonts w:hint="cs"/>
          <w:b/>
          <w:bCs/>
          <w:rtl/>
        </w:rPr>
        <w:t>الثالثة</w:t>
      </w:r>
      <w:r w:rsidRPr="00EA09EB">
        <w:rPr>
          <w:rFonts w:hint="cs"/>
          <w:rtl/>
        </w:rPr>
        <w:t>: ولاية الأب والجد للأب، فهم أولياء للصغير والسفيه والمجنون من أبنائهم، ويجوز لهم التصرُّف في أموالهم وأنفسهم. ولكلٍّ من الأب والجد للأب ولاية مستقلّة. وفي صورة التزاحم تقدَّم ولاية الأسبق. ولا يشترط في نفوذ تصرُّفات الأب والجد للأب مصلحة المولّى عليهم، بل يكفي عدم المفسدة في النفوذ، إلا أنه يجب مراعاة المصلحة من باب الاحتياط. ولا يشترط عدالتهما في الولاية أيضاً. ويمكن للأولياء أن يدفعوا الأولاد إلى العمل. ويمكنهم أيضاً المتاجرة بأموالهم. كما يمكنهم أن يزوِّجوهم ممَّن يرَوْن فيهم صلاحاً لذلك. ولا يعتبر إذن الأطفال في كلّ هذه الأمور المذكورة</w:t>
      </w:r>
      <w:r w:rsidRPr="00064619">
        <w:rPr>
          <w:rFonts w:cs="Taher"/>
          <w:sz w:val="32"/>
          <w:vertAlign w:val="superscript"/>
          <w:rtl/>
        </w:rPr>
        <w:t>(</w:t>
      </w:r>
      <w:r w:rsidRPr="00064619">
        <w:rPr>
          <w:rStyle w:val="FootnoteReference"/>
          <w:rFonts w:cs="Taher"/>
          <w:sz w:val="32"/>
          <w:rtl/>
        </w:rPr>
        <w:footnoteReference w:id="96"/>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الرابعة</w:t>
      </w:r>
      <w:r w:rsidRPr="00EA09EB">
        <w:rPr>
          <w:rFonts w:hint="cs"/>
          <w:rtl/>
        </w:rPr>
        <w:t>: ولاية ورثة المقتول. إنّ ورثة المقتول ـ طبقاً لطبقات الإرث ـ هم أولياء الدم. ولوليّ الدم الولاية في القصاص، أو العفو وأخذ الدية</w:t>
      </w:r>
      <w:r w:rsidRPr="00064619">
        <w:rPr>
          <w:rFonts w:cs="Taher"/>
          <w:sz w:val="32"/>
          <w:vertAlign w:val="superscript"/>
          <w:rtl/>
          <w:lang w:bidi="ar-LB"/>
        </w:rPr>
        <w:t>(</w:t>
      </w:r>
      <w:r w:rsidRPr="00064619">
        <w:rPr>
          <w:rStyle w:val="FootnoteReference"/>
          <w:rFonts w:cs="Taher"/>
          <w:sz w:val="32"/>
          <w:rtl/>
          <w:lang w:bidi="ar-LB"/>
        </w:rPr>
        <w:footnoteReference w:id="97"/>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الخامسة</w:t>
      </w:r>
      <w:r w:rsidRPr="00EA09EB">
        <w:rPr>
          <w:rFonts w:hint="cs"/>
          <w:rtl/>
        </w:rPr>
        <w:t>: ولاية الوصيّ (الموصى إليه)، الذي يعيّن من قِبَل الموصي. وحدود ولايته تخضع لما يُنَصّ عليه في الوصية. والوصيّ على الأطفال المعيَّن من قبل الأب أو الجد للأب يسمى (قيِّماً)، وله القيمومة على الأطفال أو السفهاء أو المجانين. وصلاحيات (القيِّم) هي صلاحيات (الوليّ) نفسها، مع فارق أنّ صحة تصرُّفاته منوطة بمصلحة المولّى عليهم. ويشترط فيه الأمانة، والثقة. ولذلك فالقيمومة هي إحدى الولايات الشرعيّة</w:t>
      </w:r>
      <w:r w:rsidRPr="00064619">
        <w:rPr>
          <w:rFonts w:cs="Taher"/>
          <w:sz w:val="32"/>
          <w:vertAlign w:val="superscript"/>
          <w:rtl/>
          <w:lang w:bidi="ar-LB"/>
        </w:rPr>
        <w:t>(</w:t>
      </w:r>
      <w:r w:rsidRPr="00064619">
        <w:rPr>
          <w:rStyle w:val="FootnoteReference"/>
          <w:rFonts w:cs="Taher"/>
          <w:sz w:val="32"/>
          <w:rtl/>
          <w:lang w:bidi="ar-LB"/>
        </w:rPr>
        <w:footnoteReference w:id="98"/>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b/>
          <w:bCs/>
          <w:rtl/>
          <w:lang w:bidi="ar-LB"/>
        </w:rPr>
        <w:t>السادسة</w:t>
      </w:r>
      <w:r w:rsidRPr="00A32FC0">
        <w:rPr>
          <w:rFonts w:hint="cs"/>
          <w:rtl/>
          <w:lang w:bidi="ar-LB"/>
        </w:rPr>
        <w:t xml:space="preserve">: ولاية الواقف. ويمكن للواقف أن يعيِّن وليّاً للوقف. كما يمكن له أن يعيّن ناظراً للوقف. ويشترط في الوليّ والناظر الأمانة، والأهليّة. إنّ قبول المتولّي بالتولّي غير واجب، ومع عدم موافقته يصبح الوقف بحكم الوقف بدون وليٍّ معيَّنٍ. </w:t>
      </w:r>
    </w:p>
    <w:p w:rsidR="00EA09EB" w:rsidRPr="00EA09EB" w:rsidRDefault="00EA09EB" w:rsidP="00635BE2">
      <w:pPr>
        <w:pStyle w:val="Normal87"/>
        <w:rPr>
          <w:rtl/>
        </w:rPr>
      </w:pPr>
      <w:r w:rsidRPr="00A32FC0">
        <w:rPr>
          <w:rFonts w:hint="cs"/>
          <w:rtl/>
        </w:rPr>
        <w:t>والواقف هو الذي يحدِّد صلاحيات تولّي الوقف. وفي حال لم يعيّن الواقف حدود هذه الصلاحيات يُرجع حينئذٍ إلى العرف. ولا يحقّ للمتولّي أن يفوِّض أمر الوقف إلى غيره، إلاّ أنّه يجوز له أن يوكِّل شخصاً، دون أن يباشر أمور الوقف بنفسه. ويمكن للواقف أن يعيِّن ناظراً للوقف؛ لغرض حسن الإدارة. والنظارة على الوقف إما أن تكون (استطلاعيّة)؛ أو (استصوابية). ففي النظارة الاستطلاعية يتمتَّع المتولّي بالاستقلاليّة في التصرُّف، ولا يشترط إذن الناظر في صحّة تصرُّفاته، إلا أنه يجب عليه إعلام الناظر بالتصرُّف. وأمّا في النظارة الاستصوابية فإنّ المتولّي يحتاج إلى إذن الناظر في التصرُّف</w:t>
      </w:r>
      <w:r w:rsidRPr="00064619">
        <w:rPr>
          <w:rFonts w:cs="Taher"/>
          <w:vertAlign w:val="superscript"/>
          <w:rtl/>
        </w:rPr>
        <w:t>(</w:t>
      </w:r>
      <w:r w:rsidRPr="00064619">
        <w:rPr>
          <w:rStyle w:val="FootnoteReference"/>
          <w:rFonts w:cs="Taher"/>
          <w:sz w:val="32"/>
          <w:rtl/>
        </w:rPr>
        <w:footnoteReference w:id="99"/>
      </w:r>
      <w:r w:rsidRPr="00064619">
        <w:rPr>
          <w:rFonts w:cs="Taher"/>
          <w:vertAlign w:val="superscript"/>
          <w:rtl/>
        </w:rPr>
        <w:t>)</w:t>
      </w:r>
      <w:r w:rsidRPr="00EA09EB">
        <w:rPr>
          <w:rFonts w:hint="cs"/>
          <w:rtl/>
        </w:rPr>
        <w:t>، فلا يجوز للمتولّي التصرُّف بدون إذن الناظر.</w:t>
      </w:r>
    </w:p>
    <w:p w:rsidR="00EA09EB" w:rsidRPr="00A32FC0" w:rsidRDefault="00EA09EB" w:rsidP="00EA09EB">
      <w:pPr>
        <w:rPr>
          <w:rtl/>
          <w:lang w:bidi="ar-LB"/>
        </w:rPr>
      </w:pPr>
      <w:r w:rsidRPr="00A32FC0">
        <w:rPr>
          <w:rFonts w:hint="cs"/>
          <w:b/>
          <w:bCs/>
          <w:rtl/>
          <w:lang w:bidi="ar-LB"/>
        </w:rPr>
        <w:t>السابعة</w:t>
      </w:r>
      <w:r w:rsidRPr="00A32FC0">
        <w:rPr>
          <w:rFonts w:hint="cs"/>
          <w:rtl/>
          <w:lang w:bidi="ar-LB"/>
        </w:rPr>
        <w:t>: ولاية الحاكم. في حال فقدان الأب، والجدّ للأب، والقيّم على الأطفال والسفهاء والمجانين وكلّ مَنْ يحتاج شرعاً إلى الولاية، وليس له وليّ خاصّ، ولا يرضى الشارع بتركهم هكذا، فإنّ الفقيه العادل مجازٌ بالتصرُّف في أمورهم التي يعبَّر عنها بـ (الأمور الحِسْبيّة).</w:t>
      </w:r>
    </w:p>
    <w:p w:rsidR="00EA09EB" w:rsidRPr="00EA09EB" w:rsidRDefault="00EA09EB" w:rsidP="00635BE2">
      <w:pPr>
        <w:pStyle w:val="Normal87"/>
        <w:rPr>
          <w:rtl/>
        </w:rPr>
      </w:pPr>
      <w:r w:rsidRPr="00A32FC0">
        <w:rPr>
          <w:rFonts w:hint="cs"/>
          <w:rtl/>
        </w:rPr>
        <w:t>يرى بعض الفقهاء أن جواز التصرف هذا ناشئٌ عن «ولاية الفقيه»</w:t>
      </w:r>
      <w:r w:rsidRPr="00064619">
        <w:rPr>
          <w:rFonts w:cs="Taher"/>
          <w:vertAlign w:val="superscript"/>
          <w:rtl/>
        </w:rPr>
        <w:t>(</w:t>
      </w:r>
      <w:r w:rsidRPr="00064619">
        <w:rPr>
          <w:rStyle w:val="FootnoteReference"/>
          <w:rFonts w:cs="Taher"/>
          <w:sz w:val="32"/>
          <w:rtl/>
        </w:rPr>
        <w:footnoteReference w:id="100"/>
      </w:r>
      <w:r w:rsidRPr="00064619">
        <w:rPr>
          <w:rFonts w:cs="Taher"/>
          <w:vertAlign w:val="superscript"/>
          <w:rtl/>
        </w:rPr>
        <w:t>)</w:t>
      </w:r>
      <w:r w:rsidRPr="00EA09EB">
        <w:rPr>
          <w:rFonts w:hint="cs"/>
          <w:rtl/>
        </w:rPr>
        <w:t>؛ ويرى البعض الآخر أنْ ليس للفقهاء ولاية شرعيّة حتى في الأمور الحسبيّة، بل تقتصر ولايتهم وجواز تصرّفهم على القدر المتيقَّن</w:t>
      </w:r>
      <w:r w:rsidRPr="00064619">
        <w:rPr>
          <w:rFonts w:cs="Taher"/>
          <w:vertAlign w:val="superscript"/>
          <w:rtl/>
        </w:rPr>
        <w:t>(</w:t>
      </w:r>
      <w:r w:rsidRPr="00064619">
        <w:rPr>
          <w:rStyle w:val="FootnoteReference"/>
          <w:rFonts w:cs="Taher"/>
          <w:sz w:val="32"/>
          <w:rtl/>
        </w:rPr>
        <w:footnoteReference w:id="101"/>
      </w:r>
      <w:r w:rsidRPr="00064619">
        <w:rPr>
          <w:rFonts w:cs="Taher"/>
          <w:vertAlign w:val="superscript"/>
          <w:rtl/>
        </w:rPr>
        <w:t>)</w:t>
      </w:r>
      <w:r w:rsidRPr="00EA09EB">
        <w:rPr>
          <w:rFonts w:hint="cs"/>
          <w:rtl/>
        </w:rPr>
        <w:t>. وجواز تصرُّف الفقيه يدور مدار المصلحة والمفسدة في شؤون المولّى عليهم أو المحجور عليهم. وفي حال عدم وجود الفقيه العادل يتولّى المؤمنون العدول الأمور الحِسْبيّة، ولا ولاية للمؤمنين العدول</w:t>
      </w:r>
      <w:r w:rsidRPr="00064619">
        <w:rPr>
          <w:rFonts w:cs="Taher"/>
          <w:vertAlign w:val="superscript"/>
          <w:rtl/>
        </w:rPr>
        <w:t>(</w:t>
      </w:r>
      <w:r w:rsidRPr="00064619">
        <w:rPr>
          <w:rStyle w:val="FootnoteReference"/>
          <w:rFonts w:cs="Taher"/>
          <w:sz w:val="32"/>
          <w:rtl/>
        </w:rPr>
        <w:footnoteReference w:id="102"/>
      </w:r>
      <w:r w:rsidRPr="00064619">
        <w:rPr>
          <w:rFonts w:cs="Taher"/>
          <w:vertAlign w:val="superscript"/>
          <w:rtl/>
        </w:rPr>
        <w:t>)</w:t>
      </w:r>
      <w:r w:rsidRPr="00EA09EB">
        <w:rPr>
          <w:rFonts w:hint="cs"/>
          <w:rtl/>
        </w:rPr>
        <w:t>. استعملت عبارة (ولاية الفقيه) لأوّل مرّة في الفقه، بل في العلوم الإسلامية كافةً، في بحث الأمور الحسبيّة بالمعنى المذكور (الولاية على الغُيّب والقُصَّر). وإنْ كان جواز تصرُّف الفقيه في الأمور الحسبية إجماعياً، إلاّ أنّه من باب ولاية الفقيه ليس مَحَلَّ إجماعٍ. والمراد من ولاية الفقيه في الأمور الحسبيّة هو الولاية الشرعية والفقهيّة، وهذا يعني بالملازمة محجوريّة المولّى عليهم. ولابدّ من الإشارة إلى أنّ المرأة من حيث هي امرأة ليست مولّى عليها في الفقه الشيعي، وإنْ كان يلزم في زواج البنت البكر الرشيدة إذن الأب أو الجدّ للأب على نحو الاحتياط، أمّا الزواج بدون إذن البنت فلا يصحّ مطلقاً</w:t>
      </w:r>
      <w:r w:rsidRPr="00064619">
        <w:rPr>
          <w:rFonts w:cs="Taher"/>
          <w:vertAlign w:val="superscript"/>
          <w:rtl/>
        </w:rPr>
        <w:t>(</w:t>
      </w:r>
      <w:r w:rsidRPr="00064619">
        <w:rPr>
          <w:rStyle w:val="FootnoteReference"/>
          <w:rFonts w:cs="Taher"/>
          <w:sz w:val="32"/>
          <w:rtl/>
        </w:rPr>
        <w:footnoteReference w:id="103"/>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ثم إنّه وإنْ كان يجب على الزوجة إطاعة زوجها في أمور المساكنة، إلاّ أنّ الزوج لا ولاية له عليها.</w:t>
      </w:r>
    </w:p>
    <w:p w:rsidR="00EA09EB" w:rsidRPr="00A32FC0" w:rsidRDefault="00EA09EB" w:rsidP="00EA09EB">
      <w:pPr>
        <w:rPr>
          <w:rtl/>
          <w:lang w:bidi="ar-LB"/>
        </w:rPr>
      </w:pPr>
      <w:r w:rsidRPr="00A32FC0">
        <w:rPr>
          <w:rFonts w:hint="cs"/>
          <w:rtl/>
          <w:lang w:bidi="ar-LB"/>
        </w:rPr>
        <w:t>وبما أنّ العلاقة ب</w:t>
      </w:r>
      <w:r w:rsidR="00B36623">
        <w:rPr>
          <w:rFonts w:hint="cs"/>
          <w:rtl/>
          <w:lang w:bidi="ar-LB"/>
        </w:rPr>
        <w:t>ين الإماء والعبيد من جهة والمول</w:t>
      </w:r>
      <w:r w:rsidRPr="00A32FC0">
        <w:rPr>
          <w:rFonts w:hint="cs"/>
          <w:rtl/>
          <w:lang w:bidi="ar-LB"/>
        </w:rPr>
        <w:t>ى المالك من جهة أخرى هي علاقة ملكيّة، والملكيّة علاقة أقوى من علاقة الولاية، فإنّنا لم نتعرَّض إلى هذه المسألة ضمن مسائل الولاية.</w:t>
      </w:r>
    </w:p>
    <w:p w:rsidR="00EA09EB" w:rsidRPr="00A32FC0" w:rsidRDefault="00EA09EB" w:rsidP="00EA09EB">
      <w:pPr>
        <w:rPr>
          <w:rtl/>
          <w:lang w:bidi="ar-LB"/>
        </w:rPr>
      </w:pPr>
      <w:r w:rsidRPr="00A32FC0">
        <w:rPr>
          <w:rFonts w:hint="cs"/>
          <w:rtl/>
          <w:lang w:bidi="ar-LB"/>
        </w:rPr>
        <w:t>13</w:t>
      </w:r>
      <w:r w:rsidRPr="00A32FC0">
        <w:rPr>
          <w:rtl/>
          <w:lang w:bidi="ar-LB"/>
        </w:rPr>
        <w:t>ـ</w:t>
      </w:r>
      <w:r w:rsidRPr="00A32FC0">
        <w:rPr>
          <w:rFonts w:hint="cs"/>
          <w:rtl/>
          <w:lang w:bidi="ar-LB"/>
        </w:rPr>
        <w:t xml:space="preserve"> تقسَّم الولايات الشرعية، من حيثيّات مختلفة، إلى عدّة أقسام:</w:t>
      </w:r>
    </w:p>
    <w:p w:rsidR="00EA09EB" w:rsidRPr="00A32FC0" w:rsidRDefault="00EA09EB" w:rsidP="00635BE2">
      <w:pPr>
        <w:pStyle w:val="Normal87"/>
        <w:rPr>
          <w:rtl/>
        </w:rPr>
      </w:pPr>
      <w:r w:rsidRPr="00A32FC0">
        <w:rPr>
          <w:rFonts w:hint="cs"/>
          <w:b/>
          <w:bCs/>
          <w:rtl/>
        </w:rPr>
        <w:t>الأوّل</w:t>
      </w:r>
      <w:r w:rsidRPr="00A32FC0">
        <w:rPr>
          <w:rFonts w:hint="cs"/>
          <w:rtl/>
        </w:rPr>
        <w:t xml:space="preserve">: الولاية الشرعية إمّا قهريّة؛ وإمّا اختيارية. ولا يعتبر رضا المولّى عليه في كلا القسمين. </w:t>
      </w:r>
    </w:p>
    <w:p w:rsidR="00EA09EB" w:rsidRPr="00EA09EB" w:rsidRDefault="00EA09EB" w:rsidP="00EA09EB">
      <w:pPr>
        <w:rPr>
          <w:rtl/>
        </w:rPr>
      </w:pPr>
      <w:r w:rsidRPr="00A32FC0">
        <w:rPr>
          <w:rFonts w:hint="cs"/>
          <w:rtl/>
          <w:lang w:bidi="ar-LB"/>
        </w:rPr>
        <w:t>أمّا في الولاية القهرية فإنّ رضا الوليّ غير معتبر أيضاً. فولاية الأب، والجد للأب، وأولياء الميت، وأولياء الدم، وولاية الولد الأكبر على ما فات من والده، وولاية الفقيه، هي أقسام مختلفة من الولاية القهرية، التي لا يشترط فيها رضا الولي، ولا رضا المولّى عليه. والأولياء في هذه الولاية لا يحقّ لهم عدم قبول الولاية ابتداءً. كما أنّه لا يحقّ لهم الاستقالة أثناء فترة الولاية</w:t>
      </w:r>
      <w:r w:rsidRPr="00064619">
        <w:rPr>
          <w:rFonts w:cs="Taher"/>
          <w:vertAlign w:val="superscript"/>
          <w:rtl/>
          <w:lang w:bidi="ar-LB"/>
        </w:rPr>
        <w:t>(</w:t>
      </w:r>
      <w:r w:rsidRPr="00064619">
        <w:rPr>
          <w:rStyle w:val="FootnoteReference"/>
          <w:rFonts w:cs="Taher"/>
          <w:sz w:val="32"/>
          <w:rtl/>
          <w:lang w:bidi="ar-LB"/>
        </w:rPr>
        <w:footnoteReference w:id="104"/>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 xml:space="preserve">أمّا في الولاية الاختيارية فإنّ قبول الولي ـ وليس قبول المولّى عليهم ـ يُعَدّ شرطاً فيها. </w:t>
      </w:r>
    </w:p>
    <w:p w:rsidR="00EA09EB" w:rsidRPr="00A32FC0" w:rsidRDefault="00EA09EB" w:rsidP="00B36623">
      <w:pPr>
        <w:rPr>
          <w:rtl/>
          <w:lang w:bidi="ar-LB"/>
        </w:rPr>
      </w:pPr>
      <w:r w:rsidRPr="00A32FC0">
        <w:rPr>
          <w:rFonts w:hint="cs"/>
          <w:rtl/>
          <w:lang w:bidi="ar-LB"/>
        </w:rPr>
        <w:t xml:space="preserve">هذا النوع من الولاية </w:t>
      </w:r>
      <w:r w:rsidRPr="00A32FC0">
        <w:rPr>
          <w:rtl/>
          <w:lang w:bidi="ar-LB"/>
        </w:rPr>
        <w:t>ـ</w:t>
      </w:r>
      <w:r w:rsidRPr="00A32FC0">
        <w:rPr>
          <w:rFonts w:hint="cs"/>
          <w:rtl/>
          <w:lang w:bidi="ar-LB"/>
        </w:rPr>
        <w:t xml:space="preserve"> والذي غالباً ما يسمّى بالتولية </w:t>
      </w:r>
      <w:r w:rsidRPr="00A32FC0">
        <w:rPr>
          <w:rtl/>
          <w:lang w:bidi="ar-LB"/>
        </w:rPr>
        <w:t>ـ</w:t>
      </w:r>
      <w:r w:rsidRPr="00A32FC0">
        <w:rPr>
          <w:rFonts w:hint="cs"/>
          <w:rtl/>
          <w:lang w:bidi="ar-LB"/>
        </w:rPr>
        <w:t xml:space="preserve"> يجعل من قبل أحد المسلمين. وتُعَدُّ الوصاية والوقف من مصاديق الولاية الاختياريّة.</w:t>
      </w:r>
    </w:p>
    <w:p w:rsidR="00EA09EB" w:rsidRPr="00EA09EB" w:rsidRDefault="00EA09EB" w:rsidP="007A340E">
      <w:pPr>
        <w:ind w:firstLine="283"/>
        <w:rPr>
          <w:rtl/>
        </w:rPr>
      </w:pPr>
      <w:r w:rsidRPr="007A340E">
        <w:rPr>
          <w:rFonts w:hint="cs"/>
          <w:b/>
          <w:bCs/>
          <w:rtl/>
        </w:rPr>
        <w:t>الثاني</w:t>
      </w:r>
      <w:r w:rsidRPr="00EA09EB">
        <w:rPr>
          <w:rFonts w:hint="cs"/>
          <w:rtl/>
        </w:rPr>
        <w:t>: الولاية بالنسبة إلى المولّى عليهم إمّا خاصّة؛ وإمّا عامة.</w:t>
      </w:r>
    </w:p>
    <w:p w:rsidR="00EA09EB" w:rsidRPr="00A32FC0" w:rsidRDefault="00EA09EB" w:rsidP="00EA09EB">
      <w:pPr>
        <w:rPr>
          <w:rtl/>
          <w:lang w:bidi="ar-LB"/>
        </w:rPr>
      </w:pPr>
      <w:r w:rsidRPr="00A32FC0">
        <w:rPr>
          <w:rFonts w:hint="cs"/>
          <w:rtl/>
          <w:lang w:bidi="ar-LB"/>
        </w:rPr>
        <w:t xml:space="preserve">في الولاية الخاصّة تنحصر الولاية بمولّى عليه خاصّ. </w:t>
      </w:r>
    </w:p>
    <w:p w:rsidR="00EA09EB" w:rsidRPr="00A32FC0" w:rsidRDefault="00EA09EB" w:rsidP="00EA09EB">
      <w:pPr>
        <w:rPr>
          <w:rtl/>
          <w:lang w:bidi="ar-LB"/>
        </w:rPr>
      </w:pPr>
      <w:r w:rsidRPr="00A32FC0">
        <w:rPr>
          <w:rFonts w:hint="cs"/>
          <w:rtl/>
          <w:lang w:bidi="ar-LB"/>
        </w:rPr>
        <w:t xml:space="preserve">أما في الولاية العامة فهي من حيث المولّى عليهم عامّة. </w:t>
      </w:r>
    </w:p>
    <w:p w:rsidR="00EA09EB" w:rsidRPr="00EA09EB" w:rsidRDefault="00EA09EB" w:rsidP="007A340E">
      <w:pPr>
        <w:ind w:firstLine="283"/>
        <w:rPr>
          <w:rtl/>
        </w:rPr>
      </w:pPr>
      <w:r w:rsidRPr="00EA09EB">
        <w:rPr>
          <w:rFonts w:hint="cs"/>
          <w:rtl/>
        </w:rPr>
        <w:t>إن أقسام الولاية السبعة كلّها مندرجة تحت الولاية الخاصّة. فالأب والجدّ للأب تنحصر ولايتهما في أولادهما القُصّر والمجانين أو السفهاء. وتنحصر ولاية أولياء الدم على الجاني. وحتى ولاية الفقيه في الأمور الحسبية هي خاصّة من هذه الحيثية. وولاية الفقيه الأعمّ من دائرة الأمور الحسبية ـ في حال ثبوتها ـ هي ولاية عامّة، أي إنها تشمل جميع الناس، بغضّ النظر عن الدين، والمذهب، والجنس، والعرق، واللون، والقومية، أي إن جميع هؤلاء هم تحت ولاية الفقهاء العدول الشرعيّة، ويُعَدّون من المولّى عليهم</w:t>
      </w:r>
      <w:r w:rsidRPr="00064619">
        <w:rPr>
          <w:rFonts w:cs="Taher"/>
          <w:sz w:val="32"/>
          <w:vertAlign w:val="superscript"/>
          <w:rtl/>
          <w:lang w:bidi="ar-LB"/>
        </w:rPr>
        <w:t>(</w:t>
      </w:r>
      <w:r w:rsidRPr="00064619">
        <w:rPr>
          <w:rStyle w:val="FootnoteReference"/>
          <w:rFonts w:cs="Taher"/>
          <w:sz w:val="32"/>
          <w:rtl/>
          <w:lang w:bidi="ar-LB"/>
        </w:rPr>
        <w:footnoteReference w:id="105"/>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b/>
          <w:bCs/>
          <w:rtl/>
          <w:lang w:bidi="ar-LB"/>
        </w:rPr>
        <w:t>الثالث</w:t>
      </w:r>
      <w:r w:rsidRPr="00A32FC0">
        <w:rPr>
          <w:rFonts w:hint="cs"/>
          <w:rtl/>
          <w:lang w:bidi="ar-LB"/>
        </w:rPr>
        <w:t xml:space="preserve">: الولاية بالنسبة إلى شؤون المولّى عليهم إمّا خاصّة؛ وإمّا عامّة. وعلى هذا فإن الولاية العامة والولاية الخاصّة اصطلاحان. </w:t>
      </w:r>
    </w:p>
    <w:p w:rsidR="00EA09EB" w:rsidRPr="00EA09EB" w:rsidRDefault="00EA09EB" w:rsidP="00EA09EB">
      <w:pPr>
        <w:rPr>
          <w:rtl/>
        </w:rPr>
      </w:pPr>
      <w:r w:rsidRPr="00A32FC0">
        <w:rPr>
          <w:rFonts w:hint="cs"/>
          <w:rtl/>
          <w:lang w:bidi="ar-LB"/>
        </w:rPr>
        <w:t>فإذا شملت الولاية جميع شؤون المولى عليهم كانت الولاية عامّة، وإذا شملت شأناً خاصّاً من شؤون المولّى عليهم كانت خاصة. فولاية الولد الأكبر خاصّة؛ لأنّها تقتصر على قضاء الصلاة والصوم الفائتين على الميت، ولا تشمل شؤونه الأخرى. وولاية الأب والجد للأب على أولادهما القصّر والسفهاء والمجانين ولاية عامّة؛ لأنها تشمل جميع شؤونهم. وولاية الفقيه في الأمور الحسبية عامّة أيضاً</w:t>
      </w:r>
      <w:r w:rsidRPr="00064619">
        <w:rPr>
          <w:rFonts w:cs="Taher"/>
          <w:vertAlign w:val="superscript"/>
          <w:rtl/>
          <w:lang w:bidi="ar-LB"/>
        </w:rPr>
        <w:t>(</w:t>
      </w:r>
      <w:r w:rsidRPr="00064619">
        <w:rPr>
          <w:rStyle w:val="FootnoteReference"/>
          <w:rFonts w:cs="Taher"/>
          <w:sz w:val="32"/>
          <w:rtl/>
          <w:lang w:bidi="ar-LB"/>
        </w:rPr>
        <w:footnoteReference w:id="106"/>
      </w:r>
      <w:r w:rsidRPr="00064619">
        <w:rPr>
          <w:rFonts w:cs="Taher"/>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الرابع</w:t>
      </w:r>
      <w:r w:rsidRPr="00EA09EB">
        <w:rPr>
          <w:rFonts w:hint="cs"/>
          <w:rtl/>
        </w:rPr>
        <w:t>: الولاية إمّا مطلقة؛ وإمّا مقيَّدة.</w:t>
      </w:r>
    </w:p>
    <w:p w:rsidR="00EA09EB" w:rsidRPr="00A32FC0" w:rsidRDefault="00EA09EB" w:rsidP="00EA09EB">
      <w:pPr>
        <w:rPr>
          <w:rtl/>
          <w:lang w:bidi="ar-LB"/>
        </w:rPr>
      </w:pPr>
      <w:r w:rsidRPr="00A32FC0">
        <w:rPr>
          <w:rFonts w:hint="cs"/>
          <w:rtl/>
          <w:lang w:bidi="ar-LB"/>
        </w:rPr>
        <w:t xml:space="preserve">وفي الولايات الاختياريّة، من قبيل: الوقف؛ والقيمومة، إذا كانت حدود ولاية المتولّي على الوقف، والقيّم على الأولاد، معيَّنةً فالولاية مقيَّدة. والولاية المقيَّدة من جهة شؤون المولّى عليهم إما خاصّة؛ وإما عامة، وذلك من قبيل: ولاية القيِّم على تعليم الأولاد، أو ولايته على جميع شؤونهم. كما يمكن أن يكون المتولّي وليّاً على جميع شؤون الوقف، أو على شأن خاصّ من شؤونه. وفي حال لم تعيَّن حدود الولاية، أو القيمومة، تكون الولاية مطلقة. </w:t>
      </w:r>
    </w:p>
    <w:p w:rsidR="00EA09EB" w:rsidRPr="00EA09EB" w:rsidRDefault="00EA09EB" w:rsidP="007A340E">
      <w:pPr>
        <w:ind w:firstLine="283"/>
        <w:rPr>
          <w:rtl/>
        </w:rPr>
      </w:pPr>
      <w:r w:rsidRPr="00EA09EB">
        <w:rPr>
          <w:rFonts w:hint="cs"/>
          <w:rtl/>
        </w:rPr>
        <w:t>وفي الولاية المطلقة يتمّ العمل بها طبقاً للعرف، وللمتولّي ولاية على جميع شؤون المولّى عليهم بحسب المتعارف</w:t>
      </w:r>
      <w:r w:rsidRPr="00064619">
        <w:rPr>
          <w:rFonts w:cs="Taher"/>
          <w:sz w:val="32"/>
          <w:vertAlign w:val="superscript"/>
          <w:rtl/>
          <w:lang w:bidi="ar-LB"/>
        </w:rPr>
        <w:t>(</w:t>
      </w:r>
      <w:r w:rsidRPr="00064619">
        <w:rPr>
          <w:rStyle w:val="FootnoteReference"/>
          <w:rFonts w:cs="Taher"/>
          <w:sz w:val="32"/>
          <w:rtl/>
          <w:lang w:bidi="ar-LB"/>
        </w:rPr>
        <w:footnoteReference w:id="107"/>
      </w:r>
      <w:r w:rsidRPr="00064619">
        <w:rPr>
          <w:rFonts w:cs="Taher"/>
          <w:sz w:val="32"/>
          <w:vertAlign w:val="superscript"/>
          <w:rtl/>
          <w:lang w:bidi="ar-LB"/>
        </w:rPr>
        <w:t>)</w:t>
      </w:r>
      <w:r w:rsidRPr="00EA09EB">
        <w:rPr>
          <w:rFonts w:hint="cs"/>
          <w:rtl/>
        </w:rPr>
        <w:t xml:space="preserve">. </w:t>
      </w:r>
    </w:p>
    <w:p w:rsidR="00EA09EB" w:rsidRPr="00A32FC0" w:rsidRDefault="00EA09EB" w:rsidP="00635BE2">
      <w:pPr>
        <w:pStyle w:val="Normal93"/>
        <w:rPr>
          <w:rtl/>
        </w:rPr>
      </w:pPr>
      <w:r w:rsidRPr="00A32FC0">
        <w:rPr>
          <w:rFonts w:hint="cs"/>
          <w:rtl/>
        </w:rPr>
        <w:t>إن اصطلاح الولاية المطلقة والمقيَّدة في الولايات الاختيارية يختلف عن اصطلاح الولاية المطلقة والمقيَّدة في ولاية الفقيه، التي هي ولاية قهريّة. وسيتمّ البحث في هذا الاصطلاح الأخير تفصيلاً في محلّه.</w:t>
      </w:r>
    </w:p>
    <w:p w:rsidR="00EA09EB" w:rsidRPr="00EA09EB" w:rsidRDefault="00EA09EB" w:rsidP="007A340E">
      <w:pPr>
        <w:ind w:firstLine="283"/>
        <w:rPr>
          <w:rtl/>
        </w:rPr>
      </w:pPr>
      <w:r w:rsidRPr="007A340E">
        <w:rPr>
          <w:rFonts w:hint="cs"/>
          <w:b/>
          <w:bCs/>
          <w:rtl/>
        </w:rPr>
        <w:t>الخامس</w:t>
      </w:r>
      <w:r w:rsidRPr="00EA09EB">
        <w:rPr>
          <w:rFonts w:hint="cs"/>
          <w:rtl/>
        </w:rPr>
        <w:t>: الولاية إما استقلالية؛ أو إذنيّة.</w:t>
      </w:r>
    </w:p>
    <w:p w:rsidR="00EA09EB" w:rsidRPr="00A32FC0" w:rsidRDefault="00EA09EB" w:rsidP="00EA09EB">
      <w:pPr>
        <w:rPr>
          <w:rtl/>
          <w:lang w:bidi="ar-LB"/>
        </w:rPr>
      </w:pPr>
      <w:r w:rsidRPr="00A32FC0">
        <w:rPr>
          <w:rFonts w:hint="cs"/>
          <w:rtl/>
          <w:lang w:bidi="ar-LB"/>
        </w:rPr>
        <w:t xml:space="preserve">إن الوليّ في الولاية الاستقلالية مستقلّ في شؤون ولايته، وتصرُّفاته في شؤون ولايته لا تتوقَّف على إذن أحدٍ من الناس، كولاية الأب والجد للأب على القصّر، وولاية الفقيه في الأمور الحِسْبيّة. </w:t>
      </w:r>
    </w:p>
    <w:p w:rsidR="00EA09EB" w:rsidRPr="00A32FC0" w:rsidRDefault="00EA09EB" w:rsidP="00EA09EB">
      <w:pPr>
        <w:rPr>
          <w:rtl/>
          <w:lang w:bidi="ar-LB"/>
        </w:rPr>
      </w:pPr>
      <w:r w:rsidRPr="00A32FC0">
        <w:rPr>
          <w:rFonts w:hint="cs"/>
          <w:rtl/>
          <w:lang w:bidi="ar-LB"/>
        </w:rPr>
        <w:t>أمّا في الولاية الإذنية فإنّ تصرُّفات الوليّ في شؤون ولايته تتوقَّف على إذن الغير.</w:t>
      </w:r>
    </w:p>
    <w:p w:rsidR="00EA09EB" w:rsidRPr="00EA09EB" w:rsidRDefault="00EA09EB" w:rsidP="007A340E">
      <w:pPr>
        <w:ind w:firstLine="283"/>
        <w:rPr>
          <w:rtl/>
        </w:rPr>
      </w:pPr>
      <w:r w:rsidRPr="00EA09EB">
        <w:rPr>
          <w:rFonts w:hint="cs"/>
          <w:rtl/>
        </w:rPr>
        <w:t>وفي حال تقييد صيغة الوقف بالنظارة الاستصوابيّة فإنّ تولية الوقف تكون من مصاديق الولاية الإذنيّة</w:t>
      </w:r>
      <w:r w:rsidRPr="00064619">
        <w:rPr>
          <w:rFonts w:cs="Taher"/>
          <w:sz w:val="32"/>
          <w:vertAlign w:val="superscript"/>
          <w:rtl/>
          <w:lang w:bidi="ar-LB"/>
        </w:rPr>
        <w:t>(</w:t>
      </w:r>
      <w:r w:rsidRPr="00064619">
        <w:rPr>
          <w:rStyle w:val="FootnoteReference"/>
          <w:rFonts w:cs="Taher"/>
          <w:sz w:val="32"/>
          <w:rtl/>
          <w:lang w:bidi="ar-LB"/>
        </w:rPr>
        <w:footnoteReference w:id="108"/>
      </w:r>
      <w:r w:rsidRPr="00064619">
        <w:rPr>
          <w:rFonts w:cs="Taher"/>
          <w:sz w:val="32"/>
          <w:vertAlign w:val="superscript"/>
          <w:rtl/>
          <w:lang w:bidi="ar-LB"/>
        </w:rPr>
        <w:t>)</w:t>
      </w:r>
      <w:r w:rsidRPr="00EA09EB">
        <w:rPr>
          <w:rFonts w:hint="cs"/>
          <w:rtl/>
        </w:rPr>
        <w:t>.</w:t>
      </w:r>
    </w:p>
    <w:p w:rsidR="00EA09EB" w:rsidRPr="00EA09EB" w:rsidRDefault="00EA09EB" w:rsidP="00635BE2">
      <w:pPr>
        <w:pStyle w:val="Normal87"/>
        <w:rPr>
          <w:rtl/>
        </w:rPr>
      </w:pPr>
      <w:r w:rsidRPr="007A340E">
        <w:rPr>
          <w:rFonts w:hint="cs"/>
          <w:b/>
          <w:bCs/>
          <w:rtl/>
        </w:rPr>
        <w:t>السادس</w:t>
      </w:r>
      <w:r w:rsidRPr="00EA09EB">
        <w:rPr>
          <w:rFonts w:hint="cs"/>
          <w:rtl/>
        </w:rPr>
        <w:t>: الولاية إما أن تكون مجعولة لأولياءٍ متعدِّدين، على نحو يتصرَّف فيه كلّ فرد من الأولياء بالاستقلال عن البقية، وفي حال التعارض يقدّم الأسبق في التصرُّف؛ وإما أن يكون الوليّ واحداً.</w:t>
      </w:r>
    </w:p>
    <w:p w:rsidR="00EA09EB" w:rsidRPr="00A32FC0" w:rsidRDefault="00EA09EB" w:rsidP="00635BE2">
      <w:pPr>
        <w:pStyle w:val="Normal87"/>
        <w:rPr>
          <w:rtl/>
        </w:rPr>
      </w:pPr>
      <w:r w:rsidRPr="00A32FC0">
        <w:rPr>
          <w:rFonts w:hint="cs"/>
          <w:rtl/>
        </w:rPr>
        <w:t>في ولاية الأب، والجدّ للأب، وأولياء الدم، وأولياء الميت، يمكن أن يكون الأولياء متعدِّدين.</w:t>
      </w:r>
    </w:p>
    <w:p w:rsidR="00EA09EB" w:rsidRPr="00A32FC0" w:rsidRDefault="00EA09EB" w:rsidP="00635BE2">
      <w:pPr>
        <w:pStyle w:val="Normal87"/>
        <w:rPr>
          <w:rtl/>
        </w:rPr>
      </w:pPr>
      <w:r w:rsidRPr="00A32FC0">
        <w:rPr>
          <w:rFonts w:hint="cs"/>
          <w:rtl/>
        </w:rPr>
        <w:t>ويكون الولي في ولاية الولد الذكر الأكبر، أو الوقف، أو الوصاية، أو القيمومة، واحداً في الغالب.</w:t>
      </w:r>
    </w:p>
    <w:p w:rsidR="00EA09EB" w:rsidRPr="00A32FC0" w:rsidRDefault="00EA09EB" w:rsidP="00635BE2">
      <w:pPr>
        <w:pStyle w:val="Normal87"/>
        <w:rPr>
          <w:rtl/>
        </w:rPr>
      </w:pPr>
      <w:r w:rsidRPr="00A32FC0">
        <w:rPr>
          <w:rFonts w:hint="cs"/>
          <w:rtl/>
        </w:rPr>
        <w:t>وفي ولاية الفقيه على الأمور الحِسْبيّة غالباً ما يكون الأولياء متعدِّدين.</w:t>
      </w:r>
    </w:p>
    <w:p w:rsidR="00EA09EB" w:rsidRPr="00EA09EB" w:rsidRDefault="00EA09EB" w:rsidP="00635BE2">
      <w:pPr>
        <w:pStyle w:val="Normal87"/>
        <w:rPr>
          <w:rtl/>
        </w:rPr>
      </w:pPr>
      <w:r w:rsidRPr="007A340E">
        <w:rPr>
          <w:rFonts w:hint="cs"/>
          <w:b/>
          <w:bCs/>
          <w:rtl/>
        </w:rPr>
        <w:t>السابع</w:t>
      </w:r>
      <w:r w:rsidRPr="00EA09EB">
        <w:rPr>
          <w:rFonts w:hint="cs"/>
          <w:rtl/>
        </w:rPr>
        <w:t>: الولاية الشرعية إما أن تكون على شؤون الأموات؛ وإما أن تكون على شؤون الأحياء.</w:t>
      </w:r>
    </w:p>
    <w:p w:rsidR="00EA09EB" w:rsidRPr="00A32FC0" w:rsidRDefault="00EA09EB" w:rsidP="00EA09EB">
      <w:pPr>
        <w:rPr>
          <w:rtl/>
          <w:lang w:bidi="ar-LB"/>
        </w:rPr>
      </w:pPr>
      <w:r w:rsidRPr="00A32FC0">
        <w:rPr>
          <w:rFonts w:hint="cs"/>
          <w:rtl/>
          <w:lang w:bidi="ar-LB"/>
        </w:rPr>
        <w:t>فولاية أولياء الميت، وأولياء الدم، والولد الذكر الأكبر، هي من القسم الأوّل، أي الولاية على شؤون الأموات.</w:t>
      </w:r>
    </w:p>
    <w:p w:rsidR="00EA09EB" w:rsidRPr="00A32FC0" w:rsidRDefault="00EA09EB" w:rsidP="00EA09EB">
      <w:pPr>
        <w:rPr>
          <w:rtl/>
          <w:lang w:bidi="ar-LB"/>
        </w:rPr>
      </w:pPr>
      <w:r w:rsidRPr="00A32FC0">
        <w:rPr>
          <w:rFonts w:hint="cs"/>
          <w:rtl/>
          <w:lang w:bidi="ar-LB"/>
        </w:rPr>
        <w:t>وولاية الأب، والجدّ للأب، والقيمومة، هي من القسم الثاني، أي الولاية على شؤون الأحياء.</w:t>
      </w:r>
    </w:p>
    <w:p w:rsidR="00EA09EB" w:rsidRPr="00A32FC0" w:rsidRDefault="00EA09EB" w:rsidP="00EA09EB">
      <w:pPr>
        <w:rPr>
          <w:rtl/>
          <w:lang w:bidi="ar-LB"/>
        </w:rPr>
      </w:pPr>
      <w:r w:rsidRPr="00A32FC0">
        <w:rPr>
          <w:rFonts w:hint="cs"/>
          <w:rtl/>
          <w:lang w:bidi="ar-LB"/>
        </w:rPr>
        <w:t>وولاية الفقيه من الأمور الحِسْبيّة تشمل كلا القسمين، أي إن الأمور الحسبيّة يمكن أن تكون من شؤون الأموات، ويمكن أن تكون من شؤون الأحياء.</w:t>
      </w:r>
    </w:p>
    <w:p w:rsidR="00EA09EB" w:rsidRPr="00EA09EB" w:rsidRDefault="00EA09EB" w:rsidP="007A340E">
      <w:pPr>
        <w:ind w:firstLine="283"/>
        <w:rPr>
          <w:rtl/>
        </w:rPr>
      </w:pPr>
      <w:r w:rsidRPr="007A340E">
        <w:rPr>
          <w:rFonts w:hint="cs"/>
          <w:b/>
          <w:bCs/>
          <w:rtl/>
        </w:rPr>
        <w:t>الثامن</w:t>
      </w:r>
      <w:r w:rsidRPr="00EA09EB">
        <w:rPr>
          <w:rFonts w:hint="cs"/>
          <w:rtl/>
        </w:rPr>
        <w:t xml:space="preserve">: الولاية الشرعية من حيث الدوام تنقسم إلى قسمين: دائمة؛ ومؤقتة. </w:t>
      </w:r>
    </w:p>
    <w:p w:rsidR="00EA09EB" w:rsidRPr="00A32FC0" w:rsidRDefault="00EA09EB" w:rsidP="00EA09EB">
      <w:pPr>
        <w:rPr>
          <w:rtl/>
          <w:lang w:bidi="ar-LB"/>
        </w:rPr>
      </w:pPr>
      <w:r w:rsidRPr="00A32FC0">
        <w:rPr>
          <w:rFonts w:hint="cs"/>
          <w:rtl/>
          <w:lang w:bidi="ar-LB"/>
        </w:rPr>
        <w:t xml:space="preserve">والمراد من الولاية الدائمة هو امتداد زمن الولاية بامتداد عمر المولّى عليه. فالمولّى عليه في الولاية الدائمة لن يتمكَّن من تحصيل أهليّة تدبير شؤونه، ولن يكون رشيداً، كولاية الأب والجدّ للأب على أولادهما السفهاء والمجانين. </w:t>
      </w:r>
    </w:p>
    <w:p w:rsidR="00EA09EB" w:rsidRPr="00A32FC0" w:rsidRDefault="00EA09EB" w:rsidP="00EA09EB">
      <w:pPr>
        <w:rPr>
          <w:rtl/>
          <w:lang w:bidi="ar-LB"/>
        </w:rPr>
      </w:pPr>
      <w:r w:rsidRPr="00A32FC0">
        <w:rPr>
          <w:rFonts w:hint="cs"/>
          <w:rtl/>
          <w:lang w:bidi="ar-LB"/>
        </w:rPr>
        <w:t xml:space="preserve">والمراد من الولاية المؤقَّتة هو انتهاء فترة الولاية برُشْد المولّى عليه، وذلك كالأولاد المولّى عليهم حتّى سنّ البلوغ، فإنّهم يخرجون من تحت الولاية ببلوغهم سنّ الرشد، ويعهد إليهم بشؤونهم الخاصّة. </w:t>
      </w:r>
    </w:p>
    <w:p w:rsidR="00EA09EB" w:rsidRPr="00EA09EB" w:rsidRDefault="00EA09EB" w:rsidP="007A340E">
      <w:pPr>
        <w:ind w:firstLine="283"/>
        <w:rPr>
          <w:rtl/>
        </w:rPr>
      </w:pPr>
      <w:r w:rsidRPr="007A340E">
        <w:rPr>
          <w:rFonts w:hint="cs"/>
          <w:b/>
          <w:bCs/>
          <w:rtl/>
        </w:rPr>
        <w:t>التاسع</w:t>
      </w:r>
      <w:r w:rsidRPr="00EA09EB">
        <w:rPr>
          <w:rFonts w:hint="cs"/>
          <w:rtl/>
        </w:rPr>
        <w:t xml:space="preserve">: الولاية إما أن تكون على الأشخاص؛ وإمّا على الأشياء. </w:t>
      </w:r>
    </w:p>
    <w:p w:rsidR="00EA09EB" w:rsidRPr="00A32FC0" w:rsidRDefault="00EA09EB" w:rsidP="00EA09EB">
      <w:pPr>
        <w:rPr>
          <w:rtl/>
          <w:lang w:bidi="ar-LB"/>
        </w:rPr>
      </w:pPr>
      <w:r w:rsidRPr="00A32FC0">
        <w:rPr>
          <w:rFonts w:hint="cs"/>
          <w:rtl/>
          <w:lang w:bidi="ar-LB"/>
        </w:rPr>
        <w:t xml:space="preserve">والولاية على الأشياء تسمّى بالتولّي، ولا يمكن تصوُّرها إلاّ في الوقف. </w:t>
      </w:r>
    </w:p>
    <w:p w:rsidR="00EA09EB" w:rsidRPr="00A32FC0" w:rsidRDefault="00EA09EB" w:rsidP="00EA09EB">
      <w:pPr>
        <w:rPr>
          <w:rtl/>
          <w:lang w:bidi="ar-LB"/>
        </w:rPr>
      </w:pPr>
      <w:r w:rsidRPr="00A32FC0">
        <w:rPr>
          <w:rFonts w:hint="cs"/>
          <w:rtl/>
          <w:lang w:bidi="ar-LB"/>
        </w:rPr>
        <w:t xml:space="preserve">أمّا الأنواع الأخرى للولاية فهي ولايةٌ على الأشخاص. </w:t>
      </w:r>
    </w:p>
    <w:p w:rsidR="00EA09EB" w:rsidRPr="00A32FC0" w:rsidRDefault="00EA09EB" w:rsidP="00EA09EB">
      <w:pPr>
        <w:rPr>
          <w:rtl/>
          <w:lang w:bidi="ar-LB"/>
        </w:rPr>
      </w:pPr>
      <w:r w:rsidRPr="00A32FC0">
        <w:rPr>
          <w:rFonts w:hint="cs"/>
          <w:rtl/>
          <w:lang w:bidi="ar-LB"/>
        </w:rPr>
        <w:t>وولايةُ الفقيه في الأمور الحسبية تشمل القسمين.</w:t>
      </w:r>
    </w:p>
    <w:p w:rsidR="00EA09EB" w:rsidRPr="00A32FC0" w:rsidRDefault="00EA09EB" w:rsidP="00EA09EB">
      <w:pPr>
        <w:rPr>
          <w:rtl/>
          <w:lang w:bidi="ar-LB"/>
        </w:rPr>
      </w:pPr>
      <w:r w:rsidRPr="00A32FC0">
        <w:rPr>
          <w:rFonts w:hint="cs"/>
          <w:rtl/>
          <w:lang w:bidi="ar-LB"/>
        </w:rPr>
        <w:t>14</w:t>
      </w:r>
      <w:r w:rsidRPr="00A32FC0">
        <w:rPr>
          <w:rtl/>
          <w:lang w:bidi="ar-LB"/>
        </w:rPr>
        <w:t>ـ</w:t>
      </w:r>
      <w:r w:rsidRPr="00A32FC0">
        <w:rPr>
          <w:rFonts w:hint="cs"/>
          <w:rtl/>
          <w:lang w:bidi="ar-LB"/>
        </w:rPr>
        <w:t xml:space="preserve"> إنّ الأصلَ من الناحية الفقهيّة هو عدمُ الولاية؛ ذلك أن القاعدة هي أنْ لا ولاية لأحدٍ على أحد، وكلُّ فردٍ مسؤولٌ عن شؤونه، ولا يحقّ لأحدٍ أن يتدخَّل فيها، وكلُّ فردٍ مسؤولٌ عن شؤونه بحكم العقل والشرع. فكيفيّة التصرُّف في المال الخاصّ، ومسألة الزواج، وهوّيّة الزوجة، ونوع العمل، والجنسيّة، والنهج السياسيّ، ونوع الملبس، ولونه، ومحلّ السكن، كلُّها أمور في دائرة اختيار الفرد. ومن المؤكَّد أن كلّ فردٍ مسؤولٌ عن أعماله أمام الله، وسوف يحاسب عليها يوم القيامة. أمّا تصدّي شخصٍ ما ليكون له ولاية على الغير في ما ذكرنا فهذا ما يحتاج إلى دليلٍ شرعيٍّ معتبر، ولا يمكن الخروج عن هذا الأصل إلاّ في حال منع الشارع فرداً من أن يتصرَّف في شأن من شؤونه. والفائدة من تأسيس هذا الأصل هي أننا إذا شككنا في موردٍ، وكان الدليل فيه قاصراً عن إثبات الولاية، فإنّنا نتمسَّك بالأصل، وننفي الولاية.</w:t>
      </w:r>
    </w:p>
    <w:p w:rsidR="00EA09EB" w:rsidRPr="00A32FC0" w:rsidRDefault="00EA09EB" w:rsidP="00635BE2">
      <w:pPr>
        <w:pStyle w:val="Normal84"/>
        <w:rPr>
          <w:rtl/>
        </w:rPr>
      </w:pPr>
      <w:r w:rsidRPr="00A32FC0">
        <w:rPr>
          <w:rFonts w:hint="cs"/>
          <w:rtl/>
        </w:rPr>
        <w:t>ولذلك فإن الأصل عدم المحجوريّة على الناس، بمعنى أن جميع الناس مسلَّطون على مصائرهم، وما يحتاج إلى دليل معتبر هو المحجوريّة، وليس الرشد.</w:t>
      </w:r>
    </w:p>
    <w:p w:rsidR="00EA09EB" w:rsidRPr="00EA09EB" w:rsidRDefault="00EA09EB" w:rsidP="00635BE2">
      <w:pPr>
        <w:pStyle w:val="Normal87"/>
        <w:rPr>
          <w:rtl/>
        </w:rPr>
      </w:pPr>
      <w:r w:rsidRPr="00EA09EB">
        <w:rPr>
          <w:rFonts w:hint="cs"/>
          <w:rtl/>
        </w:rPr>
        <w:t>إنّ أوّل مَنْ طرح أصل عدم الولاية من الفقهاء هو الفقيه الأكبر الشيخ جعفر كاشف الغطاء، في أوائل العصر القاجاري. وقد قام الفقهاء من بعده بالتمسُّك بهذا الأصل</w:t>
      </w:r>
      <w:r w:rsidRPr="00064619">
        <w:rPr>
          <w:rFonts w:cs="Taher"/>
          <w:sz w:val="32"/>
          <w:vertAlign w:val="superscript"/>
          <w:rtl/>
        </w:rPr>
        <w:t>(</w:t>
      </w:r>
      <w:r w:rsidRPr="00064619">
        <w:rPr>
          <w:rStyle w:val="FootnoteReference"/>
          <w:rFonts w:cs="Taher"/>
          <w:sz w:val="32"/>
          <w:rtl/>
        </w:rPr>
        <w:footnoteReference w:id="109"/>
      </w:r>
      <w:r w:rsidRPr="00064619">
        <w:rPr>
          <w:rFonts w:cs="Taher"/>
          <w:sz w:val="32"/>
          <w:vertAlign w:val="superscript"/>
          <w:rtl/>
        </w:rPr>
        <w:t>)</w:t>
      </w:r>
      <w:r w:rsidRPr="00EA09EB">
        <w:rPr>
          <w:rFonts w:hint="cs"/>
          <w:rtl/>
        </w:rPr>
        <w:t>.</w:t>
      </w:r>
    </w:p>
    <w:p w:rsidR="00EA09EB" w:rsidRPr="00A32FC0" w:rsidRDefault="00EA09EB" w:rsidP="00635BE2">
      <w:pPr>
        <w:pStyle w:val="Normal87"/>
        <w:rPr>
          <w:rtl/>
        </w:rPr>
      </w:pPr>
      <w:r w:rsidRPr="00A32FC0">
        <w:rPr>
          <w:rFonts w:hint="cs"/>
          <w:rtl/>
        </w:rPr>
        <w:t>إن أنواعَ الولاية السبعة، التي أحصيناها في اثنا عشر بنداً، خارجةٌ قطعاً على هذا الأصل؛ وذلك لقيام الدليل الشرعيّ المعتبر على كلِّ واحدٍ منها.</w:t>
      </w:r>
    </w:p>
    <w:p w:rsidR="00EA09EB" w:rsidRPr="00A32FC0" w:rsidRDefault="00EA09EB" w:rsidP="00EA09EB">
      <w:pPr>
        <w:rPr>
          <w:rtl/>
          <w:lang w:bidi="ar-LB"/>
        </w:rPr>
      </w:pPr>
      <w:r w:rsidRPr="00A32FC0">
        <w:rPr>
          <w:rFonts w:hint="cs"/>
          <w:rtl/>
          <w:lang w:bidi="ar-LB"/>
        </w:rPr>
        <w:t>إنّ محلّ بحثنا هو ولاية الفقيه في الأعمّ من الأمور الحِسْبيّة، والتي يعبَّر عنها بولاية الفقيه السياسيّة أو ولاية الفقيه العامة أو ولاية الفقيه المطلقة. وإذا تمّت الأدلة العقليّة أو النقليّة (القرآن، الروايات، الإجماع) في هذا المجال فسوف تخرج ولاية الفقهاء العدول في الشؤون العامة من تحت أصل عدم الولاية؛ وأمّا إذا عجزت الأدلة عن إثبات هذه المسألة فسوف نتمسَّك بأصل عدم الولاية.</w:t>
      </w:r>
    </w:p>
    <w:p w:rsidR="00EA09EB" w:rsidRPr="00A32FC0" w:rsidRDefault="00EA09EB" w:rsidP="00EA09EB">
      <w:pPr>
        <w:rPr>
          <w:rtl/>
          <w:lang w:bidi="ar-LB"/>
        </w:rPr>
      </w:pPr>
      <w:r w:rsidRPr="00A32FC0">
        <w:rPr>
          <w:rFonts w:hint="cs"/>
          <w:rtl/>
          <w:lang w:bidi="ar-LB"/>
        </w:rPr>
        <w:t>واستناداً إلى ما تقدّم سوف تكون إجاباتنا عن الأسئلة الأساس في بحثنا أكثر دقّة:</w:t>
      </w:r>
    </w:p>
    <w:p w:rsidR="00EA09EB" w:rsidRPr="00A32FC0" w:rsidRDefault="00EA09EB" w:rsidP="00EA09EB">
      <w:pPr>
        <w:rPr>
          <w:rtl/>
          <w:lang w:bidi="ar-LB"/>
        </w:rPr>
      </w:pPr>
      <w:r w:rsidRPr="00A32FC0">
        <w:rPr>
          <w:rFonts w:hint="cs"/>
          <w:rtl/>
          <w:lang w:bidi="ar-LB"/>
        </w:rPr>
        <w:t>ما هو المراد من الولاية في نظرية الولاية التنصيبية المطلقة للفقيه أو في الحكومة الولائية؟ وهل للفقيه ولاية شرعية في نظرية الحكومة الولائية أم لا؟ وهل تعتبر الولاية في نظرية الحكومة الولائية هي الولاية الكلامية أم الولاية العرفانية؟ وهل تعتبر مسألة ولاية الفقيه مسألة فقهية أم مسألة كلامية؟ وهل تعدّ الأدلّة على ولاية الفقيه في مقام إثبات الولاية الشرعية للفقيه أم أنها في مقام إثبات الولاية الكلامية والعرفانية له؟ ثم هل هناك سنخيّة بين ولاية الفقيه والولاية الفقهيّة؟</w:t>
      </w:r>
    </w:p>
    <w:p w:rsidR="007A340E" w:rsidRDefault="00EA09EB" w:rsidP="007A340E">
      <w:pPr>
        <w:pStyle w:val="Heading2"/>
        <w:jc w:val="center"/>
        <w:rPr>
          <w:rtl/>
        </w:rPr>
      </w:pPr>
      <w:r w:rsidRPr="00EA09EB">
        <w:rPr>
          <w:rtl/>
        </w:rPr>
        <w:br w:type="page"/>
      </w:r>
    </w:p>
    <w:p w:rsidR="007A340E" w:rsidRDefault="007A340E" w:rsidP="007A340E">
      <w:pPr>
        <w:rPr>
          <w:rtl/>
        </w:rPr>
        <w:sectPr w:rsidR="007A340E" w:rsidSect="009003FC">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Default="007A340E" w:rsidP="007A340E">
      <w:pPr>
        <w:rPr>
          <w:rtl/>
        </w:rPr>
      </w:pPr>
    </w:p>
    <w:p w:rsidR="00EA09EB" w:rsidRPr="00E2207F" w:rsidRDefault="00EA09EB" w:rsidP="007A340E">
      <w:pPr>
        <w:pStyle w:val="Heading2"/>
        <w:jc w:val="center"/>
        <w:rPr>
          <w:rtl/>
          <w:lang w:bidi="ar-LB"/>
        </w:rPr>
      </w:pPr>
      <w:bookmarkStart w:id="38" w:name="_Toc413658821"/>
      <w:r w:rsidRPr="00E2207F">
        <w:rPr>
          <w:rFonts w:hint="cs"/>
          <w:rtl/>
          <w:lang w:bidi="ar-LB"/>
        </w:rPr>
        <w:t>الفصل الخامس: ال</w:t>
      </w:r>
      <w:r w:rsidRPr="007A340E">
        <w:rPr>
          <w:rFonts w:hint="cs"/>
          <w:rtl/>
        </w:rPr>
        <w:t>ولاية في القرآن</w:t>
      </w:r>
      <w:bookmarkEnd w:id="38"/>
    </w:p>
    <w:p w:rsidR="00EA09EB" w:rsidRPr="00A32FC0" w:rsidRDefault="00EA09EB" w:rsidP="00EA09EB">
      <w:pPr>
        <w:rPr>
          <w:rtl/>
          <w:lang w:bidi="ar-LB"/>
        </w:rPr>
      </w:pPr>
      <w:r w:rsidRPr="00EA09EB">
        <w:rPr>
          <w:rFonts w:hint="cs"/>
          <w:rtl/>
        </w:rPr>
        <w:t>قال تعالى: ﴿</w:t>
      </w:r>
      <w:r w:rsidRPr="00A32FC0">
        <w:rPr>
          <w:b/>
          <w:bCs/>
          <w:rtl/>
        </w:rPr>
        <w:t>النَّبِيُّ أَوْلَى بِالْمُؤْمِنِينَ مِنْ أَنْفُسِهِمْ</w:t>
      </w:r>
      <w:r w:rsidRPr="00A32FC0">
        <w:rPr>
          <w:rFonts w:hint="cs"/>
          <w:rtl/>
        </w:rPr>
        <w:t>﴾</w:t>
      </w:r>
      <w:r>
        <w:rPr>
          <w:rFonts w:hint="cs"/>
          <w:rtl/>
        </w:rPr>
        <w:t>(</w:t>
      </w:r>
      <w:r w:rsidRPr="00A32FC0">
        <w:rPr>
          <w:rFonts w:hint="cs"/>
          <w:rtl/>
          <w:lang w:bidi="ar-LB"/>
        </w:rPr>
        <w:t>الأحزاب: 6).</w:t>
      </w:r>
    </w:p>
    <w:p w:rsidR="00EA09EB" w:rsidRPr="00EA09EB" w:rsidRDefault="00EA09EB" w:rsidP="00635BE2">
      <w:pPr>
        <w:pStyle w:val="Normal93"/>
        <w:rPr>
          <w:rtl/>
        </w:rPr>
      </w:pPr>
      <w:r w:rsidRPr="00A32FC0">
        <w:rPr>
          <w:rFonts w:hint="cs"/>
          <w:rtl/>
        </w:rPr>
        <w:t>إن القرآن هو الحجر الأساس في بناء الفكر والمعارف الإسلاميّة. و</w:t>
      </w:r>
      <w:r>
        <w:rPr>
          <w:rFonts w:hint="cs"/>
          <w:rtl/>
        </w:rPr>
        <w:t>أيّ</w:t>
      </w:r>
      <w:r w:rsidRPr="00A32FC0">
        <w:rPr>
          <w:rFonts w:hint="cs"/>
          <w:rtl/>
        </w:rPr>
        <w:t xml:space="preserve"> مسألة أو فكرة في العلوم الإسلاميّة تتعارض مع القرآن يجب طرحها جانباً. وعلى صعيد سنّة العترة الطاهرة</w:t>
      </w:r>
      <w:r w:rsidR="007A340E">
        <w:rPr>
          <w:rFonts w:hint="cs"/>
          <w:rtl/>
        </w:rPr>
        <w:t>^</w:t>
      </w:r>
      <w:r w:rsidRPr="00A32FC0">
        <w:rPr>
          <w:rFonts w:hint="cs"/>
          <w:rtl/>
        </w:rPr>
        <w:t xml:space="preserve"> فقد طُرح موضوع ضرورة العرض على القرآن، باعتبار ذلك قاعدة عامّة لصحة الروايات أو عدم صحّتها</w:t>
      </w:r>
      <w:r w:rsidRPr="00064619">
        <w:rPr>
          <w:rFonts w:cs="Taher"/>
          <w:vertAlign w:val="superscript"/>
          <w:rtl/>
        </w:rPr>
        <w:t>(</w:t>
      </w:r>
      <w:r w:rsidRPr="00064619">
        <w:rPr>
          <w:rStyle w:val="FootnoteReference"/>
          <w:rFonts w:cs="Taher"/>
          <w:sz w:val="32"/>
          <w:rtl/>
        </w:rPr>
        <w:footnoteReference w:id="110"/>
      </w:r>
      <w:r w:rsidRPr="00064619">
        <w:rPr>
          <w:rFonts w:cs="Taher"/>
          <w:vertAlign w:val="superscript"/>
          <w:rtl/>
        </w:rPr>
        <w:t>)</w:t>
      </w:r>
      <w:r w:rsidRPr="00EA09EB">
        <w:rPr>
          <w:rFonts w:hint="cs"/>
          <w:rtl/>
        </w:rPr>
        <w:t>. وهذه القاعدة لا تنحصر في إطار الروايات والأحاديث، بل هي قاعدة عامّة سارية على جميع مسائل العلوم والمعارف الإسلامية. وكلّ ما يعارض المباني القرآنيّة لا يمكن أن ينضوي تحت الفكر الإسلامي.</w:t>
      </w:r>
    </w:p>
    <w:p w:rsidR="00EA09EB" w:rsidRPr="00A32FC0" w:rsidRDefault="00EA09EB" w:rsidP="00EA09EB">
      <w:pPr>
        <w:rPr>
          <w:rtl/>
          <w:lang w:bidi="ar-LB"/>
        </w:rPr>
      </w:pPr>
      <w:r w:rsidRPr="00A32FC0">
        <w:rPr>
          <w:rFonts w:hint="cs"/>
          <w:rtl/>
          <w:lang w:bidi="ar-LB"/>
        </w:rPr>
        <w:t>إذا تسرَّبت إحدى المسائل عرضاً، وبدون دراية، إلى الفكر الإسلامي فيمكن حينها التمسُّك بالأصل الأصيل، وهو ضرورة العرض على القرآن، لإخراجها عن دائرة الفكر الإسلاميّ.</w:t>
      </w:r>
    </w:p>
    <w:p w:rsidR="00EA09EB" w:rsidRPr="00A32FC0" w:rsidRDefault="00EA09EB" w:rsidP="00EA09EB">
      <w:pPr>
        <w:rPr>
          <w:rtl/>
          <w:lang w:bidi="ar-LB"/>
        </w:rPr>
      </w:pPr>
      <w:r w:rsidRPr="00A32FC0">
        <w:rPr>
          <w:rFonts w:hint="cs"/>
          <w:rtl/>
          <w:lang w:bidi="ar-LB"/>
        </w:rPr>
        <w:t>إن ميزان الاعتبار والأصالة في العلوم الإسلاميّة هو مقدار رعاية هذه العلوم والمسائل للضوابط والأصول القرآنيّة. وكلّما كان العلم مراعياً لقاعدة التدبُّر القرآني كان أقرب إلى الأصالة. ونحن مدينون للأئمّة المعصومين</w:t>
      </w:r>
      <w:r w:rsidR="007A340E">
        <w:rPr>
          <w:rFonts w:hint="cs"/>
          <w:rtl/>
        </w:rPr>
        <w:t>^</w:t>
      </w:r>
      <w:r w:rsidRPr="00A32FC0">
        <w:rPr>
          <w:rFonts w:hint="cs"/>
          <w:rtl/>
          <w:lang w:bidi="ar-LB"/>
        </w:rPr>
        <w:t xml:space="preserve"> في التعرّف على طرق التدبّر، والرجوع إلى القرآن في شؤون حياتنا.</w:t>
      </w:r>
    </w:p>
    <w:p w:rsidR="00EA09EB" w:rsidRPr="00A32FC0" w:rsidRDefault="00EA09EB" w:rsidP="00EA09EB">
      <w:pPr>
        <w:rPr>
          <w:rtl/>
          <w:lang w:bidi="ar-LB"/>
        </w:rPr>
      </w:pPr>
      <w:r w:rsidRPr="00A32FC0">
        <w:rPr>
          <w:rFonts w:hint="cs"/>
          <w:rtl/>
          <w:lang w:bidi="ar-LB"/>
        </w:rPr>
        <w:t>وبملاحظة الانتشار الواسع لمسألة الولاية في العلوم الإسلامية، من قبيل: العرفان، والكلام، والفقه، والاختلاف العميق بين العرفاء والمتكلِّمين والفقهاء في تحديد مصطلح الولاية، ولأجل التوصُّل إلى المعنى الأصحّ لهذا المصطلح، وأحكامه، لابدّ لنا من الرجوع إلى القرآن الكريم للإجابة عن أسئلة من هذا القبيل: بأيّ معانٍ استُعمِلت الولاية في القرآن الكريم؟ ومَنْ هو الفرد أو الأفراد الذين عيَّنَهم القرآن أولياء؟ وهل يوجد مستند قرآنيّ للولاية العامّة في عصر غيبة المعصوم</w:t>
      </w:r>
      <w:r>
        <w:rPr>
          <w:rFonts w:hint="cs"/>
          <w:rtl/>
        </w:rPr>
        <w:t>×</w:t>
      </w:r>
      <w:r w:rsidRPr="00A32FC0">
        <w:rPr>
          <w:rFonts w:hint="cs"/>
          <w:rtl/>
          <w:lang w:bidi="ar-LB"/>
        </w:rPr>
        <w:t>؟</w:t>
      </w:r>
    </w:p>
    <w:p w:rsidR="00EA09EB" w:rsidRPr="00A32FC0" w:rsidRDefault="00EA09EB" w:rsidP="00635BE2">
      <w:pPr>
        <w:pStyle w:val="Normal93"/>
        <w:rPr>
          <w:rtl/>
        </w:rPr>
      </w:pPr>
      <w:r w:rsidRPr="00EA09EB">
        <w:rPr>
          <w:rFonts w:hint="cs"/>
          <w:rtl/>
        </w:rPr>
        <w:t>1</w:t>
      </w:r>
      <w:r w:rsidRPr="00EA09EB">
        <w:rPr>
          <w:rtl/>
        </w:rPr>
        <w:t>ـ</w:t>
      </w:r>
      <w:r w:rsidRPr="00EA09EB">
        <w:rPr>
          <w:rFonts w:hint="cs"/>
          <w:rtl/>
        </w:rPr>
        <w:t xml:space="preserve"> استعملت مادة وليّ في القرآن 233 مرّة. وتعدّ مشتقات الولاية من الكلمات الكثيرة الاستعمال في القرآن. وقد وردت مادة (وليّ) 110 مرّات بصيغة الفعل (الماضي، والمضارع، والأمر)، و123 مرّة بصيغة الاسم. وقد وردت صيغ الأفعال من مادة (وليّ) في قالب أبواب الثلاثيّ المزيد (30 مورداً من باب التفعيل، و79 مورداً من باب تفعّل)، باستثناء موردٍ واحدٍ جاء ثلاثيّاً مجرَّداً</w:t>
      </w:r>
      <w:r w:rsidRPr="00064619">
        <w:rPr>
          <w:rFonts w:cs="Taher"/>
          <w:vertAlign w:val="superscript"/>
          <w:rtl/>
        </w:rPr>
        <w:t>(</w:t>
      </w:r>
      <w:r w:rsidRPr="00064619">
        <w:rPr>
          <w:rStyle w:val="FootnoteReference"/>
          <w:rFonts w:cs="Taher"/>
          <w:sz w:val="32"/>
          <w:rtl/>
        </w:rPr>
        <w:footnoteReference w:id="111"/>
      </w:r>
      <w:r w:rsidRPr="00064619">
        <w:rPr>
          <w:rFonts w:cs="Taher"/>
          <w:vertAlign w:val="superscript"/>
          <w:rtl/>
        </w:rPr>
        <w:t>)</w:t>
      </w:r>
      <w:r w:rsidRPr="00EA09EB">
        <w:rPr>
          <w:rFonts w:hint="cs"/>
          <w:rtl/>
        </w:rPr>
        <w:t>. أمّا صيغ الأسماء من مادة (ولي) فقد وردت جميعها في قالب الثلاثي المجرَّد (صفة مشبّهة، صيغة أفعل، مصدر، مصدر ميمي، اسم فاعل)، باستثناء موردٍ واحدٍ جاء ثلاثيّاً مزيداً (مُولّى)</w:t>
      </w:r>
      <w:r w:rsidRPr="00064619">
        <w:rPr>
          <w:rFonts w:cs="Taher"/>
          <w:vertAlign w:val="superscript"/>
          <w:rtl/>
        </w:rPr>
        <w:t>(</w:t>
      </w:r>
      <w:r w:rsidRPr="00064619">
        <w:rPr>
          <w:rStyle w:val="FootnoteReference"/>
          <w:rFonts w:cs="Taher"/>
          <w:sz w:val="32"/>
          <w:rtl/>
        </w:rPr>
        <w:footnoteReference w:id="112"/>
      </w:r>
      <w:r w:rsidRPr="00064619">
        <w:rPr>
          <w:rFonts w:cs="Taher"/>
          <w:vertAlign w:val="superscript"/>
          <w:rtl/>
        </w:rPr>
        <w:t>)</w:t>
      </w:r>
      <w:r w:rsidRPr="00EA09EB">
        <w:rPr>
          <w:rFonts w:hint="cs"/>
          <w:rtl/>
        </w:rPr>
        <w:t>. وأسماء الثلاثي المجرَّد هي عبارة عن: (ولّى: 86 مرة)، (مَوْلَى: 21 مرة)، (أَوْلى: 12 مرة)، (وَلاية، بفتح الواو: مرتين)، (والى</w:t>
      </w:r>
      <w:r w:rsidRPr="00064619">
        <w:rPr>
          <w:rFonts w:cs="Taher"/>
          <w:vertAlign w:val="superscript"/>
          <w:rtl/>
        </w:rPr>
        <w:t>(</w:t>
      </w:r>
      <w:r w:rsidRPr="00064619">
        <w:rPr>
          <w:rStyle w:val="FootnoteReference"/>
          <w:rFonts w:cs="Taher"/>
          <w:sz w:val="32"/>
          <w:rtl/>
        </w:rPr>
        <w:footnoteReference w:id="113"/>
      </w:r>
      <w:r w:rsidRPr="00064619">
        <w:rPr>
          <w:rFonts w:cs="Taher"/>
          <w:vertAlign w:val="superscript"/>
          <w:rtl/>
        </w:rPr>
        <w:t>)</w:t>
      </w:r>
      <w:r w:rsidRPr="00A32FC0">
        <w:rPr>
          <w:rFonts w:hint="cs"/>
          <w:rtl/>
        </w:rPr>
        <w:t>: مرّة واحدة)، وقد جاءت جميعها في قالب المفرد والجمع والمضاف. وأمّا كلمة وِلاية (بكسر الواو) فلم ترِدْ في القرآن إطلاقاً.</w:t>
      </w:r>
    </w:p>
    <w:p w:rsidR="00EA09EB" w:rsidRPr="00A32FC0" w:rsidRDefault="00EA09EB" w:rsidP="00635BE2">
      <w:pPr>
        <w:pStyle w:val="Normal93"/>
        <w:rPr>
          <w:rtl/>
        </w:rPr>
      </w:pPr>
      <w:r w:rsidRPr="00A32FC0">
        <w:rPr>
          <w:rFonts w:hint="cs"/>
          <w:rtl/>
        </w:rPr>
        <w:t>2</w:t>
      </w:r>
      <w:r w:rsidRPr="00A32FC0">
        <w:rPr>
          <w:rtl/>
        </w:rPr>
        <w:t>ـ</w:t>
      </w:r>
      <w:r w:rsidRPr="00A32FC0">
        <w:rPr>
          <w:rFonts w:hint="cs"/>
          <w:rtl/>
        </w:rPr>
        <w:t xml:space="preserve"> ما يقارب النصف من الاستعمالات القرآنية لمشتقات كلمة الولاية استعملت المعنى اللغوي بعيداً عن </w:t>
      </w:r>
      <w:r w:rsidRPr="001E5263">
        <w:rPr>
          <w:rFonts w:hint="cs"/>
          <w:rtl/>
        </w:rPr>
        <w:t>المصطلحات الفنّيّة العرفانيّة</w:t>
      </w:r>
      <w:r w:rsidRPr="00A32FC0">
        <w:rPr>
          <w:rFonts w:hint="cs"/>
          <w:rtl/>
        </w:rPr>
        <w:t xml:space="preserve"> والكلاميّة والفقهيّة للولاية. والأكثرية الساحقة من أفعال هذه المادة، والقليل من أسمائها المشتقّة</w:t>
      </w:r>
      <w:r w:rsidRPr="00064619">
        <w:rPr>
          <w:rFonts w:cs="Taher"/>
          <w:vertAlign w:val="superscript"/>
          <w:rtl/>
        </w:rPr>
        <w:t>(</w:t>
      </w:r>
      <w:r w:rsidRPr="00064619">
        <w:rPr>
          <w:rStyle w:val="FootnoteReference"/>
          <w:rFonts w:cs="Taher"/>
          <w:sz w:val="32"/>
          <w:rtl/>
        </w:rPr>
        <w:footnoteReference w:id="114"/>
      </w:r>
      <w:r w:rsidRPr="00064619">
        <w:rPr>
          <w:rFonts w:cs="Taher"/>
          <w:vertAlign w:val="superscript"/>
          <w:rtl/>
        </w:rPr>
        <w:t>)</w:t>
      </w:r>
      <w:r w:rsidRPr="00EA09EB">
        <w:rPr>
          <w:rFonts w:hint="cs"/>
          <w:rtl/>
        </w:rPr>
        <w:t>، من هذا القبيل أيضاً. ونذكر ـ على سبيل المثال ـ أكثر أفعال هذه المادة استعمالاً في القرآن، أي تولّى</w:t>
      </w:r>
      <w:r w:rsidRPr="00064619">
        <w:rPr>
          <w:rFonts w:cs="Taher"/>
          <w:vertAlign w:val="superscript"/>
          <w:rtl/>
        </w:rPr>
        <w:t>(</w:t>
      </w:r>
      <w:r w:rsidRPr="00064619">
        <w:rPr>
          <w:rStyle w:val="FootnoteReference"/>
          <w:rFonts w:cs="Taher"/>
          <w:sz w:val="32"/>
          <w:rtl/>
        </w:rPr>
        <w:footnoteReference w:id="115"/>
      </w:r>
      <w:r w:rsidRPr="00064619">
        <w:rPr>
          <w:rFonts w:cs="Taher"/>
          <w:vertAlign w:val="superscript"/>
          <w:rtl/>
        </w:rPr>
        <w:t>)</w:t>
      </w:r>
      <w:r w:rsidRPr="00EA09EB">
        <w:rPr>
          <w:rFonts w:hint="cs"/>
          <w:rtl/>
        </w:rPr>
        <w:t xml:space="preserve"> (باب تفعّل)، بمعنى الإعراض والبُعد، ويأتي بعده وَلّى</w:t>
      </w:r>
      <w:r w:rsidRPr="00064619">
        <w:rPr>
          <w:rFonts w:cs="Taher"/>
          <w:vertAlign w:val="superscript"/>
          <w:rtl/>
        </w:rPr>
        <w:t>(</w:t>
      </w:r>
      <w:r w:rsidRPr="00064619">
        <w:rPr>
          <w:rStyle w:val="FootnoteReference"/>
          <w:rFonts w:cs="Taher"/>
          <w:sz w:val="32"/>
          <w:rtl/>
        </w:rPr>
        <w:footnoteReference w:id="116"/>
      </w:r>
      <w:r w:rsidRPr="00064619">
        <w:rPr>
          <w:rFonts w:cs="Taher"/>
          <w:vertAlign w:val="superscript"/>
          <w:rtl/>
        </w:rPr>
        <w:t>)</w:t>
      </w:r>
      <w:r w:rsidRPr="00A32FC0">
        <w:rPr>
          <w:rFonts w:hint="cs"/>
          <w:rtl/>
        </w:rPr>
        <w:t xml:space="preserve"> (باب تفعيل)، بمعنى الرجوع والانصراف. وعلى هذا الأساس فإنّ البحث حول الولاية في القرآن يتمحور حول ما يقارب 120 كلمة من هذه المادة، ومعظمها من الأسماء. ولابدّ من الإشارة إلى أنَّ القرآن قد تطرّق إلى بحث الولاية دون استعمال لفظها. وقد أضيفت هذه الموارد إلى البحث لتحديد المعالم الكاملة للولاية قدر المستطاع.</w:t>
      </w:r>
    </w:p>
    <w:p w:rsidR="00EA09EB" w:rsidRPr="00A32FC0" w:rsidRDefault="00EA09EB" w:rsidP="00635BE2">
      <w:pPr>
        <w:pStyle w:val="Normal93"/>
        <w:rPr>
          <w:rtl/>
        </w:rPr>
      </w:pPr>
      <w:r w:rsidRPr="00A32FC0">
        <w:rPr>
          <w:rFonts w:hint="cs"/>
          <w:rtl/>
        </w:rPr>
        <w:t>3</w:t>
      </w:r>
      <w:r w:rsidRPr="00A32FC0">
        <w:rPr>
          <w:rtl/>
        </w:rPr>
        <w:t>ـ</w:t>
      </w:r>
      <w:r w:rsidRPr="00A32FC0">
        <w:rPr>
          <w:rFonts w:hint="cs"/>
          <w:rtl/>
        </w:rPr>
        <w:t xml:space="preserve"> المراد من الولاية ـ بحسب استعمال القرآن ـ هو القرب الشديد بين شيئين، الذي يُعطي نوعاً من حقّ التصرُّف والتدبير في شؤون الغير. ويتضمن معنى الولاية نوعاً من الأولويّة والأحقّية للغير من النفس. والواقع أنّ الولاية تؤدّي إلى رفع الحواجز والحجب بين الوليّ والمولّى عليه. فالقرب والأولوية يمكن أن تكون من جهة المودّة والحبّ والانجذاب الروحيّ، بحيث يعدّ الوليّ محبوباً، فبهذا تكون الولاية (ولاية الحبّ)؛ ويمكن أن تكون الولاية من جهة النصرة، بحيث لا يكون هناك مانع من دفاع الناصر عن المنصور، فتكون الولاية (ولاية النصرة)؛ ويمكن أن تكون من جهة تدبير شؤون الغير، فتسمّى (الولاية التدبيرية)؛ أو تكون من جهة النسب، بحيث لا يكون هناك فاصل بين الوليّ والميت</w:t>
      </w:r>
      <w:r w:rsidRPr="00064619">
        <w:rPr>
          <w:rFonts w:cs="Taher"/>
          <w:vertAlign w:val="superscript"/>
          <w:rtl/>
        </w:rPr>
        <w:t>(</w:t>
      </w:r>
      <w:r w:rsidRPr="00064619">
        <w:rPr>
          <w:rStyle w:val="FootnoteReference"/>
          <w:rFonts w:cs="Taher"/>
          <w:sz w:val="32"/>
          <w:rtl/>
        </w:rPr>
        <w:footnoteReference w:id="117"/>
      </w:r>
      <w:r w:rsidRPr="00064619">
        <w:rPr>
          <w:rFonts w:cs="Taher"/>
          <w:vertAlign w:val="superscript"/>
          <w:rtl/>
        </w:rPr>
        <w:t>)</w:t>
      </w:r>
      <w:r w:rsidRPr="00A32FC0">
        <w:rPr>
          <w:rFonts w:hint="cs"/>
          <w:rtl/>
        </w:rPr>
        <w:t>.</w:t>
      </w:r>
    </w:p>
    <w:p w:rsidR="00EA09EB" w:rsidRPr="00EA09EB" w:rsidRDefault="00EA09EB" w:rsidP="00635BE2">
      <w:pPr>
        <w:pStyle w:val="Normal93"/>
        <w:rPr>
          <w:rtl/>
        </w:rPr>
      </w:pPr>
      <w:r w:rsidRPr="00A32FC0">
        <w:rPr>
          <w:rFonts w:hint="cs"/>
          <w:rtl/>
        </w:rPr>
        <w:t>4</w:t>
      </w:r>
      <w:r w:rsidRPr="00A32FC0">
        <w:rPr>
          <w:rtl/>
        </w:rPr>
        <w:t>ـ</w:t>
      </w:r>
      <w:r w:rsidRPr="00A32FC0">
        <w:rPr>
          <w:rFonts w:hint="cs"/>
          <w:rtl/>
        </w:rPr>
        <w:t xml:space="preserve"> في تقسيم عام للولاية تنقسم الولاية في القرآن إلى قسمين: ولاية إيجابية؛ وولاية سلبية</w:t>
      </w:r>
      <w:r w:rsidRPr="00064619">
        <w:rPr>
          <w:rFonts w:cs="Taher"/>
          <w:vertAlign w:val="superscript"/>
          <w:rtl/>
        </w:rPr>
        <w:t>(</w:t>
      </w:r>
      <w:r w:rsidRPr="00064619">
        <w:rPr>
          <w:rStyle w:val="FootnoteReference"/>
          <w:rFonts w:cs="Taher"/>
          <w:sz w:val="32"/>
          <w:rtl/>
        </w:rPr>
        <w:footnoteReference w:id="118"/>
      </w:r>
      <w:r w:rsidRPr="00064619">
        <w:rPr>
          <w:rFonts w:cs="Taher"/>
          <w:vertAlign w:val="superscript"/>
          <w:rtl/>
        </w:rPr>
        <w:t>)</w:t>
      </w:r>
      <w:r w:rsidRPr="00EA09EB">
        <w:rPr>
          <w:rFonts w:hint="cs"/>
          <w:rtl/>
        </w:rPr>
        <w:t>.</w:t>
      </w:r>
    </w:p>
    <w:p w:rsidR="00EA09EB" w:rsidRPr="00A32FC0" w:rsidRDefault="00EA09EB" w:rsidP="00635BE2">
      <w:pPr>
        <w:pStyle w:val="Normal93"/>
        <w:rPr>
          <w:rtl/>
        </w:rPr>
      </w:pPr>
      <w:r w:rsidRPr="00A32FC0">
        <w:rPr>
          <w:rFonts w:hint="cs"/>
          <w:rtl/>
        </w:rPr>
        <w:t>والمراد من الولاية الإيجابية الولاية التي تبنّاها القرآن، وحثّ على التمسُّك بها، والاستفادة من بركاتها الدنيوية والأخروية. والتمسك بالولاية الإيجابية يعتبر من لوازم العبودية لله.</w:t>
      </w:r>
    </w:p>
    <w:p w:rsidR="00EA09EB" w:rsidRPr="00A32FC0" w:rsidRDefault="00EA09EB" w:rsidP="00635BE2">
      <w:pPr>
        <w:pStyle w:val="Normal93"/>
        <w:rPr>
          <w:rtl/>
        </w:rPr>
      </w:pPr>
      <w:r w:rsidRPr="00A32FC0">
        <w:rPr>
          <w:rFonts w:hint="cs"/>
          <w:rtl/>
        </w:rPr>
        <w:t>ومن جهة أخرى فقد ذمّ القرآن ذمّاً شديداً نوعاً آخر من الولاية، وهي الولاية السلبية، وحثَّ المؤمنين على التبرّي والابتعاد عنها، واعتبرها طرف النقيض للتديُّن والإسلام. فالمجتمع القرآني هو المجتمع الذي تنزَّه عن هذا النوع من الولاية، التي نهى عنها القرآن.</w:t>
      </w:r>
    </w:p>
    <w:p w:rsidR="00EA09EB" w:rsidRPr="00A32FC0" w:rsidRDefault="00EA09EB" w:rsidP="00EA09EB">
      <w:pPr>
        <w:rPr>
          <w:rtl/>
          <w:lang w:bidi="ar-LB"/>
        </w:rPr>
      </w:pPr>
      <w:r w:rsidRPr="00A32FC0">
        <w:rPr>
          <w:rFonts w:hint="cs"/>
          <w:rtl/>
          <w:lang w:bidi="ar-LB"/>
        </w:rPr>
        <w:t>5</w:t>
      </w:r>
      <w:r w:rsidRPr="00A32FC0">
        <w:rPr>
          <w:rtl/>
          <w:lang w:bidi="ar-LB"/>
        </w:rPr>
        <w:t>ـ</w:t>
      </w:r>
      <w:r w:rsidRPr="00A32FC0">
        <w:rPr>
          <w:rFonts w:hint="cs"/>
          <w:rtl/>
          <w:lang w:bidi="ar-LB"/>
        </w:rPr>
        <w:t xml:space="preserve"> تنقسم الولاية الإيجابية، من حيث أصحاب الولاية، إلى ثلاثة أقسام: الولاية الإلهية؛ (ولاية الله على ما سواه)؛ الولاية الملائكية (ولاية الملائكة على الناس)؛ والولاية البشرية (ولاية الناس).</w:t>
      </w:r>
    </w:p>
    <w:p w:rsidR="00EA09EB" w:rsidRPr="00EA09EB" w:rsidRDefault="00EA09EB" w:rsidP="007A340E">
      <w:pPr>
        <w:ind w:firstLine="283"/>
        <w:rPr>
          <w:rtl/>
        </w:rPr>
      </w:pPr>
      <w:r w:rsidRPr="00EA09EB">
        <w:rPr>
          <w:rFonts w:hint="cs"/>
          <w:rtl/>
        </w:rPr>
        <w:t>6</w:t>
      </w:r>
      <w:r w:rsidRPr="00EA09EB">
        <w:rPr>
          <w:rtl/>
        </w:rPr>
        <w:t>ـ</w:t>
      </w:r>
      <w:r w:rsidRPr="00EA09EB">
        <w:rPr>
          <w:rFonts w:hint="cs"/>
          <w:rtl/>
        </w:rPr>
        <w:t xml:space="preserve"> الولاية الإيجابية الأهمّ في القرآن هي ولاية الله تعالى، بحيث جعل الله أحد أسمائه الحسنى «الوَليّ»، والآخر «المَوْلَى». وله تعالى ولايتان: ولاية تكوينية أو حقيقية؛ وولاية تشريعية أو اعتبارية</w:t>
      </w:r>
      <w:r w:rsidRPr="00064619">
        <w:rPr>
          <w:rFonts w:cs="Taher"/>
          <w:sz w:val="32"/>
          <w:vertAlign w:val="superscript"/>
          <w:rtl/>
          <w:lang w:bidi="ar-LB"/>
        </w:rPr>
        <w:t>(</w:t>
      </w:r>
      <w:r w:rsidRPr="00064619">
        <w:rPr>
          <w:rStyle w:val="FootnoteReference"/>
          <w:rFonts w:cs="Taher"/>
          <w:sz w:val="32"/>
          <w:rtl/>
          <w:lang w:bidi="ar-LB"/>
        </w:rPr>
        <w:footnoteReference w:id="119"/>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فالولاية التكوينية تعني القدرة على التصرُّف في جميع الأشياء، وتدبير شؤون الخلق كما يشاء.</w:t>
      </w:r>
    </w:p>
    <w:p w:rsidR="00EA09EB" w:rsidRPr="00A32FC0" w:rsidRDefault="00EA09EB" w:rsidP="00EA09EB">
      <w:pPr>
        <w:rPr>
          <w:rtl/>
          <w:lang w:bidi="ar-LB"/>
        </w:rPr>
      </w:pPr>
      <w:r w:rsidRPr="00EA09EB">
        <w:rPr>
          <w:rFonts w:hint="cs"/>
          <w:rtl/>
        </w:rPr>
        <w:t>ومن الشواهد على ولاية الله التكوينية قوله تعالى: ﴿</w:t>
      </w:r>
      <w:r w:rsidRPr="00A32FC0">
        <w:rPr>
          <w:b/>
          <w:bCs/>
          <w:rtl/>
        </w:rPr>
        <w:t xml:space="preserve">أَمْ اتَّخَذُوا </w:t>
      </w:r>
      <w:r>
        <w:rPr>
          <w:b/>
          <w:bCs/>
          <w:rtl/>
        </w:rPr>
        <w:t>مِنْ دُونِهِ أَوْلِيَاءَ فَالل</w:t>
      </w:r>
      <w:r w:rsidRPr="00A32FC0">
        <w:rPr>
          <w:b/>
          <w:bCs/>
          <w:rtl/>
        </w:rPr>
        <w:t>هُ هُوَ الْوَلِيُّ</w:t>
      </w:r>
      <w:r w:rsidRPr="00A32FC0">
        <w:rPr>
          <w:rFonts w:hint="cs"/>
          <w:rtl/>
        </w:rPr>
        <w:t>﴾</w:t>
      </w:r>
      <w:r>
        <w:rPr>
          <w:rFonts w:hint="cs"/>
          <w:rtl/>
        </w:rPr>
        <w:t>(</w:t>
      </w:r>
      <w:r w:rsidRPr="00A32FC0">
        <w:rPr>
          <w:rFonts w:hint="cs"/>
          <w:rtl/>
        </w:rPr>
        <w:t>الشورى: 9</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 xml:space="preserve">والمراد من الولاية التشريعية هو </w:t>
      </w:r>
      <w:r w:rsidRPr="001E5263">
        <w:rPr>
          <w:rFonts w:hint="cs"/>
          <w:rtl/>
          <w:lang w:bidi="ar-LB"/>
        </w:rPr>
        <w:t>الهداية، والإرشاد، والتوفيق،</w:t>
      </w:r>
      <w:r w:rsidRPr="00A32FC0">
        <w:rPr>
          <w:rFonts w:hint="cs"/>
          <w:rtl/>
          <w:lang w:bidi="ar-LB"/>
        </w:rPr>
        <w:t xml:space="preserve"> والتشريع</w:t>
      </w:r>
      <w:r>
        <w:rPr>
          <w:rFonts w:hint="cs"/>
          <w:rtl/>
          <w:lang w:bidi="ar-LB"/>
        </w:rPr>
        <w:t>،</w:t>
      </w:r>
      <w:r w:rsidRPr="00A32FC0">
        <w:rPr>
          <w:rFonts w:hint="cs"/>
          <w:rtl/>
          <w:lang w:bidi="ar-LB"/>
        </w:rPr>
        <w:t xml:space="preserve"> وبشكل</w:t>
      </w:r>
      <w:r>
        <w:rPr>
          <w:rFonts w:hint="cs"/>
          <w:rtl/>
          <w:lang w:bidi="ar-LB"/>
        </w:rPr>
        <w:t>ٍ</w:t>
      </w:r>
      <w:r w:rsidRPr="00A32FC0">
        <w:rPr>
          <w:rFonts w:hint="cs"/>
          <w:rtl/>
          <w:lang w:bidi="ar-LB"/>
        </w:rPr>
        <w:t xml:space="preserve"> عام الولاية على جميع الأمور المرتبطة بالدين. إلاّ أنّ الهداية </w:t>
      </w:r>
      <w:r w:rsidRPr="009C6220">
        <w:rPr>
          <w:rFonts w:hint="cs"/>
          <w:rtl/>
          <w:lang w:bidi="ar-LB"/>
        </w:rPr>
        <w:t>والإرشاد والدين</w:t>
      </w:r>
      <w:r w:rsidRPr="0077712C">
        <w:rPr>
          <w:rFonts w:hint="cs"/>
          <w:rtl/>
          <w:lang w:bidi="ar-LB"/>
        </w:rPr>
        <w:t xml:space="preserve"> </w:t>
      </w:r>
      <w:r w:rsidRPr="00A32FC0">
        <w:rPr>
          <w:rFonts w:hint="cs"/>
          <w:rtl/>
          <w:lang w:bidi="ar-LB"/>
        </w:rPr>
        <w:t>وإنْ كانت قد عرضت على جميع الناس، إلاّ أن القبول بها يقتصر على مجموعةٍ منهم، فينضوون تحت الولاية الإلهية. وعلى هذا الأساس فإن الله وليّ المؤمنين والمتّقين، والآخرون محرومون من هذه الولاية: ﴿</w:t>
      </w:r>
      <w:r>
        <w:rPr>
          <w:b/>
          <w:bCs/>
          <w:rtl/>
        </w:rPr>
        <w:t>الل</w:t>
      </w:r>
      <w:r w:rsidRPr="00A32FC0">
        <w:rPr>
          <w:b/>
          <w:bCs/>
          <w:rtl/>
        </w:rPr>
        <w:t>هُ وَلِيُّ الَّذِينَ آمَنُوا يُخْرِجُهُمْ مِنْ الظُّلُمَاتِ إِلَى النُّورِ</w:t>
      </w:r>
      <w:r w:rsidRPr="00EA09EB">
        <w:rPr>
          <w:rFonts w:hint="cs"/>
          <w:rtl/>
        </w:rPr>
        <w:t>﴾(السجدة: 4)، ﴿</w:t>
      </w:r>
      <w:r>
        <w:rPr>
          <w:b/>
          <w:bCs/>
          <w:rtl/>
        </w:rPr>
        <w:t>وَالل</w:t>
      </w:r>
      <w:r w:rsidRPr="00A32FC0">
        <w:rPr>
          <w:b/>
          <w:bCs/>
          <w:rtl/>
        </w:rPr>
        <w:t>هُ وَلِيُّ الْمُؤْمِنِينَ</w:t>
      </w:r>
      <w:r w:rsidRPr="00EA09EB">
        <w:rPr>
          <w:rFonts w:hint="cs"/>
          <w:rtl/>
        </w:rPr>
        <w:t>﴾(البقرة: 257)، ﴿</w:t>
      </w:r>
      <w:r>
        <w:rPr>
          <w:b/>
          <w:bCs/>
          <w:rtl/>
        </w:rPr>
        <w:t>وَالل</w:t>
      </w:r>
      <w:r w:rsidRPr="00A32FC0">
        <w:rPr>
          <w:b/>
          <w:bCs/>
          <w:rtl/>
        </w:rPr>
        <w:t>هُ وَلِيُّ الْمُتَّقِينَ</w:t>
      </w:r>
      <w:r w:rsidRPr="00EA09EB">
        <w:rPr>
          <w:rFonts w:hint="cs"/>
          <w:rtl/>
        </w:rPr>
        <w:t>﴾(الجاثية: 19)، و﴿</w:t>
      </w:r>
      <w:r>
        <w:rPr>
          <w:b/>
          <w:bCs/>
          <w:rtl/>
        </w:rPr>
        <w:t>الل</w:t>
      </w:r>
      <w:r w:rsidRPr="00A32FC0">
        <w:rPr>
          <w:b/>
          <w:bCs/>
          <w:rtl/>
        </w:rPr>
        <w:t>هَ مَوْلَى الَّذِينَ آمَنُوا</w:t>
      </w:r>
      <w:r w:rsidRPr="00EA09EB">
        <w:rPr>
          <w:rFonts w:hint="cs"/>
          <w:rtl/>
        </w:rPr>
        <w:t xml:space="preserve">﴾(محمد: </w:t>
      </w:r>
      <w:r w:rsidRPr="00635BE2">
        <w:rPr>
          <w:rFonts w:hint="cs"/>
          <w:sz w:val="26"/>
          <w:szCs w:val="28"/>
          <w:rtl/>
        </w:rPr>
        <w:t>11)، ﴿</w:t>
      </w:r>
      <w:r w:rsidRPr="00635BE2">
        <w:rPr>
          <w:b/>
          <w:bCs/>
          <w:sz w:val="26"/>
          <w:szCs w:val="28"/>
          <w:rtl/>
        </w:rPr>
        <w:t>وَهُوَ الْوَلِيُّ الْحَمِيدُ</w:t>
      </w:r>
      <w:r w:rsidRPr="00635BE2">
        <w:rPr>
          <w:rFonts w:hint="cs"/>
          <w:sz w:val="26"/>
          <w:szCs w:val="28"/>
          <w:rtl/>
        </w:rPr>
        <w:t>﴾</w:t>
      </w:r>
      <w:r w:rsidR="00635BE2" w:rsidRPr="00635BE2">
        <w:rPr>
          <w:rFonts w:hint="cs"/>
          <w:sz w:val="26"/>
          <w:szCs w:val="28"/>
          <w:rtl/>
        </w:rPr>
        <w:t xml:space="preserve"> </w:t>
      </w:r>
      <w:r w:rsidRPr="00635BE2">
        <w:rPr>
          <w:rFonts w:hint="cs"/>
          <w:sz w:val="26"/>
          <w:szCs w:val="28"/>
          <w:rtl/>
        </w:rPr>
        <w:t>(الشورى: 28)، و﴿</w:t>
      </w:r>
      <w:r w:rsidRPr="00635BE2">
        <w:rPr>
          <w:b/>
          <w:bCs/>
          <w:sz w:val="26"/>
          <w:szCs w:val="28"/>
          <w:rtl/>
        </w:rPr>
        <w:t xml:space="preserve">نِعْمَ الْمَوْلَى وَنِعْمَ </w:t>
      </w:r>
      <w:r w:rsidRPr="00A32FC0">
        <w:rPr>
          <w:b/>
          <w:bCs/>
          <w:rtl/>
        </w:rPr>
        <w:t>النَّصِيرُ</w:t>
      </w:r>
      <w:r w:rsidRPr="00EA09EB">
        <w:rPr>
          <w:rFonts w:hint="cs"/>
          <w:rtl/>
        </w:rPr>
        <w:t>﴾(الأنفال: 40)، ﴿</w:t>
      </w:r>
      <w:r>
        <w:rPr>
          <w:b/>
          <w:bCs/>
          <w:rtl/>
        </w:rPr>
        <w:t>فَالل</w:t>
      </w:r>
      <w:r w:rsidRPr="00A32FC0">
        <w:rPr>
          <w:b/>
          <w:bCs/>
          <w:rtl/>
        </w:rPr>
        <w:t>هُ هُوَ الْوَلِيُّ</w:t>
      </w:r>
      <w:r w:rsidRPr="00EA09EB">
        <w:rPr>
          <w:rFonts w:hint="cs"/>
          <w:rtl/>
        </w:rPr>
        <w:t>﴾(الشورى: 9)، ولا وليّ واقعيّ غيره، ﴿</w:t>
      </w:r>
      <w:r>
        <w:rPr>
          <w:b/>
          <w:bCs/>
          <w:rtl/>
        </w:rPr>
        <w:t>وَكَفَى بِاللهِ وَلِيّاً وَكَفَى بِالل</w:t>
      </w:r>
      <w:r w:rsidRPr="00A32FC0">
        <w:rPr>
          <w:b/>
          <w:bCs/>
          <w:rtl/>
        </w:rPr>
        <w:t>هِ نَصِيراً</w:t>
      </w:r>
      <w:r w:rsidRPr="00A32FC0">
        <w:rPr>
          <w:rFonts w:hint="cs"/>
          <w:rtl/>
        </w:rPr>
        <w:t>﴾</w:t>
      </w:r>
      <w:r>
        <w:rPr>
          <w:rFonts w:hint="cs"/>
          <w:rtl/>
        </w:rPr>
        <w:t>(</w:t>
      </w:r>
      <w:r w:rsidRPr="00A32FC0">
        <w:rPr>
          <w:rFonts w:hint="cs"/>
          <w:rtl/>
        </w:rPr>
        <w:t>النساء: 45</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لا تنحصر ولاية الله في الدنيا فقط، فالدنيا والآخرة كلاهما تحت ولايته، وفي كلا العالمين هو المدبِّر والناصر والمحبوب الحقيقي: ﴿</w:t>
      </w:r>
      <w:r w:rsidRPr="00A32FC0">
        <w:rPr>
          <w:b/>
          <w:bCs/>
          <w:rtl/>
        </w:rPr>
        <w:t>أَنْتَ وَلِيِّ</w:t>
      </w:r>
      <w:r w:rsidRPr="00A32FC0">
        <w:rPr>
          <w:rFonts w:hint="cs"/>
          <w:b/>
          <w:bCs/>
          <w:rtl/>
        </w:rPr>
        <w:t>ي</w:t>
      </w:r>
      <w:r w:rsidRPr="00A32FC0">
        <w:rPr>
          <w:b/>
          <w:bCs/>
          <w:rtl/>
        </w:rPr>
        <w:t xml:space="preserve"> فِي الدُّنْيَا وَالآخِرَةِ</w:t>
      </w:r>
      <w:r w:rsidRPr="00EA09EB">
        <w:rPr>
          <w:rFonts w:hint="cs"/>
          <w:rtl/>
        </w:rPr>
        <w:t>﴾(يوسف: 101)، ولا يلحق بأوليائه إلاّ المتّقون: ﴿</w:t>
      </w:r>
      <w:r w:rsidRPr="00A32FC0">
        <w:rPr>
          <w:b/>
          <w:bCs/>
          <w:rtl/>
        </w:rPr>
        <w:t>إِنْ أَوْلِيَاؤُهُ إِلاَّ الْمُتَّقُونَ</w:t>
      </w:r>
      <w:r w:rsidRPr="00EA09EB">
        <w:rPr>
          <w:rFonts w:hint="cs"/>
          <w:rtl/>
        </w:rPr>
        <w:t>﴾(الأنفال: 34). كما أن ﴿</w:t>
      </w:r>
      <w:r>
        <w:rPr>
          <w:b/>
          <w:bCs/>
          <w:rtl/>
        </w:rPr>
        <w:t>أَوْلِيَاءَ الل</w:t>
      </w:r>
      <w:r w:rsidRPr="00A32FC0">
        <w:rPr>
          <w:b/>
          <w:bCs/>
          <w:rtl/>
        </w:rPr>
        <w:t>هِ لاَ خَوْفٌ عَلَيْهِمْ وَلاَ هُمْ يَحْزَنُونَ</w:t>
      </w:r>
      <w:r w:rsidRPr="00EA09EB">
        <w:rPr>
          <w:rFonts w:hint="cs"/>
          <w:rtl/>
        </w:rPr>
        <w:t>﴾(يونس: 62). كما أنّ الكفار والظالمين محرومون من ولايته: ﴿</w:t>
      </w:r>
      <w:r w:rsidRPr="00A32FC0">
        <w:rPr>
          <w:b/>
          <w:bCs/>
          <w:rtl/>
        </w:rPr>
        <w:t>وَالظَّالِمُونَ مَا لَهُمْ مِنْ وَلِيٍّ وَلاَ نَصِيرٍ</w:t>
      </w:r>
      <w:r w:rsidRPr="00EA09EB">
        <w:rPr>
          <w:rFonts w:hint="cs"/>
          <w:rtl/>
        </w:rPr>
        <w:t>﴾(الشورى: 8)، و﴿</w:t>
      </w:r>
      <w:r w:rsidRPr="00A32FC0">
        <w:rPr>
          <w:b/>
          <w:bCs/>
          <w:rtl/>
        </w:rPr>
        <w:t>خَالِدِينَ فِيهَا أَبَداً لاَ يَجِدُونَ وَلِيّاً وَلاَ نَصِيراً</w:t>
      </w:r>
      <w:r w:rsidRPr="00EA09EB">
        <w:rPr>
          <w:rFonts w:hint="cs"/>
          <w:rtl/>
        </w:rPr>
        <w:t>﴾(الأحزاب: 65)، ﴿</w:t>
      </w:r>
      <w:r w:rsidRPr="00A32FC0">
        <w:rPr>
          <w:b/>
          <w:bCs/>
          <w:rtl/>
        </w:rPr>
        <w:t xml:space="preserve">وَأَنَّ </w:t>
      </w:r>
      <w:r w:rsidRPr="007A340E">
        <w:rPr>
          <w:b/>
          <w:bCs/>
          <w:rtl/>
        </w:rPr>
        <w:t>الْكَافِرِينَ</w:t>
      </w:r>
      <w:r w:rsidRPr="00A32FC0">
        <w:rPr>
          <w:b/>
          <w:bCs/>
          <w:rtl/>
        </w:rPr>
        <w:t xml:space="preserve"> لاَ مَوْلَى لَهُمْ</w:t>
      </w:r>
      <w:r w:rsidRPr="00A32FC0">
        <w:rPr>
          <w:rFonts w:hint="cs"/>
          <w:rtl/>
        </w:rPr>
        <w:t>﴾</w:t>
      </w:r>
      <w:r>
        <w:rPr>
          <w:rFonts w:hint="cs"/>
          <w:rtl/>
        </w:rPr>
        <w:t>(</w:t>
      </w:r>
      <w:r w:rsidRPr="00A32FC0">
        <w:rPr>
          <w:rFonts w:hint="cs"/>
          <w:rtl/>
        </w:rPr>
        <w:t>محمد: 11</w:t>
      </w:r>
      <w:r w:rsidRPr="00A32FC0">
        <w:rPr>
          <w:rFonts w:hint="cs"/>
          <w:rtl/>
          <w:lang w:bidi="ar-LB"/>
        </w:rPr>
        <w:t>).</w:t>
      </w:r>
    </w:p>
    <w:p w:rsidR="00EA09EB" w:rsidRPr="00EA09EB" w:rsidRDefault="00EA09EB" w:rsidP="00EA09EB">
      <w:pPr>
        <w:rPr>
          <w:rtl/>
        </w:rPr>
      </w:pPr>
      <w:r w:rsidRPr="00A32FC0">
        <w:rPr>
          <w:rFonts w:hint="cs"/>
          <w:rtl/>
          <w:lang w:bidi="ar-LB"/>
        </w:rPr>
        <w:t>الله هو المولى الحقيقيّ، وسائر الولايات تابعة له، بإذنه، ولا ولاية لأحدٍ على الله: ﴿</w:t>
      </w:r>
      <w:r w:rsidRPr="00A32FC0">
        <w:rPr>
          <w:b/>
          <w:bCs/>
          <w:rtl/>
        </w:rPr>
        <w:t>وَلَمْ يَكُنْ لَهُ وَلِيٌّ مِنْ الذُّلِّ وَكَبِّرْهُ تَكْبِيراً</w:t>
      </w:r>
      <w:r w:rsidRPr="00EA09EB">
        <w:rPr>
          <w:rFonts w:hint="cs"/>
          <w:rtl/>
        </w:rPr>
        <w:t>﴾(الإسراء: 111).</w:t>
      </w:r>
    </w:p>
    <w:p w:rsidR="00EA09EB" w:rsidRPr="00A32FC0" w:rsidRDefault="00EA09EB" w:rsidP="00EA09EB">
      <w:pPr>
        <w:rPr>
          <w:rtl/>
          <w:lang w:bidi="ar-LB"/>
        </w:rPr>
      </w:pPr>
      <w:r w:rsidRPr="00A32FC0">
        <w:rPr>
          <w:rFonts w:hint="cs"/>
          <w:rtl/>
          <w:lang w:bidi="ar-LB"/>
        </w:rPr>
        <w:t xml:space="preserve">إنّ ولاية الله على المؤمنين </w:t>
      </w:r>
      <w:r w:rsidRPr="00A32FC0">
        <w:rPr>
          <w:rFonts w:hint="cs"/>
          <w:rtl/>
        </w:rPr>
        <w:t>«</w:t>
      </w:r>
      <w:r w:rsidRPr="00A32FC0">
        <w:rPr>
          <w:rFonts w:hint="cs"/>
          <w:rtl/>
          <w:lang w:bidi="ar-LB"/>
        </w:rPr>
        <w:t>مطلقة</w:t>
      </w:r>
      <w:r w:rsidRPr="00A32FC0">
        <w:rPr>
          <w:rFonts w:hint="cs"/>
          <w:rtl/>
        </w:rPr>
        <w:t>»</w:t>
      </w:r>
      <w:r w:rsidRPr="00A32FC0">
        <w:rPr>
          <w:rFonts w:hint="cs"/>
          <w:rtl/>
          <w:lang w:bidi="ar-LB"/>
        </w:rPr>
        <w:t xml:space="preserve"> بكلّ معنى الكلمة، وتشمل جميع شؤونهم. وهذه الولاية أعمّ من الولاية التدبيرية وولاية النصرة وولاية الحبّ.</w:t>
      </w:r>
    </w:p>
    <w:p w:rsidR="00EA09EB" w:rsidRPr="00A32FC0" w:rsidRDefault="00EA09EB" w:rsidP="00EA09EB">
      <w:pPr>
        <w:rPr>
          <w:rtl/>
          <w:lang w:bidi="ar-LB"/>
        </w:rPr>
      </w:pPr>
      <w:r w:rsidRPr="00EA09EB">
        <w:rPr>
          <w:rFonts w:hint="cs"/>
          <w:rtl/>
        </w:rPr>
        <w:t>7</w:t>
      </w:r>
      <w:r w:rsidRPr="00EA09EB">
        <w:rPr>
          <w:rtl/>
        </w:rPr>
        <w:t>ـ</w:t>
      </w:r>
      <w:r w:rsidRPr="00EA09EB">
        <w:rPr>
          <w:rFonts w:hint="cs"/>
          <w:rtl/>
        </w:rPr>
        <w:t xml:space="preserve"> الملائكة </w:t>
      </w:r>
      <w:r w:rsidRPr="00EA09EB">
        <w:rPr>
          <w:rtl/>
        </w:rPr>
        <w:t>ـ</w:t>
      </w:r>
      <w:r w:rsidRPr="00EA09EB">
        <w:rPr>
          <w:rFonts w:hint="cs"/>
          <w:rtl/>
        </w:rPr>
        <w:t xml:space="preserve"> وهم جنود الله في تدبير العالم </w:t>
      </w:r>
      <w:r w:rsidRPr="00EA09EB">
        <w:rPr>
          <w:rtl/>
        </w:rPr>
        <w:t>ـ</w:t>
      </w:r>
      <w:r w:rsidRPr="00EA09EB">
        <w:rPr>
          <w:rFonts w:hint="cs"/>
          <w:rtl/>
        </w:rPr>
        <w:t xml:space="preserve"> على قسمين: قسم أُنيطَ به تدبير شؤون الكون، ولا فرق في عملهم بين المؤمن والكافر، من قبيل: الملائكة الحافظين، والموكَّلين بالأرزاق، والآجال، و...؛ والقسم الثاني هو الملائكة المسدّدون، وهم مختصّون بأولياء الله، فهم في الدنيا والآخرة مشغولون بتسديد وتأييد المؤمنين والصالحين</w:t>
      </w:r>
      <w:r w:rsidRPr="00064619">
        <w:rPr>
          <w:rFonts w:cs="Taher"/>
          <w:vertAlign w:val="superscript"/>
          <w:rtl/>
          <w:lang w:bidi="ar-LB"/>
        </w:rPr>
        <w:t>(</w:t>
      </w:r>
      <w:r w:rsidRPr="00064619">
        <w:rPr>
          <w:rStyle w:val="FootnoteReference"/>
          <w:rFonts w:cs="Taher"/>
          <w:sz w:val="32"/>
          <w:rtl/>
          <w:lang w:bidi="ar-LB"/>
        </w:rPr>
        <w:footnoteReference w:id="120"/>
      </w:r>
      <w:r w:rsidRPr="00064619">
        <w:rPr>
          <w:rFonts w:cs="Taher"/>
          <w:vertAlign w:val="superscript"/>
          <w:rtl/>
          <w:lang w:bidi="ar-LB"/>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إنّ ولاية الملائكة تختصّ بالمتقين: ﴿</w:t>
      </w:r>
      <w:r w:rsidRPr="00A32FC0">
        <w:rPr>
          <w:b/>
          <w:bCs/>
          <w:rtl/>
        </w:rPr>
        <w:t xml:space="preserve">إِنَّ </w:t>
      </w:r>
      <w:r>
        <w:rPr>
          <w:b/>
          <w:bCs/>
          <w:rtl/>
        </w:rPr>
        <w:t>الَّذِينَ قَالُوا رَبُّنَا الل</w:t>
      </w:r>
      <w:r w:rsidRPr="00A32FC0">
        <w:rPr>
          <w:b/>
          <w:bCs/>
          <w:rtl/>
        </w:rPr>
        <w:t>هُ ثُمَّ اسْتَقَامُوا تَتَنَزَّلُ عَلَيْهِمْ الْمَلاَئِكَةُ أَ</w:t>
      </w:r>
      <w:r>
        <w:rPr>
          <w:rFonts w:hint="cs"/>
          <w:b/>
          <w:bCs/>
          <w:rtl/>
        </w:rPr>
        <w:t xml:space="preserve">نْ </w:t>
      </w:r>
      <w:r>
        <w:rPr>
          <w:b/>
          <w:bCs/>
          <w:rtl/>
        </w:rPr>
        <w:t>لا</w:t>
      </w:r>
      <w:r w:rsidRPr="00A32FC0">
        <w:rPr>
          <w:b/>
          <w:bCs/>
          <w:rtl/>
        </w:rPr>
        <w:t xml:space="preserve"> تَخَافُوا وَلاَ تَحْزَنُوا وَأَبْشِرُوا بِالْجَنَّةِ الَّتِي كُنْتُمْ تُوعَدُونَ </w:t>
      </w:r>
      <w:r w:rsidRPr="00A32FC0">
        <w:rPr>
          <w:rFonts w:hint="cs"/>
          <w:b/>
          <w:bCs/>
          <w:rtl/>
        </w:rPr>
        <w:t>*</w:t>
      </w:r>
      <w:r w:rsidRPr="00A32FC0">
        <w:rPr>
          <w:b/>
          <w:bCs/>
          <w:rtl/>
        </w:rPr>
        <w:t xml:space="preserve"> نَحْنُ أَوْلِيَاؤُكُمْ فِي الْحَيَاةِ الدُّنْيَا وَفِي الآخِرَةِ</w:t>
      </w:r>
      <w:r w:rsidRPr="00EA09EB">
        <w:rPr>
          <w:rFonts w:hint="cs"/>
          <w:rtl/>
        </w:rPr>
        <w:t xml:space="preserve">﴾(فصّلت: 30 </w:t>
      </w:r>
      <w:r w:rsidRPr="00EA09EB">
        <w:rPr>
          <w:rtl/>
        </w:rPr>
        <w:t>ـ</w:t>
      </w:r>
      <w:r w:rsidRPr="00EA09EB">
        <w:rPr>
          <w:rFonts w:hint="cs"/>
          <w:rtl/>
        </w:rPr>
        <w:t xml:space="preserve"> 31). وإنّ نصرة الملائكة للمسلمين في معركة بدر هي من بركات هذه الولاية</w:t>
      </w:r>
      <w:r w:rsidRPr="00064619">
        <w:rPr>
          <w:rFonts w:cs="Taher"/>
          <w:vertAlign w:val="superscript"/>
          <w:rtl/>
          <w:lang w:bidi="ar-LB"/>
        </w:rPr>
        <w:t>(</w:t>
      </w:r>
      <w:r w:rsidRPr="00064619">
        <w:rPr>
          <w:rStyle w:val="FootnoteReference"/>
          <w:rFonts w:cs="Taher"/>
          <w:sz w:val="32"/>
          <w:rtl/>
          <w:lang w:bidi="ar-LB"/>
        </w:rPr>
        <w:footnoteReference w:id="121"/>
      </w:r>
      <w:r w:rsidRPr="00064619">
        <w:rPr>
          <w:rFonts w:cs="Taher"/>
          <w:vertAlign w:val="superscript"/>
          <w:rtl/>
          <w:lang w:bidi="ar-LB"/>
        </w:rPr>
        <w:t>)</w:t>
      </w:r>
      <w:r w:rsidRPr="00A32FC0">
        <w:rPr>
          <w:rFonts w:hint="cs"/>
          <w:rtl/>
          <w:lang w:bidi="ar-LB"/>
        </w:rPr>
        <w:t xml:space="preserve">. </w:t>
      </w:r>
    </w:p>
    <w:p w:rsidR="00EA09EB" w:rsidRPr="00EA09EB" w:rsidRDefault="00EA09EB" w:rsidP="00EA09EB">
      <w:pPr>
        <w:rPr>
          <w:rtl/>
        </w:rPr>
      </w:pPr>
      <w:r w:rsidRPr="00A32FC0">
        <w:rPr>
          <w:rFonts w:hint="cs"/>
          <w:rtl/>
          <w:lang w:bidi="ar-LB"/>
        </w:rPr>
        <w:t xml:space="preserve">8ـ يطرح القرآن الكريم ثلاثة أقسام مختلفة للولاية البشرية: </w:t>
      </w:r>
      <w:r w:rsidRPr="00A32FC0">
        <w:rPr>
          <w:rFonts w:hint="cs"/>
          <w:b/>
          <w:bCs/>
          <w:rtl/>
          <w:lang w:bidi="ar-LB"/>
        </w:rPr>
        <w:t>الأول</w:t>
      </w:r>
      <w:r w:rsidRPr="00EA09EB">
        <w:rPr>
          <w:rFonts w:hint="cs"/>
          <w:rtl/>
        </w:rPr>
        <w:t>: الولاية الخاصة بالرسول الأكرم</w:t>
      </w:r>
      <w:r w:rsidRPr="00EA09EB">
        <w:rPr>
          <w:rFonts w:hint="cs"/>
          <w:rtl/>
        </w:rPr>
        <w:sym w:font="Roumouz" w:char="F02D"/>
      </w:r>
      <w:r w:rsidRPr="00EA09EB">
        <w:rPr>
          <w:rFonts w:hint="cs"/>
          <w:rtl/>
        </w:rPr>
        <w:t xml:space="preserve"> والمؤمنين الذين يؤدّون الزكاة وهم راكعون. </w:t>
      </w:r>
      <w:r w:rsidRPr="00A32FC0">
        <w:rPr>
          <w:rFonts w:hint="cs"/>
          <w:b/>
          <w:bCs/>
          <w:rtl/>
          <w:lang w:bidi="ar-LB"/>
        </w:rPr>
        <w:t>الثاني</w:t>
      </w:r>
      <w:r w:rsidRPr="00EA09EB">
        <w:rPr>
          <w:rFonts w:hint="cs"/>
          <w:rtl/>
        </w:rPr>
        <w:t xml:space="preserve">: الولاية الفقهية الخاصّة ببعض الأشخاص، من قبيل: أولياء الدم، والأولياء على الصغار، وأولياء الإرث. </w:t>
      </w:r>
      <w:r w:rsidRPr="00A32FC0">
        <w:rPr>
          <w:rFonts w:hint="cs"/>
          <w:b/>
          <w:bCs/>
          <w:rtl/>
          <w:lang w:bidi="ar-LB"/>
        </w:rPr>
        <w:t>الثالث</w:t>
      </w:r>
      <w:r w:rsidRPr="00EA09EB">
        <w:rPr>
          <w:rFonts w:hint="cs"/>
          <w:rtl/>
        </w:rPr>
        <w:t>: ولاية المؤمنين والمؤمنات العامّة.</w:t>
      </w:r>
    </w:p>
    <w:p w:rsidR="00EA09EB" w:rsidRPr="00A32FC0" w:rsidRDefault="00EA09EB" w:rsidP="00EA09EB">
      <w:pPr>
        <w:rPr>
          <w:rtl/>
          <w:lang w:bidi="ar-LB"/>
        </w:rPr>
      </w:pPr>
      <w:r w:rsidRPr="00A32FC0">
        <w:rPr>
          <w:rFonts w:hint="cs"/>
          <w:rtl/>
          <w:lang w:bidi="ar-LB"/>
        </w:rPr>
        <w:t>وتتفاوت هذه الأقسام الثلاثة من الولاية البشريّة تفاوتاً جوهريّاً.</w:t>
      </w:r>
    </w:p>
    <w:p w:rsidR="00EA09EB" w:rsidRPr="00A32FC0" w:rsidRDefault="00EA09EB" w:rsidP="00635BE2">
      <w:pPr>
        <w:pStyle w:val="Normal84"/>
        <w:rPr>
          <w:rtl/>
        </w:rPr>
      </w:pPr>
      <w:r w:rsidRPr="00EA09EB">
        <w:rPr>
          <w:rFonts w:hint="cs"/>
          <w:rtl/>
        </w:rPr>
        <w:t>9</w:t>
      </w:r>
      <w:r w:rsidRPr="00EA09EB">
        <w:rPr>
          <w:rtl/>
        </w:rPr>
        <w:t>ـ</w:t>
      </w:r>
      <w:r w:rsidRPr="00EA09EB">
        <w:rPr>
          <w:rFonts w:hint="cs"/>
          <w:rtl/>
        </w:rPr>
        <w:t xml:space="preserve"> في آيات كثيرة أكّد القرآن الكريم ولاية النبيّ محمد</w:t>
      </w:r>
      <w:r w:rsidRPr="00EA09EB">
        <w:rPr>
          <w:rFonts w:hint="cs"/>
          <w:rtl/>
        </w:rPr>
        <w:sym w:font="Roumouz" w:char="F02D"/>
      </w:r>
      <w:r w:rsidRPr="00EA09EB">
        <w:rPr>
          <w:rFonts w:hint="cs"/>
          <w:rtl/>
        </w:rPr>
        <w:t xml:space="preserve"> على المؤمنين. والمراد من الولاية النبويّة هو الولاية التشريعية التبعيّة، أي التابعة للولاية التشريعية الإلهيّة، أي الولاية على إبلاغ الوحي، وتبيين التعاليم الإلهية، ودعوة الأمّة، والقضاء في النزاعات، والزعامة السياسيّة للمسلمين</w:t>
      </w:r>
      <w:r w:rsidRPr="00064619">
        <w:rPr>
          <w:rFonts w:cs="Taher"/>
          <w:vertAlign w:val="superscript"/>
          <w:rtl/>
        </w:rPr>
        <w:t>(</w:t>
      </w:r>
      <w:r w:rsidRPr="00064619">
        <w:rPr>
          <w:rStyle w:val="FootnoteReference"/>
          <w:rFonts w:cs="Taher"/>
          <w:sz w:val="32"/>
          <w:rtl/>
        </w:rPr>
        <w:footnoteReference w:id="122"/>
      </w:r>
      <w:r w:rsidRPr="00064619">
        <w:rPr>
          <w:rFonts w:cs="Taher"/>
          <w:vertAlign w:val="superscript"/>
          <w:rtl/>
        </w:rPr>
        <w:t>)</w:t>
      </w:r>
      <w:r w:rsidRPr="00EA09EB">
        <w:rPr>
          <w:rFonts w:hint="cs"/>
          <w:rtl/>
        </w:rPr>
        <w:t>. والمقصود بالولاية النبويّة في القرآن الكريم هو ولاية التدبير والتصرُّف وولاية الحبّ والمودّة. ولم يرِدْ في القرآن شيءٌ حول ولاية النصرة للنبيّ</w:t>
      </w:r>
      <w:r w:rsidRPr="00EA09EB">
        <w:rPr>
          <w:rFonts w:hint="cs"/>
          <w:rtl/>
        </w:rPr>
        <w:sym w:font="Roumouz" w:char="F02D"/>
      </w:r>
      <w:r w:rsidRPr="00EA09EB">
        <w:rPr>
          <w:rFonts w:hint="cs"/>
          <w:rtl/>
        </w:rPr>
        <w:t>. وللنبيّ</w:t>
      </w:r>
      <w:r w:rsidRPr="00EA09EB">
        <w:rPr>
          <w:rFonts w:hint="cs"/>
          <w:rtl/>
        </w:rPr>
        <w:sym w:font="Roumouz" w:char="F02D"/>
      </w:r>
      <w:r w:rsidRPr="00EA09EB">
        <w:rPr>
          <w:rFonts w:hint="cs"/>
          <w:rtl/>
        </w:rPr>
        <w:t xml:space="preserve"> ولايةٌ على جميع شؤون الأمّة بما يَصُبُّ في هداية الناس إلى الله تعالى</w:t>
      </w:r>
      <w:r w:rsidRPr="00064619">
        <w:rPr>
          <w:rFonts w:cs="Taher"/>
          <w:vertAlign w:val="superscript"/>
          <w:rtl/>
        </w:rPr>
        <w:t>(</w:t>
      </w:r>
      <w:r w:rsidRPr="00064619">
        <w:rPr>
          <w:rStyle w:val="FootnoteReference"/>
          <w:rFonts w:cs="Taher"/>
          <w:sz w:val="32"/>
          <w:rtl/>
        </w:rPr>
        <w:footnoteReference w:id="123"/>
      </w:r>
      <w:r w:rsidRPr="00064619">
        <w:rPr>
          <w:rFonts w:cs="Taher"/>
          <w:vertAlign w:val="superscript"/>
          <w:rtl/>
        </w:rPr>
        <w:t>)</w:t>
      </w:r>
      <w:r w:rsidRPr="00A32FC0">
        <w:rPr>
          <w:rFonts w:hint="cs"/>
          <w:rtl/>
        </w:rPr>
        <w:t>.</w:t>
      </w:r>
    </w:p>
    <w:p w:rsidR="00EA09EB" w:rsidRPr="00A32FC0" w:rsidRDefault="00EA09EB" w:rsidP="00635BE2">
      <w:pPr>
        <w:pStyle w:val="Normal87"/>
        <w:rPr>
          <w:rtl/>
        </w:rPr>
      </w:pPr>
      <w:r w:rsidRPr="00A32FC0">
        <w:rPr>
          <w:rFonts w:hint="cs"/>
          <w:rtl/>
        </w:rPr>
        <w:t>والمستند القرآني الأهمّ والأبرز لولاية النبيّ</w:t>
      </w:r>
      <w:r w:rsidRPr="00A32FC0">
        <w:rPr>
          <w:rFonts w:hint="cs"/>
          <w:rtl/>
        </w:rPr>
        <w:sym w:font="Roumouz" w:char="F02D"/>
      </w:r>
      <w:r w:rsidRPr="00A32FC0">
        <w:rPr>
          <w:rFonts w:hint="cs"/>
          <w:rtl/>
        </w:rPr>
        <w:t xml:space="preserve"> قوله تعالى: ﴿</w:t>
      </w:r>
      <w:r w:rsidRPr="00A32FC0">
        <w:rPr>
          <w:b/>
          <w:bCs/>
          <w:rtl/>
        </w:rPr>
        <w:t>النَّبِيُّ أَوْلَى بِالْمُؤْمِنِينَ مِنْ أَنْفُسِهِمْ</w:t>
      </w:r>
      <w:r w:rsidRPr="00EA09EB">
        <w:rPr>
          <w:rFonts w:hint="cs"/>
          <w:rtl/>
        </w:rPr>
        <w:t>﴾(الأحزاب: 5). والمراد من الأولويّة هنا هو «الولاية»؛ وذلك لأنّ ما يقوِّم الولاية هو هذا التقدّم والأولويّة</w:t>
      </w:r>
      <w:r w:rsidRPr="00064619">
        <w:rPr>
          <w:rFonts w:cs="Taher"/>
          <w:vertAlign w:val="superscript"/>
          <w:rtl/>
        </w:rPr>
        <w:t>(</w:t>
      </w:r>
      <w:r w:rsidRPr="00064619">
        <w:rPr>
          <w:rStyle w:val="FootnoteReference"/>
          <w:rFonts w:cs="Taher"/>
          <w:sz w:val="32"/>
          <w:rtl/>
        </w:rPr>
        <w:footnoteReference w:id="124"/>
      </w:r>
      <w:r w:rsidRPr="00064619">
        <w:rPr>
          <w:rFonts w:cs="Taher"/>
          <w:vertAlign w:val="superscript"/>
          <w:rtl/>
        </w:rPr>
        <w:t>)</w:t>
      </w:r>
      <w:r w:rsidRPr="00EA09EB">
        <w:rPr>
          <w:rFonts w:hint="cs"/>
          <w:rtl/>
        </w:rPr>
        <w:t>. إنّ هذه الولاية والأولوية مطلقة، فتشمل جميع الأمور الشخصيّة والاجتماعيّة، الدنيوية والأخروية، التكوينية والاعتباريّة. وبعبارة أخرى: إن الولاية المطلقة لرسول الله</w:t>
      </w:r>
      <w:r w:rsidRPr="00EA09EB">
        <w:rPr>
          <w:rFonts w:hint="cs"/>
          <w:rtl/>
        </w:rPr>
        <w:sym w:font="Roumouz" w:char="F02D"/>
      </w:r>
      <w:r w:rsidRPr="00EA09EB">
        <w:rPr>
          <w:rFonts w:hint="cs"/>
          <w:rtl/>
        </w:rPr>
        <w:t xml:space="preserve"> هي مفاد هذه الآية الشريفة</w:t>
      </w:r>
      <w:r w:rsidRPr="00064619">
        <w:rPr>
          <w:rFonts w:cs="Taher"/>
          <w:vertAlign w:val="superscript"/>
          <w:rtl/>
        </w:rPr>
        <w:t>(</w:t>
      </w:r>
      <w:r w:rsidRPr="00064619">
        <w:rPr>
          <w:rStyle w:val="FootnoteReference"/>
          <w:rFonts w:cs="Taher"/>
          <w:sz w:val="32"/>
          <w:rtl/>
        </w:rPr>
        <w:footnoteReference w:id="125"/>
      </w:r>
      <w:r w:rsidRPr="00064619">
        <w:rPr>
          <w:rFonts w:cs="Taher"/>
          <w:vertAlign w:val="superscript"/>
          <w:rtl/>
        </w:rPr>
        <w:t>)</w:t>
      </w:r>
      <w:r w:rsidRPr="00EA09EB">
        <w:rPr>
          <w:rFonts w:hint="cs"/>
          <w:rtl/>
        </w:rPr>
        <w:t>. وهذه الولاية بخصائصها المذكورة تختصّ بالرسول الأكرم</w:t>
      </w:r>
      <w:r w:rsidRPr="00EA09EB">
        <w:rPr>
          <w:rFonts w:hint="cs"/>
          <w:rtl/>
        </w:rPr>
        <w:sym w:font="Roumouz" w:char="F02D"/>
      </w:r>
      <w:r w:rsidRPr="00EA09EB">
        <w:rPr>
          <w:rFonts w:hint="cs"/>
          <w:rtl/>
        </w:rPr>
        <w:t>. ومن الواضح أنّ الأولوية التي نبحثها في آية الولاية هي غير النبوة</w:t>
      </w:r>
      <w:r w:rsidRPr="00064619">
        <w:rPr>
          <w:rFonts w:cs="Taher"/>
          <w:vertAlign w:val="superscript"/>
          <w:rtl/>
        </w:rPr>
        <w:t>(</w:t>
      </w:r>
      <w:r w:rsidRPr="00064619">
        <w:rPr>
          <w:rStyle w:val="FootnoteReference"/>
          <w:rFonts w:cs="Taher"/>
          <w:sz w:val="32"/>
          <w:rtl/>
        </w:rPr>
        <w:footnoteReference w:id="126"/>
      </w:r>
      <w:r w:rsidRPr="00064619">
        <w:rPr>
          <w:rFonts w:cs="Taher"/>
          <w:vertAlign w:val="superscript"/>
          <w:rtl/>
        </w:rPr>
        <w:t>)</w:t>
      </w:r>
      <w:r w:rsidRPr="00A32FC0">
        <w:rPr>
          <w:rFonts w:hint="cs"/>
          <w:rtl/>
        </w:rPr>
        <w:t>؛ وذلك لأنّه لا دليل لدينا على حيازة الأنبياء السابقين على مثل هذه الولاية. بالإضافة إلى أنّ هذه الولاية أشمل وأوسع بكثير من الزعامة السياسية. والولاية النبويّة نابعة عن مجموعة الصفات والفضائل الأخلاقية التي تتمتع بها شخصيّة النبيّ</w:t>
      </w:r>
      <w:r w:rsidRPr="00A32FC0">
        <w:rPr>
          <w:rFonts w:hint="cs"/>
          <w:rtl/>
        </w:rPr>
        <w:sym w:font="Roumouz" w:char="F02D"/>
      </w:r>
      <w:r w:rsidRPr="00A32FC0">
        <w:rPr>
          <w:rFonts w:hint="cs"/>
          <w:rtl/>
        </w:rPr>
        <w:t>. والقول بأنها ناشئة عن مناصبه</w:t>
      </w:r>
      <w:r w:rsidRPr="00A32FC0">
        <w:rPr>
          <w:rFonts w:hint="cs"/>
          <w:rtl/>
        </w:rPr>
        <w:sym w:font="Roumouz" w:char="F02D"/>
      </w:r>
      <w:r w:rsidRPr="00A32FC0">
        <w:rPr>
          <w:rFonts w:hint="cs"/>
          <w:rtl/>
        </w:rPr>
        <w:t>، من قبيل: الإمارة والزعامة، قولٌ دون دليل، وتخصيصٌ دون قرينة.</w:t>
      </w:r>
    </w:p>
    <w:p w:rsidR="00EA09EB" w:rsidRPr="00A32FC0" w:rsidRDefault="00EA09EB" w:rsidP="00635BE2">
      <w:pPr>
        <w:pStyle w:val="Normal84"/>
        <w:rPr>
          <w:rtl/>
        </w:rPr>
      </w:pPr>
      <w:r w:rsidRPr="00A32FC0">
        <w:rPr>
          <w:rFonts w:hint="cs"/>
          <w:rtl/>
        </w:rPr>
        <w:t>والمستند القرآني الثاني للولاية النبوية هو قوله تعالى: ﴿</w:t>
      </w:r>
      <w:r>
        <w:rPr>
          <w:b/>
          <w:bCs/>
          <w:rtl/>
        </w:rPr>
        <w:t>إِنَّمَا وَلِيُّكُمْ الل</w:t>
      </w:r>
      <w:r w:rsidRPr="00A32FC0">
        <w:rPr>
          <w:b/>
          <w:bCs/>
          <w:rtl/>
        </w:rPr>
        <w:t>هُ وَرَسُولُهُ وَالَّذِينَ آمَنُوا</w:t>
      </w:r>
      <w:r w:rsidRPr="00A32FC0">
        <w:rPr>
          <w:rFonts w:hint="cs"/>
          <w:b/>
          <w:bCs/>
          <w:rtl/>
        </w:rPr>
        <w:t>...</w:t>
      </w:r>
      <w:r w:rsidRPr="00A32FC0">
        <w:rPr>
          <w:rFonts w:hint="cs"/>
          <w:rtl/>
        </w:rPr>
        <w:t>﴾</w:t>
      </w:r>
      <w:r>
        <w:rPr>
          <w:rFonts w:hint="cs"/>
          <w:rtl/>
        </w:rPr>
        <w:t>(</w:t>
      </w:r>
      <w:r w:rsidRPr="00A32FC0">
        <w:rPr>
          <w:rFonts w:hint="cs"/>
          <w:rtl/>
        </w:rPr>
        <w:t>المائدة: 55)، الذي سوف نتعرَّض له في موضع آخر بشكل توضيحيّ. وقد طُرِحَتْ أبعاد مختلفة للولاية النبويّة في آيات أخرى من القرآن الكريم، من دون استعمال لفظ الولاية ومشتقّاتها. ومن جملة الأدلة القرآنية على مسألة إبلاغ الوحي، وتبيين التعاليم الإلهية، ودعوة الأمّة من قبل الرسول</w:t>
      </w:r>
      <w:r w:rsidRPr="00A32FC0">
        <w:rPr>
          <w:rFonts w:hint="cs"/>
          <w:rtl/>
        </w:rPr>
        <w:sym w:font="Roumouz" w:char="F02D"/>
      </w:r>
      <w:r w:rsidRPr="00A32FC0">
        <w:rPr>
          <w:rFonts w:hint="cs"/>
          <w:rtl/>
        </w:rPr>
        <w:t>، الآيات التالية:</w:t>
      </w:r>
    </w:p>
    <w:p w:rsidR="00EA09EB" w:rsidRPr="00A32FC0" w:rsidRDefault="00EA09EB" w:rsidP="00EA09EB">
      <w:pPr>
        <w:rPr>
          <w:rtl/>
          <w:lang w:bidi="ar-LB"/>
        </w:rPr>
      </w:pPr>
      <w:r w:rsidRPr="00A32FC0">
        <w:rPr>
          <w:rFonts w:hint="cs"/>
          <w:rtl/>
          <w:lang w:bidi="ar-LB"/>
        </w:rPr>
        <w:t>أـ ﴿</w:t>
      </w:r>
      <w:r>
        <w:rPr>
          <w:b/>
          <w:bCs/>
          <w:rtl/>
        </w:rPr>
        <w:t>مَنَّ الل</w:t>
      </w:r>
      <w:r w:rsidRPr="00A32FC0">
        <w:rPr>
          <w:b/>
          <w:bCs/>
          <w:rtl/>
        </w:rPr>
        <w:t>هُ عَلَى الْمُؤْمِنِينَ إِذْ بَعَثَ فِيهِمْ رَسُولاً مِنْ أَنْفُسِهِمْ يَتْلُوا عَلَيْهِمْ آيَاتِهِ وَيُزَكِّيهِمْ وَيُعَلِّمُهُمْ الْكِتَابَ وَالْحِكْمَةَ</w:t>
      </w:r>
      <w:r w:rsidRPr="00A32FC0">
        <w:rPr>
          <w:rFonts w:hint="cs"/>
          <w:rtl/>
        </w:rPr>
        <w:t>﴾</w:t>
      </w:r>
      <w:r>
        <w:rPr>
          <w:rFonts w:hint="cs"/>
          <w:rtl/>
        </w:rPr>
        <w:t>(</w:t>
      </w:r>
      <w:r w:rsidRPr="00A32FC0">
        <w:rPr>
          <w:rFonts w:hint="cs"/>
          <w:rtl/>
        </w:rPr>
        <w:t>آل عمران: 164</w:t>
      </w:r>
      <w:r w:rsidRPr="00A32FC0">
        <w:rPr>
          <w:rFonts w:hint="cs"/>
          <w:rtl/>
          <w:lang w:bidi="ar-LB"/>
        </w:rPr>
        <w:t>).</w:t>
      </w:r>
    </w:p>
    <w:p w:rsidR="00EA09EB" w:rsidRPr="00A32FC0" w:rsidRDefault="00EA09EB" w:rsidP="00EA09EB">
      <w:pPr>
        <w:rPr>
          <w:rtl/>
          <w:lang w:bidi="ar-LB"/>
        </w:rPr>
      </w:pPr>
      <w:r w:rsidRPr="00A32FC0">
        <w:rPr>
          <w:rFonts w:hint="cs"/>
          <w:rtl/>
          <w:lang w:bidi="ar-LB"/>
        </w:rPr>
        <w:t>ب ـ ﴿</w:t>
      </w:r>
      <w:r w:rsidRPr="00A32FC0">
        <w:rPr>
          <w:b/>
          <w:bCs/>
          <w:rtl/>
        </w:rPr>
        <w:t>لِتُبَيِّنَ لِلنَّاسِ مَا نُزِّلَ إِلَيْهِمْ</w:t>
      </w:r>
      <w:r w:rsidRPr="00A32FC0">
        <w:rPr>
          <w:rFonts w:hint="cs"/>
          <w:rtl/>
        </w:rPr>
        <w:t>﴾</w:t>
      </w:r>
      <w:r>
        <w:rPr>
          <w:rFonts w:hint="cs"/>
          <w:rtl/>
        </w:rPr>
        <w:t>(</w:t>
      </w:r>
      <w:r w:rsidRPr="00A32FC0">
        <w:rPr>
          <w:rFonts w:hint="cs"/>
          <w:rtl/>
        </w:rPr>
        <w:t>النحل: 44</w:t>
      </w:r>
      <w:r w:rsidRPr="00A32FC0">
        <w:rPr>
          <w:rFonts w:hint="cs"/>
          <w:rtl/>
          <w:lang w:bidi="ar-LB"/>
        </w:rPr>
        <w:t>).</w:t>
      </w:r>
    </w:p>
    <w:p w:rsidR="00EA09EB" w:rsidRPr="00EA09EB" w:rsidRDefault="00EA09EB" w:rsidP="00EA09EB">
      <w:pPr>
        <w:rPr>
          <w:rtl/>
        </w:rPr>
      </w:pPr>
      <w:r w:rsidRPr="00A32FC0">
        <w:rPr>
          <w:rFonts w:hint="cs"/>
          <w:rtl/>
          <w:lang w:bidi="ar-LB"/>
        </w:rPr>
        <w:t>ج ـ ﴿</w:t>
      </w:r>
      <w:r w:rsidRPr="00A32FC0">
        <w:rPr>
          <w:b/>
          <w:bCs/>
          <w:rtl/>
        </w:rPr>
        <w:t>وَإِنَّكَ لَتَهْدِي إِلَى صِرَاطٍ مُسْتَقِيمٍ</w:t>
      </w:r>
      <w:r w:rsidRPr="00EA09EB">
        <w:rPr>
          <w:rFonts w:hint="cs"/>
          <w:rtl/>
        </w:rPr>
        <w:t>﴾(الشورى: 53).</w:t>
      </w:r>
    </w:p>
    <w:p w:rsidR="00EA09EB" w:rsidRPr="00A32FC0" w:rsidRDefault="00EA09EB" w:rsidP="00EA09EB">
      <w:pPr>
        <w:rPr>
          <w:rtl/>
          <w:lang w:bidi="ar-LB"/>
        </w:rPr>
      </w:pPr>
      <w:r w:rsidRPr="00A32FC0">
        <w:rPr>
          <w:rFonts w:hint="cs"/>
          <w:rtl/>
          <w:lang w:bidi="ar-LB"/>
        </w:rPr>
        <w:t>ومن الأدلة القرآنية على تولّي الرسول</w:t>
      </w:r>
      <w:r w:rsidRPr="00A32FC0">
        <w:rPr>
          <w:rFonts w:hint="cs"/>
          <w:rtl/>
        </w:rPr>
        <w:sym w:font="Roumouz" w:char="F02D"/>
      </w:r>
      <w:r w:rsidRPr="00A32FC0">
        <w:rPr>
          <w:rFonts w:hint="cs"/>
          <w:rtl/>
          <w:lang w:bidi="ar-LB"/>
        </w:rPr>
        <w:t xml:space="preserve"> القضاء والحكومة الآيات التالية:</w:t>
      </w:r>
    </w:p>
    <w:p w:rsidR="00EA09EB" w:rsidRPr="00A32FC0" w:rsidRDefault="00EA09EB" w:rsidP="00EA09EB">
      <w:pPr>
        <w:rPr>
          <w:rtl/>
          <w:lang w:bidi="ar-LB"/>
        </w:rPr>
      </w:pPr>
      <w:r w:rsidRPr="00EA09EB">
        <w:rPr>
          <w:rFonts w:hint="cs"/>
          <w:rtl/>
        </w:rPr>
        <w:t>أـ ﴿</w:t>
      </w:r>
      <w:r w:rsidRPr="00A32FC0">
        <w:rPr>
          <w:b/>
          <w:bCs/>
          <w:rtl/>
        </w:rPr>
        <w:t>وَمَا كَانَ لِمُؤْمِنٍ وَ</w:t>
      </w:r>
      <w:r>
        <w:rPr>
          <w:b/>
          <w:bCs/>
          <w:rtl/>
        </w:rPr>
        <w:t>لاَ مُؤْمِنَةٍ إِذَا قَضَى الل</w:t>
      </w:r>
      <w:r w:rsidRPr="00A32FC0">
        <w:rPr>
          <w:b/>
          <w:bCs/>
          <w:rtl/>
        </w:rPr>
        <w:t>هُ وَرَسُولُهُ أَمْراً أَنْ يَكُونَ لَهُمْ الْخِيَرَةُ مِن</w:t>
      </w:r>
      <w:r>
        <w:rPr>
          <w:b/>
          <w:bCs/>
          <w:rtl/>
        </w:rPr>
        <w:t>ْ أَمْرِهِمْ وَمَنْ يَعْصِ الل</w:t>
      </w:r>
      <w:r w:rsidRPr="00A32FC0">
        <w:rPr>
          <w:b/>
          <w:bCs/>
          <w:rtl/>
        </w:rPr>
        <w:t>هَ وَرَسُولَهُ فَقَدْ ضَلَّ ضَلاَلاً مُبِيناً</w:t>
      </w:r>
      <w:r w:rsidRPr="00A32FC0">
        <w:rPr>
          <w:rFonts w:hint="cs"/>
          <w:rtl/>
        </w:rPr>
        <w:t>﴾</w:t>
      </w:r>
      <w:r>
        <w:rPr>
          <w:rFonts w:hint="cs"/>
          <w:rtl/>
        </w:rPr>
        <w:t>(</w:t>
      </w:r>
      <w:r w:rsidRPr="00A32FC0">
        <w:rPr>
          <w:rFonts w:hint="cs"/>
          <w:rtl/>
        </w:rPr>
        <w:t>الأحزاب: 36</w:t>
      </w:r>
      <w:r w:rsidRPr="00A32FC0">
        <w:rPr>
          <w:rFonts w:hint="cs"/>
          <w:rtl/>
          <w:lang w:bidi="ar-LB"/>
        </w:rPr>
        <w:t>).</w:t>
      </w:r>
    </w:p>
    <w:p w:rsidR="00EA09EB" w:rsidRPr="00A32FC0" w:rsidRDefault="00EA09EB" w:rsidP="00EA09EB">
      <w:pPr>
        <w:rPr>
          <w:rtl/>
          <w:lang w:bidi="ar-LB"/>
        </w:rPr>
      </w:pPr>
      <w:r w:rsidRPr="00A32FC0">
        <w:rPr>
          <w:rFonts w:hint="cs"/>
          <w:rtl/>
          <w:lang w:bidi="ar-LB"/>
        </w:rPr>
        <w:t>ب ـ ﴿</w:t>
      </w:r>
      <w:r w:rsidRPr="00A32FC0">
        <w:rPr>
          <w:b/>
          <w:bCs/>
          <w:rtl/>
        </w:rPr>
        <w:t>فَلاَ وَرَبِّكَ لاَ يُؤْمِنُونَ حَتَّى يُحَكِّمُوكَ فِيمَا شَجَرَ بَيْنَهُمْ ثُمَّ لاَ يَجِدُوا فِي أَنفُسِهِمْ حَرَجاً مِمَّا قَضَيْتَ وَيُسَلِّمُوا تَسْلِيماً</w:t>
      </w:r>
      <w:r w:rsidRPr="00A32FC0">
        <w:rPr>
          <w:rFonts w:hint="cs"/>
          <w:rtl/>
        </w:rPr>
        <w:t>﴾</w:t>
      </w:r>
      <w:r>
        <w:rPr>
          <w:rFonts w:hint="cs"/>
          <w:rtl/>
        </w:rPr>
        <w:t>(</w:t>
      </w:r>
      <w:r w:rsidRPr="00A32FC0">
        <w:rPr>
          <w:rFonts w:hint="cs"/>
          <w:rtl/>
        </w:rPr>
        <w:t>النساء: 65</w:t>
      </w:r>
      <w:r w:rsidRPr="00A32FC0">
        <w:rPr>
          <w:rFonts w:hint="cs"/>
          <w:rtl/>
          <w:lang w:bidi="ar-LB"/>
        </w:rPr>
        <w:t>).</w:t>
      </w:r>
    </w:p>
    <w:p w:rsidR="00EA09EB" w:rsidRPr="00A32FC0" w:rsidRDefault="00EA09EB" w:rsidP="00EA09EB">
      <w:pPr>
        <w:rPr>
          <w:rtl/>
          <w:lang w:bidi="ar-LB"/>
        </w:rPr>
      </w:pPr>
      <w:r w:rsidRPr="00A32FC0">
        <w:rPr>
          <w:rFonts w:hint="cs"/>
          <w:rtl/>
          <w:lang w:bidi="ar-LB"/>
        </w:rPr>
        <w:t>ج ـ ﴿</w:t>
      </w:r>
      <w:r w:rsidRPr="00A32FC0">
        <w:rPr>
          <w:b/>
          <w:bCs/>
          <w:rtl/>
        </w:rPr>
        <w:t>إِنَّا أَنزَلْنَا إِلَيْكَ الْكِتَابَ بِالْحَقِّ لِتَحْكُمَ بَي</w:t>
      </w:r>
      <w:r>
        <w:rPr>
          <w:b/>
          <w:bCs/>
          <w:rtl/>
        </w:rPr>
        <w:t>ْنَ النَّاسِ بِمَا أَرَاكَ الل</w:t>
      </w:r>
      <w:r w:rsidRPr="00A32FC0">
        <w:rPr>
          <w:b/>
          <w:bCs/>
          <w:rtl/>
        </w:rPr>
        <w:t>هُ</w:t>
      </w:r>
      <w:r w:rsidRPr="00A32FC0">
        <w:rPr>
          <w:rFonts w:hint="cs"/>
          <w:rtl/>
        </w:rPr>
        <w:t>﴾</w:t>
      </w:r>
      <w:r>
        <w:rPr>
          <w:rFonts w:hint="cs"/>
          <w:rtl/>
        </w:rPr>
        <w:t>(</w:t>
      </w:r>
      <w:r w:rsidRPr="00A32FC0">
        <w:rPr>
          <w:rFonts w:hint="cs"/>
          <w:rtl/>
        </w:rPr>
        <w:t>النساء: 106</w:t>
      </w:r>
      <w:r w:rsidRPr="00A32FC0">
        <w:rPr>
          <w:rFonts w:hint="cs"/>
          <w:rtl/>
          <w:lang w:bidi="ar-LB"/>
        </w:rPr>
        <w:t>).</w:t>
      </w:r>
    </w:p>
    <w:p w:rsidR="00EA09EB" w:rsidRPr="00A32FC0" w:rsidRDefault="00EA09EB" w:rsidP="00EA09EB">
      <w:pPr>
        <w:rPr>
          <w:rtl/>
          <w:lang w:bidi="ar-LB"/>
        </w:rPr>
      </w:pPr>
      <w:r w:rsidRPr="00A32FC0">
        <w:rPr>
          <w:rFonts w:hint="cs"/>
          <w:rtl/>
          <w:lang w:bidi="ar-LB"/>
        </w:rPr>
        <w:t>دـ ﴿</w:t>
      </w:r>
      <w:r w:rsidRPr="00A32FC0">
        <w:rPr>
          <w:b/>
          <w:bCs/>
          <w:rtl/>
        </w:rPr>
        <w:t>إِنَّمَا الْمُؤْم</w:t>
      </w:r>
      <w:r>
        <w:rPr>
          <w:b/>
          <w:bCs/>
          <w:rtl/>
        </w:rPr>
        <w:t>ِنُونَ الَّذِينَ آمَنُوا بِالل</w:t>
      </w:r>
      <w:r w:rsidRPr="00A32FC0">
        <w:rPr>
          <w:b/>
          <w:bCs/>
          <w:rtl/>
        </w:rPr>
        <w:t>هِ وَرَسُولِهِ وَإِذَا كَانُوا مَعَهُ عَلَى أَمْرٍ جَامِعٍ لَمْ يَذْهَبُوا حَتَّى يَسْتَأْذِنُوه</w:t>
      </w:r>
      <w:r w:rsidRPr="00A32FC0">
        <w:rPr>
          <w:rtl/>
        </w:rPr>
        <w:t>ُ</w:t>
      </w:r>
      <w:r w:rsidRPr="00A32FC0">
        <w:rPr>
          <w:rFonts w:hint="cs"/>
          <w:rtl/>
        </w:rPr>
        <w:t>﴾</w:t>
      </w:r>
      <w:r>
        <w:rPr>
          <w:rFonts w:hint="cs"/>
          <w:rtl/>
        </w:rPr>
        <w:t>(</w:t>
      </w:r>
      <w:r w:rsidRPr="00A32FC0">
        <w:rPr>
          <w:rFonts w:hint="cs"/>
          <w:rtl/>
        </w:rPr>
        <w:t>النور: 62</w:t>
      </w:r>
      <w:r w:rsidRPr="00A32FC0">
        <w:rPr>
          <w:rFonts w:hint="cs"/>
          <w:rtl/>
          <w:lang w:bidi="ar-LB"/>
        </w:rPr>
        <w:t>).</w:t>
      </w:r>
    </w:p>
    <w:p w:rsidR="00EA09EB" w:rsidRPr="00A32FC0" w:rsidRDefault="00EA09EB" w:rsidP="00EA09EB">
      <w:pPr>
        <w:rPr>
          <w:rtl/>
          <w:lang w:bidi="ar-LB"/>
        </w:rPr>
      </w:pPr>
      <w:r w:rsidRPr="00A32FC0">
        <w:rPr>
          <w:rFonts w:hint="cs"/>
          <w:rtl/>
          <w:lang w:bidi="ar-LB"/>
        </w:rPr>
        <w:t>هـ ـ ﴿</w:t>
      </w:r>
      <w:r w:rsidRPr="00A32FC0">
        <w:rPr>
          <w:b/>
          <w:bCs/>
          <w:rtl/>
        </w:rPr>
        <w:t>لاَ تَجْعَلُوا دُعَاءَ الرَّسُولِ بَيْنَكُمْ كَدُعَاءِ بَعْضِكُمْ بَعْضاً قَدْ يَعْلَمُ ال</w:t>
      </w:r>
      <w:r>
        <w:rPr>
          <w:b/>
          <w:bCs/>
          <w:rtl/>
        </w:rPr>
        <w:t>ل</w:t>
      </w:r>
      <w:r w:rsidRPr="00A32FC0">
        <w:rPr>
          <w:b/>
          <w:bCs/>
          <w:rtl/>
        </w:rPr>
        <w:t>هُ الَّذِينَ يَتَسَلَّلُونَ مِنْكُمْ لِوَاذاً فَلْيَحْذَرْ الَّذِينَ يُخَالِفُونَ عَنْ أَمْرِهِ أَنْ تُصِيبَهُمْ فِتْنَةٌ أَوْ يُصِيبَهُمْ عَذَابٌ أَلِيمٌ</w:t>
      </w:r>
      <w:r w:rsidRPr="00A32FC0">
        <w:rPr>
          <w:rFonts w:hint="cs"/>
          <w:rtl/>
        </w:rPr>
        <w:t>﴾</w:t>
      </w:r>
      <w:r>
        <w:rPr>
          <w:rFonts w:hint="cs"/>
          <w:rtl/>
        </w:rPr>
        <w:t>(</w:t>
      </w:r>
      <w:r w:rsidRPr="00A32FC0">
        <w:rPr>
          <w:rFonts w:hint="cs"/>
          <w:rtl/>
        </w:rPr>
        <w:t>النور: 63</w:t>
      </w:r>
      <w:r w:rsidRPr="00A32FC0">
        <w:rPr>
          <w:rFonts w:hint="cs"/>
          <w:rtl/>
          <w:lang w:bidi="ar-LB"/>
        </w:rPr>
        <w:t>).</w:t>
      </w:r>
    </w:p>
    <w:p w:rsidR="00EA09EB" w:rsidRPr="00A32FC0" w:rsidRDefault="00EA09EB" w:rsidP="00EA09EB">
      <w:pPr>
        <w:rPr>
          <w:rtl/>
          <w:lang w:bidi="ar-LB"/>
        </w:rPr>
      </w:pPr>
      <w:r w:rsidRPr="00A32FC0">
        <w:rPr>
          <w:rFonts w:hint="cs"/>
          <w:rtl/>
          <w:lang w:bidi="ar-LB"/>
        </w:rPr>
        <w:t>وـ ﴿</w:t>
      </w:r>
      <w:r w:rsidRPr="00A32FC0">
        <w:rPr>
          <w:b/>
          <w:bCs/>
          <w:rtl/>
        </w:rPr>
        <w:t>يَا أَيُّهَا ا</w:t>
      </w:r>
      <w:r>
        <w:rPr>
          <w:b/>
          <w:bCs/>
          <w:rtl/>
        </w:rPr>
        <w:t>لَّذِينَ آمَنُوا أَطِيعُوا الل</w:t>
      </w:r>
      <w:r w:rsidRPr="00A32FC0">
        <w:rPr>
          <w:b/>
          <w:bCs/>
          <w:rtl/>
        </w:rPr>
        <w:t>هَ وَأَطِيعُوا الرَّسُولَ وَأُوْلِي الأَمْرِ مِنْكُمْ فَإِنْ تَنَازَعْتُمْ ف</w:t>
      </w:r>
      <w:r>
        <w:rPr>
          <w:b/>
          <w:bCs/>
          <w:rtl/>
        </w:rPr>
        <w:t>ِي شَيْءٍ فَرُدُّوهُ إِلَى الل</w:t>
      </w:r>
      <w:r w:rsidRPr="00A32FC0">
        <w:rPr>
          <w:b/>
          <w:bCs/>
          <w:rtl/>
        </w:rPr>
        <w:t xml:space="preserve">هِ وَالرَّسُولِ </w:t>
      </w:r>
      <w:r>
        <w:rPr>
          <w:b/>
          <w:bCs/>
          <w:rtl/>
        </w:rPr>
        <w:t>إِنْ كُنتُمْ تُؤْمِنُونَ بِالل</w:t>
      </w:r>
      <w:r w:rsidRPr="00A32FC0">
        <w:rPr>
          <w:b/>
          <w:bCs/>
          <w:rtl/>
        </w:rPr>
        <w:t>هِ وَالْيَوْمِ الآخِرِ</w:t>
      </w:r>
      <w:r w:rsidRPr="00A32FC0">
        <w:rPr>
          <w:rFonts w:hint="cs"/>
          <w:rtl/>
        </w:rPr>
        <w:t>﴾</w:t>
      </w:r>
      <w:r>
        <w:rPr>
          <w:rFonts w:hint="cs"/>
          <w:rtl/>
        </w:rPr>
        <w:t>(</w:t>
      </w:r>
      <w:r w:rsidRPr="00A32FC0">
        <w:rPr>
          <w:rFonts w:hint="cs"/>
          <w:rtl/>
        </w:rPr>
        <w:t>النساء: 59</w:t>
      </w:r>
      <w:r w:rsidRPr="00A32FC0">
        <w:rPr>
          <w:rFonts w:hint="cs"/>
          <w:rtl/>
          <w:lang w:bidi="ar-LB"/>
        </w:rPr>
        <w:t>).</w:t>
      </w:r>
    </w:p>
    <w:p w:rsidR="00EA09EB" w:rsidRPr="00A32FC0" w:rsidRDefault="00EA09EB" w:rsidP="00635BE2">
      <w:pPr>
        <w:rPr>
          <w:rtl/>
        </w:rPr>
      </w:pPr>
      <w:r w:rsidRPr="00A32FC0">
        <w:rPr>
          <w:rFonts w:hint="cs"/>
          <w:rtl/>
        </w:rPr>
        <w:t>10</w:t>
      </w:r>
      <w:r w:rsidRPr="00A32FC0">
        <w:rPr>
          <w:rtl/>
        </w:rPr>
        <w:t>ـ</w:t>
      </w:r>
      <w:r w:rsidRPr="00A32FC0">
        <w:rPr>
          <w:rFonts w:hint="cs"/>
          <w:rtl/>
        </w:rPr>
        <w:t xml:space="preserve"> لم ترِدْ في القرآن الكريم كلمة «الولاية» أو أحد مشتقّاتها بحقّ أحدٍ من الأنبياء الآخرين. ويتحدَّث القرآن الكريم عن وصول خليل الله إبراهيم</w:t>
      </w:r>
      <w:r>
        <w:rPr>
          <w:rFonts w:hint="cs"/>
          <w:rtl/>
        </w:rPr>
        <w:t>×</w:t>
      </w:r>
      <w:r w:rsidRPr="00A32FC0">
        <w:rPr>
          <w:rFonts w:hint="cs"/>
          <w:rtl/>
        </w:rPr>
        <w:t xml:space="preserve"> إلى مقام الإمامة على أثر الابتلاءات العظيمة التي تعرَّض لها: ﴿</w:t>
      </w:r>
      <w:r w:rsidRPr="00A32FC0">
        <w:rPr>
          <w:b/>
          <w:bCs/>
          <w:rtl/>
        </w:rPr>
        <w:t>وَإِذْ ابْتَلَى إِبْرَاهِيمَ رَبُّهُ بِكَلِمَاتٍ فَأَتَمَّهُنَّ قَالَ إِنِّي جَاعِلُكَ لِلنَّاسِ إِمَاماً قَالَ وَمِنْ ذُرِّيَّتِي قَالَ لاَ يَنَالُ عَهْدِي الظَّالِمِينَ</w:t>
      </w:r>
      <w:r w:rsidRPr="00EA09EB">
        <w:rPr>
          <w:rFonts w:hint="cs"/>
          <w:rtl/>
        </w:rPr>
        <w:t>﴾(البقرة: 134). وإن باطن هذه الإمامة ليس إلاّ الولاية، وهي أشرف وأرقى من الزعامة السياسيّة والإمارة الدنيويّة</w:t>
      </w:r>
      <w:r w:rsidRPr="00064619">
        <w:rPr>
          <w:rFonts w:cs="Taher"/>
          <w:vertAlign w:val="superscript"/>
          <w:rtl/>
        </w:rPr>
        <w:t>(</w:t>
      </w:r>
      <w:r w:rsidRPr="00064619">
        <w:rPr>
          <w:rStyle w:val="FootnoteReference"/>
          <w:rFonts w:cs="Taher"/>
          <w:sz w:val="32"/>
          <w:rtl/>
          <w:lang w:bidi="ar-LB"/>
        </w:rPr>
        <w:footnoteReference w:id="127"/>
      </w:r>
      <w:r w:rsidRPr="00064619">
        <w:rPr>
          <w:rFonts w:cs="Taher"/>
          <w:vertAlign w:val="superscript"/>
          <w:rtl/>
        </w:rPr>
        <w:t>)</w:t>
      </w:r>
      <w:r w:rsidRPr="00EA09EB">
        <w:rPr>
          <w:rFonts w:hint="cs"/>
          <w:rtl/>
        </w:rPr>
        <w:t>. وقد أجمع مفسِّرو الشيعة على ضرورة العصمة لإحراز هذه الإمامة الواردة في الآية؛ بدليل قوله تعالى في ذيل الآية: ﴿</w:t>
      </w:r>
      <w:r w:rsidRPr="00A32FC0">
        <w:rPr>
          <w:b/>
          <w:bCs/>
          <w:rtl/>
        </w:rPr>
        <w:t>لاَ يَنَالُ عَهْدِي الظَّالِمِينَ</w:t>
      </w:r>
      <w:r w:rsidRPr="00EA09EB">
        <w:rPr>
          <w:rFonts w:hint="cs"/>
          <w:rtl/>
        </w:rPr>
        <w:t>﴾</w:t>
      </w:r>
      <w:r w:rsidRPr="00064619">
        <w:rPr>
          <w:rFonts w:cs="Taher"/>
          <w:vertAlign w:val="superscript"/>
          <w:rtl/>
        </w:rPr>
        <w:t>(</w:t>
      </w:r>
      <w:r w:rsidRPr="00064619">
        <w:rPr>
          <w:rStyle w:val="FootnoteReference"/>
          <w:rFonts w:cs="Taher"/>
          <w:sz w:val="32"/>
          <w:rtl/>
          <w:lang w:bidi="ar-LB"/>
        </w:rPr>
        <w:footnoteReference w:id="128"/>
      </w:r>
      <w:r w:rsidRPr="00064619">
        <w:rPr>
          <w:rFonts w:cs="Taher"/>
          <w:vertAlign w:val="superscript"/>
          <w:rtl/>
        </w:rPr>
        <w:t>)</w:t>
      </w:r>
      <w:r w:rsidRPr="00A32FC0">
        <w:rPr>
          <w:rFonts w:hint="cs"/>
          <w:rtl/>
        </w:rPr>
        <w:t>.</w:t>
      </w:r>
    </w:p>
    <w:p w:rsidR="00EA09EB" w:rsidRPr="00A32FC0" w:rsidRDefault="00EA09EB" w:rsidP="00EA09EB">
      <w:pPr>
        <w:rPr>
          <w:rtl/>
          <w:lang w:bidi="ar-LB"/>
        </w:rPr>
      </w:pPr>
      <w:r w:rsidRPr="00A32FC0">
        <w:rPr>
          <w:rFonts w:hint="cs"/>
          <w:rtl/>
          <w:lang w:bidi="ar-LB"/>
        </w:rPr>
        <w:t>وقد تحدث القرآن أيضاً عن منصب الخلافة لداوود</w:t>
      </w:r>
      <w:r>
        <w:rPr>
          <w:rFonts w:hint="cs"/>
          <w:rtl/>
        </w:rPr>
        <w:t>×</w:t>
      </w:r>
      <w:r w:rsidRPr="00A32FC0">
        <w:rPr>
          <w:rFonts w:hint="cs"/>
          <w:rtl/>
          <w:lang w:bidi="ar-LB"/>
        </w:rPr>
        <w:t>: ﴿</w:t>
      </w:r>
      <w:r w:rsidRPr="00A32FC0">
        <w:rPr>
          <w:b/>
          <w:bCs/>
          <w:rtl/>
        </w:rPr>
        <w:t>يَا دَاوُودُ إِنَّا جَعَلْنَاكَ خَلِيفَةً فِي الأَرْضِ فَاحْكُمْ بَيْنَ النَّاسِ بِالْحَقِّ</w:t>
      </w:r>
      <w:r w:rsidRPr="00A32FC0">
        <w:rPr>
          <w:rFonts w:hint="cs"/>
          <w:rtl/>
        </w:rPr>
        <w:t>﴾</w:t>
      </w:r>
      <w:r>
        <w:rPr>
          <w:rFonts w:hint="cs"/>
          <w:rtl/>
        </w:rPr>
        <w:t>(</w:t>
      </w:r>
      <w:r w:rsidRPr="00A32FC0">
        <w:rPr>
          <w:rFonts w:hint="cs"/>
          <w:rtl/>
        </w:rPr>
        <w:t>ص: 36</w:t>
      </w:r>
      <w:r w:rsidRPr="00A32FC0">
        <w:rPr>
          <w:rFonts w:hint="cs"/>
          <w:rtl/>
          <w:lang w:bidi="ar-LB"/>
        </w:rPr>
        <w:t>).</w:t>
      </w:r>
    </w:p>
    <w:p w:rsidR="00EA09EB" w:rsidRPr="00A32FC0" w:rsidRDefault="00EA09EB" w:rsidP="00EA09EB">
      <w:pPr>
        <w:rPr>
          <w:rtl/>
          <w:lang w:bidi="ar-LB"/>
        </w:rPr>
      </w:pPr>
      <w:r w:rsidRPr="00A32FC0">
        <w:rPr>
          <w:rFonts w:hint="cs"/>
          <w:rtl/>
          <w:lang w:bidi="ar-LB"/>
        </w:rPr>
        <w:t>كما تحدَّث القرآن عن سليمان</w:t>
      </w:r>
      <w:r>
        <w:rPr>
          <w:rFonts w:hint="cs"/>
          <w:rtl/>
        </w:rPr>
        <w:t>×</w:t>
      </w:r>
      <w:r w:rsidRPr="00064619">
        <w:rPr>
          <w:rFonts w:cs="Taher"/>
          <w:vertAlign w:val="superscript"/>
          <w:rtl/>
        </w:rPr>
        <w:t>(</w:t>
      </w:r>
      <w:r w:rsidRPr="00064619">
        <w:rPr>
          <w:rStyle w:val="FootnoteReference"/>
          <w:rFonts w:cs="Taher"/>
          <w:sz w:val="32"/>
          <w:rtl/>
        </w:rPr>
        <w:footnoteReference w:id="129"/>
      </w:r>
      <w:r w:rsidRPr="00064619">
        <w:rPr>
          <w:rFonts w:cs="Taher"/>
          <w:vertAlign w:val="superscript"/>
          <w:rtl/>
        </w:rPr>
        <w:t>)</w:t>
      </w:r>
      <w:r w:rsidRPr="00EA09EB">
        <w:rPr>
          <w:rFonts w:hint="cs"/>
          <w:rtl/>
        </w:rPr>
        <w:t>، ويوسف</w:t>
      </w:r>
      <w:r>
        <w:rPr>
          <w:rFonts w:hint="cs"/>
          <w:rtl/>
        </w:rPr>
        <w:t>×</w:t>
      </w:r>
      <w:r w:rsidRPr="00064619">
        <w:rPr>
          <w:rFonts w:cs="Taher"/>
          <w:vertAlign w:val="superscript"/>
          <w:rtl/>
        </w:rPr>
        <w:t>(</w:t>
      </w:r>
      <w:r w:rsidRPr="00064619">
        <w:rPr>
          <w:rStyle w:val="FootnoteReference"/>
          <w:rFonts w:cs="Taher"/>
          <w:sz w:val="32"/>
          <w:rtl/>
        </w:rPr>
        <w:footnoteReference w:id="130"/>
      </w:r>
      <w:r w:rsidRPr="00064619">
        <w:rPr>
          <w:rFonts w:cs="Taher"/>
          <w:vertAlign w:val="superscript"/>
          <w:rtl/>
        </w:rPr>
        <w:t>)</w:t>
      </w:r>
      <w:r w:rsidRPr="00A32FC0">
        <w:rPr>
          <w:rFonts w:hint="cs"/>
          <w:rtl/>
          <w:lang w:bidi="ar-LB"/>
        </w:rPr>
        <w:t>، بصفتهما مَلِكَين.</w:t>
      </w:r>
    </w:p>
    <w:p w:rsidR="00EA09EB" w:rsidRPr="00A32FC0" w:rsidRDefault="00EA09EB" w:rsidP="00635BE2">
      <w:pPr>
        <w:pStyle w:val="Normal87"/>
        <w:rPr>
          <w:rtl/>
        </w:rPr>
      </w:pPr>
      <w:r w:rsidRPr="00A32FC0">
        <w:rPr>
          <w:rFonts w:hint="cs"/>
          <w:rtl/>
        </w:rPr>
        <w:t>كما ذكر طالوت أيضاً بصفته مَلِكاً (دون نبوّة) نصّبه الله</w:t>
      </w:r>
      <w:r w:rsidRPr="00064619">
        <w:rPr>
          <w:rFonts w:cs="Taher"/>
          <w:vertAlign w:val="superscript"/>
          <w:rtl/>
        </w:rPr>
        <w:t>(</w:t>
      </w:r>
      <w:r w:rsidRPr="00064619">
        <w:rPr>
          <w:rStyle w:val="FootnoteReference"/>
          <w:rFonts w:cs="Taher"/>
          <w:sz w:val="32"/>
          <w:rtl/>
        </w:rPr>
        <w:footnoteReference w:id="131"/>
      </w:r>
      <w:r w:rsidRPr="00064619">
        <w:rPr>
          <w:rFonts w:cs="Taher"/>
          <w:vertAlign w:val="superscript"/>
          <w:rtl/>
        </w:rPr>
        <w:t>)</w:t>
      </w:r>
      <w:r w:rsidRPr="00A32FC0">
        <w:rPr>
          <w:rFonts w:hint="cs"/>
          <w:rtl/>
        </w:rPr>
        <w:t>.</w:t>
      </w:r>
    </w:p>
    <w:p w:rsidR="00EA09EB" w:rsidRPr="00EA09EB" w:rsidRDefault="00EA09EB" w:rsidP="00635BE2">
      <w:pPr>
        <w:pStyle w:val="Normal87"/>
        <w:rPr>
          <w:rtl/>
        </w:rPr>
      </w:pPr>
      <w:r w:rsidRPr="00A32FC0">
        <w:rPr>
          <w:rFonts w:hint="cs"/>
          <w:rtl/>
        </w:rPr>
        <w:t>11</w:t>
      </w:r>
      <w:r w:rsidRPr="00A32FC0">
        <w:rPr>
          <w:rtl/>
        </w:rPr>
        <w:t>ـ</w:t>
      </w:r>
      <w:r w:rsidRPr="00A32FC0">
        <w:rPr>
          <w:rFonts w:hint="cs"/>
          <w:rtl/>
        </w:rPr>
        <w:t xml:space="preserve"> لم يعترفْ القرآن سوى بولاية بشريّة واحدة خاصّة، غير ولاية النبي</w:t>
      </w:r>
      <w:r>
        <w:rPr>
          <w:rFonts w:hint="cs"/>
          <w:rtl/>
        </w:rPr>
        <w:t>ّ</w:t>
      </w:r>
      <w:r w:rsidRPr="00A32FC0">
        <w:rPr>
          <w:rFonts w:hint="cs"/>
          <w:rtl/>
        </w:rPr>
        <w:sym w:font="Roumouz" w:char="F02D"/>
      </w:r>
      <w:r w:rsidRPr="00A32FC0">
        <w:rPr>
          <w:rFonts w:hint="cs"/>
          <w:rtl/>
        </w:rPr>
        <w:t>. ولم يصرّح القرآن الكريم باسم صاحب هذه الولاية، وإنما أشار إليه بصفة: ﴿</w:t>
      </w:r>
      <w:r>
        <w:rPr>
          <w:b/>
          <w:bCs/>
          <w:rtl/>
        </w:rPr>
        <w:t>إِنَّمَا وَلِيُّكُمْ الل</w:t>
      </w:r>
      <w:r w:rsidRPr="00A32FC0">
        <w:rPr>
          <w:b/>
          <w:bCs/>
          <w:rtl/>
        </w:rPr>
        <w:t xml:space="preserve">هُ وَرَسُولُهُ وَالَّذِينَ آمَنُوا الَّذِينَ يُقِيمُونَ الصَّلاَةَ وَيُؤْتُونَ الزَّكَاةَ وَهُمْ رَاكِعُونَ </w:t>
      </w:r>
      <w:r w:rsidRPr="00A32FC0">
        <w:rPr>
          <w:rFonts w:hint="cs"/>
          <w:b/>
          <w:bCs/>
          <w:rtl/>
        </w:rPr>
        <w:t>*</w:t>
      </w:r>
      <w:r>
        <w:rPr>
          <w:b/>
          <w:bCs/>
          <w:rtl/>
        </w:rPr>
        <w:t xml:space="preserve"> وَمَنْ يَتَوَلَّ الل</w:t>
      </w:r>
      <w:r w:rsidRPr="00A32FC0">
        <w:rPr>
          <w:b/>
          <w:bCs/>
          <w:rtl/>
        </w:rPr>
        <w:t>هَ وَرَسُولَهُ وَالَّذِ</w:t>
      </w:r>
      <w:r>
        <w:rPr>
          <w:b/>
          <w:bCs/>
          <w:rtl/>
        </w:rPr>
        <w:t>ينَ آمَنُوا فَإِنَّ حِزْبَ الل</w:t>
      </w:r>
      <w:r w:rsidRPr="00A32FC0">
        <w:rPr>
          <w:b/>
          <w:bCs/>
          <w:rtl/>
        </w:rPr>
        <w:t>هِ هُمْ الْغَالِبُونَ</w:t>
      </w:r>
      <w:r w:rsidRPr="00EA09EB">
        <w:rPr>
          <w:rFonts w:hint="cs"/>
          <w:rtl/>
        </w:rPr>
        <w:t>﴾(المائدة: 55 ـ 56). إن هذه الآيات تحصر الولاية بالله والرسول والمؤمنين الذين يقيمون الصلاة ويؤتون الزكاة وهم راكعون، كما هو واضح.</w:t>
      </w:r>
    </w:p>
    <w:p w:rsidR="00EA09EB" w:rsidRPr="00A32FC0" w:rsidRDefault="00EA09EB" w:rsidP="00EA09EB">
      <w:pPr>
        <w:rPr>
          <w:rtl/>
          <w:lang w:bidi="ar-LB"/>
        </w:rPr>
      </w:pPr>
      <w:r w:rsidRPr="00A32FC0">
        <w:rPr>
          <w:rFonts w:hint="cs"/>
          <w:rtl/>
          <w:lang w:bidi="ar-LB"/>
        </w:rPr>
        <w:t>وقد ذكرت روايات عديدة واردةٌ في شأن نزول هذه الآية أنّها نزلت في الإمام علي بن أبي طالب</w:t>
      </w:r>
      <w:r>
        <w:rPr>
          <w:rFonts w:hint="cs"/>
          <w:rtl/>
        </w:rPr>
        <w:t>×</w:t>
      </w:r>
      <w:r w:rsidRPr="00A32FC0">
        <w:rPr>
          <w:rFonts w:hint="cs"/>
          <w:rtl/>
          <w:lang w:bidi="ar-LB"/>
        </w:rPr>
        <w:t>، حيث إنه كان قد تصدّق في حال ركوعه.</w:t>
      </w:r>
    </w:p>
    <w:p w:rsidR="00EA09EB" w:rsidRPr="00A32FC0" w:rsidRDefault="00EA09EB" w:rsidP="00EA09EB">
      <w:pPr>
        <w:rPr>
          <w:rtl/>
          <w:lang w:bidi="ar-LB"/>
        </w:rPr>
      </w:pPr>
      <w:r w:rsidRPr="00EA09EB">
        <w:rPr>
          <w:rFonts w:hint="cs"/>
          <w:rtl/>
        </w:rPr>
        <w:t>وقد اتّفق مفسِّرو الشيعة، بالإضافة إلى عدد كبير من مفسِّري السنّة، على شأن نزول هذه الآية</w:t>
      </w:r>
      <w:r w:rsidRPr="00064619">
        <w:rPr>
          <w:rFonts w:cs="Taher"/>
          <w:vertAlign w:val="superscript"/>
          <w:rtl/>
          <w:lang w:bidi="ar-LB"/>
        </w:rPr>
        <w:t>(</w:t>
      </w:r>
      <w:r w:rsidRPr="00064619">
        <w:rPr>
          <w:rStyle w:val="FootnoteReference"/>
          <w:rFonts w:cs="Taher"/>
          <w:sz w:val="32"/>
          <w:rtl/>
          <w:lang w:bidi="ar-LB"/>
        </w:rPr>
        <w:footnoteReference w:id="132"/>
      </w:r>
      <w:r w:rsidRPr="00064619">
        <w:rPr>
          <w:rFonts w:cs="Taher"/>
          <w:vertAlign w:val="superscript"/>
          <w:rtl/>
          <w:lang w:bidi="ar-LB"/>
        </w:rPr>
        <w:t>)</w:t>
      </w:r>
      <w:r w:rsidRPr="00A32FC0">
        <w:rPr>
          <w:rFonts w:hint="cs"/>
          <w:rtl/>
          <w:lang w:bidi="ar-LB"/>
        </w:rPr>
        <w:t>.</w:t>
      </w:r>
    </w:p>
    <w:p w:rsidR="00EA09EB" w:rsidRPr="00A32FC0" w:rsidRDefault="00EA09EB" w:rsidP="00635BE2">
      <w:pPr>
        <w:pStyle w:val="Normal84"/>
        <w:rPr>
          <w:rtl/>
        </w:rPr>
      </w:pPr>
      <w:r w:rsidRPr="00A32FC0">
        <w:rPr>
          <w:rFonts w:hint="cs"/>
          <w:rtl/>
        </w:rPr>
        <w:t>ومن حيث الآية الشريفة فقد جمعت ولاية الله وولاية الرسول والولاية الثالثة بولاية واحدة، بحيث جاء لفظ الولاية مفرداً منصوباً إلى الله والرسول</w:t>
      </w:r>
      <w:r w:rsidRPr="00A32FC0">
        <w:rPr>
          <w:rFonts w:hint="cs"/>
          <w:rtl/>
        </w:rPr>
        <w:sym w:font="Roumouz" w:char="F02D"/>
      </w:r>
      <w:r w:rsidRPr="00A32FC0">
        <w:rPr>
          <w:rFonts w:hint="cs"/>
          <w:rtl/>
        </w:rPr>
        <w:t xml:space="preserve"> والإمام علي</w:t>
      </w:r>
      <w:r>
        <w:rPr>
          <w:rFonts w:hint="cs"/>
          <w:rtl/>
        </w:rPr>
        <w:t>×</w:t>
      </w:r>
      <w:r w:rsidRPr="00A32FC0">
        <w:rPr>
          <w:rFonts w:hint="cs"/>
          <w:rtl/>
        </w:rPr>
        <w:t>. فولاية الإمام علي</w:t>
      </w:r>
      <w:r>
        <w:rPr>
          <w:rFonts w:hint="cs"/>
          <w:rtl/>
        </w:rPr>
        <w:t>×</w:t>
      </w:r>
      <w:r w:rsidRPr="00A32FC0">
        <w:rPr>
          <w:rFonts w:hint="cs"/>
          <w:rtl/>
        </w:rPr>
        <w:t xml:space="preserve"> وولاية الرسول</w:t>
      </w:r>
      <w:r w:rsidRPr="00A32FC0">
        <w:rPr>
          <w:rFonts w:hint="cs"/>
          <w:rtl/>
        </w:rPr>
        <w:sym w:font="Roumouz" w:char="F02D"/>
      </w:r>
      <w:r w:rsidRPr="00A32FC0">
        <w:rPr>
          <w:rFonts w:hint="cs"/>
          <w:rtl/>
        </w:rPr>
        <w:t xml:space="preserve"> ترجعان إلى ولاية الله. فالولاية أصالةً لله، وبالتبعيّة للرسول</w:t>
      </w:r>
      <w:r w:rsidRPr="00A32FC0">
        <w:rPr>
          <w:rFonts w:hint="cs"/>
          <w:rtl/>
        </w:rPr>
        <w:sym w:font="Roumouz" w:char="F02D"/>
      </w:r>
      <w:r w:rsidRPr="00A32FC0">
        <w:rPr>
          <w:rFonts w:hint="cs"/>
          <w:rtl/>
        </w:rPr>
        <w:t xml:space="preserve"> وعليّ</w:t>
      </w:r>
      <w:r>
        <w:rPr>
          <w:rFonts w:hint="cs"/>
          <w:rtl/>
        </w:rPr>
        <w:t>×</w:t>
      </w:r>
      <w:r w:rsidRPr="00A32FC0">
        <w:rPr>
          <w:rFonts w:hint="cs"/>
          <w:rtl/>
        </w:rPr>
        <w:t>. فالعنوان المطروح في هذه الآية يحكي عن ولاية أو إمامة أمير المؤمنين</w:t>
      </w:r>
      <w:r>
        <w:rPr>
          <w:rFonts w:hint="cs"/>
          <w:rtl/>
        </w:rPr>
        <w:t>×</w:t>
      </w:r>
      <w:r w:rsidRPr="00A32FC0">
        <w:rPr>
          <w:rFonts w:hint="cs"/>
          <w:rtl/>
        </w:rPr>
        <w:t>. فمقام الولاية نابعٌ من جميع الفضائل والصفات التي تحلّى بها الإمام علي</w:t>
      </w:r>
      <w:r>
        <w:rPr>
          <w:rFonts w:hint="cs"/>
          <w:rtl/>
        </w:rPr>
        <w:t>×</w:t>
      </w:r>
      <w:r w:rsidRPr="00A32FC0">
        <w:rPr>
          <w:rFonts w:hint="cs"/>
          <w:rtl/>
        </w:rPr>
        <w:t>. واختصاص الولاية بأحد مناصبه</w:t>
      </w:r>
      <w:r>
        <w:rPr>
          <w:rFonts w:hint="cs"/>
          <w:rtl/>
        </w:rPr>
        <w:t>×</w:t>
      </w:r>
      <w:r w:rsidRPr="00A32FC0">
        <w:rPr>
          <w:rFonts w:hint="cs"/>
          <w:rtl/>
        </w:rPr>
        <w:t>، من قبيل: الإمارة والزعامة، لا دليل عليه. والمراد من «صالح المؤمنين» في قوله تعالى: ﴿</w:t>
      </w:r>
      <w:r>
        <w:rPr>
          <w:b/>
          <w:bCs/>
          <w:rtl/>
        </w:rPr>
        <w:t>فَإِنَّ الل</w:t>
      </w:r>
      <w:r w:rsidRPr="00A32FC0">
        <w:rPr>
          <w:b/>
          <w:bCs/>
          <w:rtl/>
        </w:rPr>
        <w:t>هَ هُوَ مَوْلاَهُ وَجِبْرِيلُ وَصَالِحُ الْمُؤْمِنِينَ</w:t>
      </w:r>
      <w:r w:rsidRPr="00EA09EB">
        <w:rPr>
          <w:rFonts w:hint="cs"/>
          <w:rtl/>
        </w:rPr>
        <w:t>﴾(التحريم: 4) هو الإمام علي بن أبي طالب</w:t>
      </w:r>
      <w:r>
        <w:rPr>
          <w:rFonts w:hint="cs"/>
          <w:rtl/>
        </w:rPr>
        <w:t>×</w:t>
      </w:r>
      <w:r w:rsidRPr="00EA09EB">
        <w:rPr>
          <w:rFonts w:hint="cs"/>
          <w:rtl/>
        </w:rPr>
        <w:t>. وعلاوة على ذكر الآيات المختصّة بولاية الإمام علي</w:t>
      </w:r>
      <w:r>
        <w:rPr>
          <w:rFonts w:hint="cs"/>
          <w:rtl/>
        </w:rPr>
        <w:t>×</w:t>
      </w:r>
      <w:r w:rsidRPr="00EA09EB">
        <w:rPr>
          <w:rFonts w:hint="cs"/>
          <w:rtl/>
        </w:rPr>
        <w:t xml:space="preserve"> فقد أشار القرآن إلى عصمة أهل البيت</w:t>
      </w:r>
      <w:r w:rsidR="007A340E">
        <w:rPr>
          <w:rFonts w:hint="cs"/>
          <w:rtl/>
        </w:rPr>
        <w:t>^</w:t>
      </w:r>
      <w:r w:rsidRPr="00EA09EB">
        <w:rPr>
          <w:rFonts w:hint="cs"/>
          <w:rtl/>
        </w:rPr>
        <w:t xml:space="preserve"> في آية التطهير</w:t>
      </w:r>
      <w:r w:rsidRPr="00064619">
        <w:rPr>
          <w:rFonts w:cs="Taher"/>
          <w:vertAlign w:val="superscript"/>
          <w:rtl/>
        </w:rPr>
        <w:t>(</w:t>
      </w:r>
      <w:r w:rsidRPr="00064619">
        <w:rPr>
          <w:rStyle w:val="FootnoteReference"/>
          <w:rFonts w:cs="Taher"/>
          <w:sz w:val="32"/>
          <w:rtl/>
        </w:rPr>
        <w:footnoteReference w:id="133"/>
      </w:r>
      <w:r w:rsidRPr="00064619">
        <w:rPr>
          <w:rFonts w:cs="Taher"/>
          <w:vertAlign w:val="superscript"/>
          <w:rtl/>
        </w:rPr>
        <w:t>)</w:t>
      </w:r>
      <w:r w:rsidRPr="00EA09EB">
        <w:rPr>
          <w:rFonts w:hint="cs"/>
          <w:rtl/>
        </w:rPr>
        <w:t>، وإلى رفعة مقامهم وعلوّ شأنهم في آية المباهلة</w:t>
      </w:r>
      <w:r w:rsidRPr="00064619">
        <w:rPr>
          <w:rFonts w:cs="Taher"/>
          <w:vertAlign w:val="superscript"/>
          <w:rtl/>
        </w:rPr>
        <w:t>(</w:t>
      </w:r>
      <w:r w:rsidRPr="00064619">
        <w:rPr>
          <w:rStyle w:val="FootnoteReference"/>
          <w:rFonts w:cs="Taher"/>
          <w:sz w:val="32"/>
          <w:rtl/>
        </w:rPr>
        <w:footnoteReference w:id="134"/>
      </w:r>
      <w:r w:rsidRPr="00064619">
        <w:rPr>
          <w:rFonts w:cs="Taher"/>
          <w:vertAlign w:val="superscript"/>
          <w:rtl/>
        </w:rPr>
        <w:t>)</w:t>
      </w:r>
      <w:r w:rsidRPr="00EA09EB">
        <w:rPr>
          <w:rFonts w:hint="cs"/>
          <w:rtl/>
        </w:rPr>
        <w:t>. إلاّ أنّه لم ترِدْ ولايتهم لفظيّاً بشكلٍ صريحٍ في أيٍّ من الآيات الكريمة. والمستند الأساس لولايتهم هو الروايات الصحيحة الواردة عن النبيّ</w:t>
      </w:r>
      <w:r w:rsidRPr="00EA09EB">
        <w:rPr>
          <w:rFonts w:hint="cs"/>
          <w:rtl/>
        </w:rPr>
        <w:sym w:font="Roumouz" w:char="F02D"/>
      </w:r>
      <w:r w:rsidRPr="00064619">
        <w:rPr>
          <w:rFonts w:cs="Taher"/>
          <w:vertAlign w:val="superscript"/>
          <w:rtl/>
        </w:rPr>
        <w:t>(</w:t>
      </w:r>
      <w:r w:rsidRPr="00064619">
        <w:rPr>
          <w:rStyle w:val="FootnoteReference"/>
          <w:rFonts w:cs="Taher"/>
          <w:sz w:val="32"/>
          <w:rtl/>
        </w:rPr>
        <w:footnoteReference w:id="135"/>
      </w:r>
      <w:r w:rsidRPr="00064619">
        <w:rPr>
          <w:rFonts w:cs="Taher"/>
          <w:vertAlign w:val="superscript"/>
          <w:rtl/>
        </w:rPr>
        <w:t>)</w:t>
      </w:r>
      <w:r w:rsidRPr="00EA09EB">
        <w:rPr>
          <w:rFonts w:hint="cs"/>
          <w:rtl/>
        </w:rPr>
        <w:t>. إلاّ أنه لا يمكن استفادة ولايتهم من قوله تعالى: ﴿</w:t>
      </w:r>
      <w:r w:rsidRPr="00A32FC0">
        <w:rPr>
          <w:b/>
          <w:bCs/>
          <w:rtl/>
        </w:rPr>
        <w:t>يَا أَيُّهَا ا</w:t>
      </w:r>
      <w:r>
        <w:rPr>
          <w:b/>
          <w:bCs/>
          <w:rtl/>
        </w:rPr>
        <w:t>لَّذِينَ آمَنُوا أَطِيعُوا الل</w:t>
      </w:r>
      <w:r w:rsidRPr="00A32FC0">
        <w:rPr>
          <w:b/>
          <w:bCs/>
          <w:rtl/>
        </w:rPr>
        <w:t>هَ وَأَطِيعُوا الرَّسُولَ وَأُوْلِي الأَمْرِ مِنْكُمْ</w:t>
      </w:r>
      <w:r w:rsidRPr="00EA09EB">
        <w:rPr>
          <w:rFonts w:hint="cs"/>
          <w:rtl/>
        </w:rPr>
        <w:t>﴾(النساء: 59)؛ حيث إن طاعة أولي الأمر في هذه الآية هي في عرض طاعة الرسول</w:t>
      </w:r>
      <w:r w:rsidRPr="00EA09EB">
        <w:rPr>
          <w:rFonts w:hint="cs"/>
          <w:rtl/>
        </w:rPr>
        <w:sym w:font="Roumouz" w:char="F02D"/>
      </w:r>
      <w:r w:rsidRPr="00EA09EB">
        <w:rPr>
          <w:rFonts w:hint="cs"/>
          <w:rtl/>
        </w:rPr>
        <w:t>، وهي هنا مطلقة وغير مقيَّدة بأيّ قيد أو شرط، بل إن الإطلاق آبٍ عن التقييد، ولا يوجد قرينة في القرآن الكريم على كون الطاعة هنا مختصّة بموارد عدم المعصية والخطأ</w:t>
      </w:r>
      <w:r w:rsidRPr="00064619">
        <w:rPr>
          <w:rFonts w:cs="Taher"/>
          <w:vertAlign w:val="superscript"/>
          <w:rtl/>
        </w:rPr>
        <w:t>(</w:t>
      </w:r>
      <w:r w:rsidRPr="00064619">
        <w:rPr>
          <w:rStyle w:val="FootnoteReference"/>
          <w:rFonts w:cs="Taher"/>
          <w:sz w:val="32"/>
          <w:rtl/>
        </w:rPr>
        <w:footnoteReference w:id="136"/>
      </w:r>
      <w:r w:rsidRPr="00064619">
        <w:rPr>
          <w:rFonts w:cs="Taher"/>
          <w:vertAlign w:val="superscript"/>
          <w:rtl/>
        </w:rPr>
        <w:t>)</w:t>
      </w:r>
      <w:r w:rsidRPr="00EA09EB">
        <w:rPr>
          <w:rFonts w:hint="cs"/>
          <w:rtl/>
        </w:rPr>
        <w:t>. على أنّ القرآن قيّدها في موارد أقل أهمّيّة، كإطاعة الوالدين، بعدم شركهما</w:t>
      </w:r>
      <w:r w:rsidRPr="00064619">
        <w:rPr>
          <w:rFonts w:cs="Taher"/>
          <w:vertAlign w:val="superscript"/>
          <w:rtl/>
        </w:rPr>
        <w:t>(</w:t>
      </w:r>
      <w:r w:rsidRPr="00064619">
        <w:rPr>
          <w:rStyle w:val="FootnoteReference"/>
          <w:rFonts w:cs="Taher"/>
          <w:sz w:val="32"/>
          <w:rtl/>
        </w:rPr>
        <w:footnoteReference w:id="137"/>
      </w:r>
      <w:r w:rsidRPr="00064619">
        <w:rPr>
          <w:rFonts w:cs="Taher"/>
          <w:vertAlign w:val="superscript"/>
          <w:rtl/>
        </w:rPr>
        <w:t>)</w:t>
      </w:r>
      <w:r w:rsidRPr="00A32FC0">
        <w:rPr>
          <w:rFonts w:hint="cs"/>
          <w:rtl/>
        </w:rPr>
        <w:t>. وقد صرَّح مفسِّرو الشيعة بالإجماع، وعلى أساس الاستدلال المتقدِّم، أن الطاعة المطلقة لأولي الأمر في الآية الكريمة تلازم عصمتهم؛ وذلك لأنه لا تجوز طاعة غير المعصوم طاعة مطلقة، فالعدالة تعصم الإنسان عن ارتكاب المعصية، ولكن لا تعصمه عن ارتكاب الخطأ، والأمر بالطاعة المطلقة لمن يجوز منه الخطأ قبيحٌ. وعلى هذا الأساس اعتبر مفسِّرو الشيعة أن أولي الأمر في القرآن الكريم هم الأئمّة المعصومون</w:t>
      </w:r>
      <w:r w:rsidR="007A340E">
        <w:rPr>
          <w:rFonts w:hint="cs"/>
          <w:rtl/>
        </w:rPr>
        <w:t>^</w:t>
      </w:r>
      <w:r w:rsidRPr="00A32FC0">
        <w:rPr>
          <w:rFonts w:hint="cs"/>
          <w:rtl/>
        </w:rPr>
        <w:t>.</w:t>
      </w:r>
    </w:p>
    <w:p w:rsidR="00EA09EB" w:rsidRPr="00EA09EB" w:rsidRDefault="00EA09EB" w:rsidP="00635BE2">
      <w:pPr>
        <w:pStyle w:val="Normal93"/>
        <w:rPr>
          <w:rtl/>
        </w:rPr>
      </w:pPr>
      <w:r w:rsidRPr="00A32FC0">
        <w:rPr>
          <w:rFonts w:hint="cs"/>
          <w:rtl/>
        </w:rPr>
        <w:t>12</w:t>
      </w:r>
      <w:r w:rsidRPr="00A32FC0">
        <w:rPr>
          <w:rtl/>
        </w:rPr>
        <w:t>ـ</w:t>
      </w:r>
      <w:r w:rsidRPr="00A32FC0">
        <w:rPr>
          <w:rFonts w:hint="cs"/>
          <w:rtl/>
        </w:rPr>
        <w:t xml:space="preserve"> لقد تعرّض القرآن الكريم إلى الأصناف الثلاثة من الولاية الفقهية: وليّ الدم، وليّ القاصر، وليّ الإرث</w:t>
      </w:r>
      <w:r w:rsidRPr="00064619">
        <w:rPr>
          <w:rFonts w:cs="Taher"/>
          <w:vertAlign w:val="superscript"/>
          <w:rtl/>
        </w:rPr>
        <w:t>(</w:t>
      </w:r>
      <w:r w:rsidRPr="00064619">
        <w:rPr>
          <w:rStyle w:val="FootnoteReference"/>
          <w:rFonts w:cs="Taher"/>
          <w:sz w:val="32"/>
          <w:rtl/>
        </w:rPr>
        <w:footnoteReference w:id="138"/>
      </w:r>
      <w:r w:rsidRPr="00064619">
        <w:rPr>
          <w:rFonts w:cs="Taher"/>
          <w:vertAlign w:val="superscript"/>
          <w:rtl/>
        </w:rPr>
        <w:t>)</w:t>
      </w:r>
      <w:r w:rsidRPr="00EA09EB">
        <w:rPr>
          <w:rFonts w:hint="cs"/>
          <w:rtl/>
        </w:rPr>
        <w:t xml:space="preserve">. </w:t>
      </w:r>
    </w:p>
    <w:p w:rsidR="00EA09EB" w:rsidRPr="00EA09EB" w:rsidRDefault="00EA09EB" w:rsidP="00635BE2">
      <w:pPr>
        <w:pStyle w:val="Normal84"/>
        <w:rPr>
          <w:rtl/>
        </w:rPr>
      </w:pPr>
      <w:r w:rsidRPr="007A340E">
        <w:rPr>
          <w:rFonts w:hint="cs"/>
          <w:b/>
          <w:bCs/>
          <w:rtl/>
        </w:rPr>
        <w:t>الأول</w:t>
      </w:r>
      <w:r w:rsidRPr="00EA09EB">
        <w:rPr>
          <w:rFonts w:hint="cs"/>
          <w:rtl/>
        </w:rPr>
        <w:t>: وليّ الدم. إذا قُتلت نفسٌ محرّمةٌ بدون حقّ فإنّ الورثة هم أولياء دم المقتول، ولهم الحق في القصاص من الجاني، أو أخذ الدية، أو العفو: ﴿</w:t>
      </w:r>
      <w:r w:rsidRPr="007A340E">
        <w:rPr>
          <w:b/>
          <w:bCs/>
          <w:rtl/>
        </w:rPr>
        <w:t>وَلاَ تَقْتُلُوا النَّفْسَ الَّتِي حَرَّمَ اللهُ إِلاَّ بِالْحَقِّ وَمَنْ قُتِلَ مَظْلُوماً فَقَدْ جَعَلْنَا لِوَلِيِّهِ سُلْطَاناً</w:t>
      </w:r>
      <w:r w:rsidRPr="00EA09EB">
        <w:rPr>
          <w:rFonts w:hint="cs"/>
          <w:rtl/>
        </w:rPr>
        <w:t>﴾(الإسراء: 33)</w:t>
      </w:r>
      <w:r w:rsidRPr="00064619">
        <w:rPr>
          <w:rFonts w:cs="Taher"/>
          <w:sz w:val="32"/>
          <w:vertAlign w:val="superscript"/>
          <w:rtl/>
        </w:rPr>
        <w:t>(</w:t>
      </w:r>
      <w:r w:rsidRPr="00064619">
        <w:rPr>
          <w:rStyle w:val="FootnoteReference"/>
          <w:rFonts w:cs="Taher"/>
          <w:sz w:val="32"/>
          <w:rtl/>
        </w:rPr>
        <w:footnoteReference w:id="139"/>
      </w:r>
      <w:r w:rsidRPr="00064619">
        <w:rPr>
          <w:rFonts w:cs="Taher"/>
          <w:sz w:val="32"/>
          <w:vertAlign w:val="superscript"/>
          <w:rtl/>
        </w:rPr>
        <w:t>)</w:t>
      </w:r>
      <w:r w:rsidRPr="00EA09EB">
        <w:rPr>
          <w:rFonts w:hint="cs"/>
          <w:rtl/>
        </w:rPr>
        <w:t xml:space="preserve">. </w:t>
      </w:r>
    </w:p>
    <w:p w:rsidR="00EA09EB" w:rsidRPr="00A32FC0" w:rsidRDefault="00EA09EB" w:rsidP="00635BE2">
      <w:pPr>
        <w:pStyle w:val="Normal87"/>
        <w:rPr>
          <w:rtl/>
        </w:rPr>
      </w:pPr>
      <w:r w:rsidRPr="00A32FC0">
        <w:rPr>
          <w:rFonts w:hint="cs"/>
          <w:b/>
          <w:bCs/>
          <w:rtl/>
        </w:rPr>
        <w:t>الثاني</w:t>
      </w:r>
      <w:r w:rsidRPr="00EA09EB">
        <w:rPr>
          <w:rFonts w:hint="cs"/>
          <w:rtl/>
        </w:rPr>
        <w:t>: ولي الصغير والسفيه. في كلّ معاملةٍ يكون أحد العوضين فيها مؤجَّلاً لابدّ من كتابة المعاملة، وإقرار المديون بدينه، إذا كان المديون سفيهاً، أو مجذوباً، أو ضعيفاً (صغيراً، أو شيخاً كبيراً)، أو غير قادر على الإملاء، فعلى وليّه أن يملِلَ عنه: ﴿</w:t>
      </w:r>
      <w:r w:rsidRPr="00A32FC0">
        <w:rPr>
          <w:b/>
          <w:bCs/>
          <w:rtl/>
        </w:rPr>
        <w:t>يَا أَيُّهَا الَّذِينَ آمَنُوا إِذَا تَدَايَنتُمْ بِدَيْنٍ إِلَى أَجَلٍ مُسَمًّى فَاكْتُبُوهُ وَلْيَكْتُبْ بَيْنَكُمْ كَاتِبٌ بِالْعَدْلِ وَلاَ يَأْبَ كَاتِبٌ أَن</w:t>
      </w:r>
      <w:r>
        <w:rPr>
          <w:b/>
          <w:bCs/>
          <w:rtl/>
        </w:rPr>
        <w:t>ْ يَكْتُبَ كَمَا عَلَّمَهُ الل</w:t>
      </w:r>
      <w:r w:rsidRPr="00A32FC0">
        <w:rPr>
          <w:b/>
          <w:bCs/>
          <w:rtl/>
        </w:rPr>
        <w:t>هُ فَلْيَكْتُبْ وَلْيُمْلِلْ الَّذِي عَل</w:t>
      </w:r>
      <w:r>
        <w:rPr>
          <w:b/>
          <w:bCs/>
          <w:rtl/>
        </w:rPr>
        <w:t>َيْهِ الْحَقُّ وَلْيَتَّقِ الل</w:t>
      </w:r>
      <w:r w:rsidRPr="00A32FC0">
        <w:rPr>
          <w:b/>
          <w:bCs/>
          <w:rtl/>
        </w:rPr>
        <w:t>هَ رَبَّهُ وَلاَ يَبْخَسْ مِنْهُ شَيْئاً فَإِنْ كَانَ الَّذِي عَلَيْهِ الْحَقُّ سَفِيهاً أَوْ ضَعِيفاً أَوْ لاَ يَسْتَطِيعُ أَنْ يُمِلَّ هُوَ فَلْيُمْلِلْ وَلِيُّهُ بِالْعَدْلِ</w:t>
      </w:r>
      <w:r w:rsidRPr="00EA09EB">
        <w:rPr>
          <w:rFonts w:hint="cs"/>
          <w:rtl/>
        </w:rPr>
        <w:t>﴾(البقرة: 282)</w:t>
      </w:r>
      <w:r w:rsidRPr="00064619">
        <w:rPr>
          <w:rFonts w:cs="Taher"/>
          <w:vertAlign w:val="superscript"/>
          <w:rtl/>
        </w:rPr>
        <w:t>(</w:t>
      </w:r>
      <w:r w:rsidRPr="00064619">
        <w:rPr>
          <w:rStyle w:val="FootnoteReference"/>
          <w:rFonts w:cs="Taher"/>
          <w:sz w:val="32"/>
          <w:rtl/>
        </w:rPr>
        <w:footnoteReference w:id="140"/>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lang w:bidi="ar-LB"/>
        </w:rPr>
        <w:t>وقد عبّر القرآن عن وليّ النكاح في طلاق الصغيرة، وما شابهه، بـ ﴿</w:t>
      </w:r>
      <w:r w:rsidRPr="00A32FC0">
        <w:rPr>
          <w:b/>
          <w:bCs/>
          <w:rtl/>
        </w:rPr>
        <w:t>الَّذِي بِيَدِهِ عُقْدَةُ النِّكَاحِ</w:t>
      </w:r>
      <w:r w:rsidRPr="00EA09EB">
        <w:rPr>
          <w:rFonts w:hint="cs"/>
          <w:rtl/>
        </w:rPr>
        <w:t>﴾(البقرة: 237)</w:t>
      </w:r>
      <w:r w:rsidRPr="00064619">
        <w:rPr>
          <w:rFonts w:cs="Taher"/>
          <w:vertAlign w:val="superscript"/>
          <w:rtl/>
          <w:lang w:bidi="ar-LB"/>
        </w:rPr>
        <w:t>(</w:t>
      </w:r>
      <w:r w:rsidRPr="00064619">
        <w:rPr>
          <w:rStyle w:val="FootnoteReference"/>
          <w:rFonts w:cs="Taher"/>
          <w:sz w:val="32"/>
          <w:rtl/>
          <w:lang w:bidi="ar-LB"/>
        </w:rPr>
        <w:footnoteReference w:id="141"/>
      </w:r>
      <w:r w:rsidRPr="00064619">
        <w:rPr>
          <w:rFonts w:cs="Taher"/>
          <w:vertAlign w:val="superscript"/>
          <w:rtl/>
          <w:lang w:bidi="ar-LB"/>
        </w:rPr>
        <w:t>)</w:t>
      </w:r>
      <w:r w:rsidRPr="00EA09EB">
        <w:rPr>
          <w:rFonts w:hint="cs"/>
          <w:rtl/>
        </w:rPr>
        <w:t>. ومن الأمثلة التي ضربها القرآن الكريم قوله تعالى: ﴿</w:t>
      </w:r>
      <w:r w:rsidRPr="00A32FC0">
        <w:rPr>
          <w:b/>
          <w:bCs/>
          <w:rtl/>
        </w:rPr>
        <w:t>أَبْكَمُ لاَ يَقْدِرُ عَلَى شَيْءٍ وَهُوَ كَلٌّ عَلَى مَوْلاَهُ</w:t>
      </w:r>
      <w:r w:rsidRPr="00EA09EB">
        <w:rPr>
          <w:rFonts w:hint="cs"/>
          <w:rtl/>
        </w:rPr>
        <w:t>﴾(النحل: 76)</w:t>
      </w:r>
      <w:r w:rsidRPr="00064619">
        <w:rPr>
          <w:rFonts w:cs="Taher"/>
          <w:vertAlign w:val="superscript"/>
          <w:rtl/>
          <w:lang w:bidi="ar-LB"/>
        </w:rPr>
        <w:t>(</w:t>
      </w:r>
      <w:r w:rsidRPr="00064619">
        <w:rPr>
          <w:rStyle w:val="FootnoteReference"/>
          <w:rFonts w:cs="Taher"/>
          <w:sz w:val="32"/>
          <w:rtl/>
          <w:lang w:bidi="ar-LB"/>
        </w:rPr>
        <w:footnoteReference w:id="142"/>
      </w:r>
      <w:r w:rsidRPr="00064619">
        <w:rPr>
          <w:rFonts w:cs="Taher"/>
          <w:vertAlign w:val="superscript"/>
          <w:rtl/>
          <w:lang w:bidi="ar-LB"/>
        </w:rPr>
        <w:t>)</w:t>
      </w:r>
      <w:r w:rsidRPr="00EA09EB">
        <w:rPr>
          <w:rFonts w:hint="cs"/>
          <w:rtl/>
        </w:rPr>
        <w:t xml:space="preserve">. </w:t>
      </w:r>
    </w:p>
    <w:p w:rsidR="00EA09EB" w:rsidRPr="00A32FC0" w:rsidRDefault="00EA09EB" w:rsidP="00635BE2">
      <w:pPr>
        <w:pStyle w:val="Normal84"/>
        <w:rPr>
          <w:rtl/>
        </w:rPr>
      </w:pPr>
      <w:r w:rsidRPr="00635BE2">
        <w:rPr>
          <w:rFonts w:hint="cs"/>
          <w:b/>
          <w:bCs/>
          <w:rtl/>
        </w:rPr>
        <w:t>الثالث:</w:t>
      </w:r>
      <w:r w:rsidRPr="00EA09EB">
        <w:rPr>
          <w:rFonts w:hint="cs"/>
          <w:rtl/>
        </w:rPr>
        <w:t xml:space="preserve"> ولي الإرث. وقد عبّر القرآن عن ورثة الميت، وهم: الأولاد، والوالدين، والأخوة، والأخوات، والزوج، أو الزوجة...، بـ «المَوالي»: ﴿</w:t>
      </w:r>
      <w:r w:rsidRPr="00635BE2">
        <w:rPr>
          <w:b/>
          <w:bCs/>
          <w:rtl/>
        </w:rPr>
        <w:t>وَلِكُلٍّ جَعَلْنَا مَوَالِيَ مِمَّا تَرَكَ الْوَالِدَانِ وَالأَقْرَبُونَ وَالَّذِينَ عَقَدَتْ أَيْمَانُكُمْ فَآتُوهُمْ نَصِيبَهُمْ</w:t>
      </w:r>
      <w:r w:rsidRPr="00EA09EB">
        <w:rPr>
          <w:rFonts w:hint="cs"/>
          <w:rtl/>
        </w:rPr>
        <w:t>﴾(النساء: 33)</w:t>
      </w:r>
      <w:r w:rsidRPr="00064619">
        <w:rPr>
          <w:rFonts w:cs="Taher"/>
          <w:vertAlign w:val="superscript"/>
          <w:rtl/>
        </w:rPr>
        <w:t>(</w:t>
      </w:r>
      <w:r w:rsidRPr="00064619">
        <w:rPr>
          <w:rStyle w:val="FootnoteReference"/>
          <w:rFonts w:cs="Taher"/>
          <w:sz w:val="32"/>
          <w:rtl/>
        </w:rPr>
        <w:footnoteReference w:id="143"/>
      </w:r>
      <w:r w:rsidRPr="00064619">
        <w:rPr>
          <w:rFonts w:cs="Taher"/>
          <w:vertAlign w:val="superscript"/>
          <w:rtl/>
        </w:rPr>
        <w:t>)</w:t>
      </w:r>
      <w:r w:rsidRPr="00A32FC0">
        <w:rPr>
          <w:rFonts w:hint="cs"/>
          <w:rtl/>
        </w:rPr>
        <w:t>.</w:t>
      </w:r>
    </w:p>
    <w:p w:rsidR="00EA09EB" w:rsidRPr="00A32FC0" w:rsidRDefault="00EA09EB" w:rsidP="00EA09EB">
      <w:pPr>
        <w:rPr>
          <w:rtl/>
          <w:lang w:bidi="ar-LB"/>
        </w:rPr>
      </w:pPr>
      <w:r w:rsidRPr="00A32FC0">
        <w:rPr>
          <w:rFonts w:hint="cs"/>
          <w:rtl/>
          <w:lang w:bidi="ar-LB"/>
        </w:rPr>
        <w:t>وفي قصة زكريا</w:t>
      </w:r>
      <w:r>
        <w:rPr>
          <w:rFonts w:hint="cs"/>
          <w:rtl/>
        </w:rPr>
        <w:t>×</w:t>
      </w:r>
      <w:r w:rsidRPr="00A32FC0">
        <w:rPr>
          <w:rFonts w:hint="cs"/>
          <w:rtl/>
          <w:lang w:bidi="ar-LB"/>
        </w:rPr>
        <w:t xml:space="preserve"> عبّر القرآن عن الأعمام وأبناء الأعمام بـ</w:t>
      </w:r>
      <w:r w:rsidRPr="00A32FC0">
        <w:rPr>
          <w:rFonts w:hint="cs"/>
          <w:rtl/>
        </w:rPr>
        <w:t xml:space="preserve"> «</w:t>
      </w:r>
      <w:r w:rsidRPr="00A32FC0">
        <w:rPr>
          <w:rFonts w:hint="cs"/>
          <w:rtl/>
          <w:lang w:bidi="ar-LB"/>
        </w:rPr>
        <w:t>الموالي</w:t>
      </w:r>
      <w:r w:rsidRPr="00A32FC0">
        <w:rPr>
          <w:rFonts w:hint="cs"/>
          <w:rtl/>
        </w:rPr>
        <w:t>»</w:t>
      </w:r>
      <w:r w:rsidRPr="00A32FC0">
        <w:rPr>
          <w:rFonts w:hint="cs"/>
          <w:rtl/>
          <w:lang w:bidi="ar-LB"/>
        </w:rPr>
        <w:t xml:space="preserve">؛ أمّا عن الذرية والأولاد فقد عبّر بـ </w:t>
      </w:r>
      <w:r w:rsidRPr="00A32FC0">
        <w:rPr>
          <w:rFonts w:hint="cs"/>
          <w:rtl/>
        </w:rPr>
        <w:t>«</w:t>
      </w:r>
      <w:r w:rsidRPr="00A32FC0">
        <w:rPr>
          <w:rFonts w:hint="cs"/>
          <w:rtl/>
          <w:lang w:bidi="ar-LB"/>
        </w:rPr>
        <w:t>الوليّ</w:t>
      </w:r>
      <w:r w:rsidRPr="00A32FC0">
        <w:rPr>
          <w:rFonts w:hint="cs"/>
          <w:rtl/>
        </w:rPr>
        <w:t>»</w:t>
      </w:r>
      <w:r w:rsidRPr="00A32FC0">
        <w:rPr>
          <w:rFonts w:hint="cs"/>
          <w:rtl/>
          <w:lang w:bidi="ar-LB"/>
        </w:rPr>
        <w:t>: ﴿</w:t>
      </w:r>
      <w:r w:rsidRPr="00A32FC0">
        <w:rPr>
          <w:b/>
          <w:bCs/>
          <w:rtl/>
        </w:rPr>
        <w:t xml:space="preserve">وَإِنِّي خِفْتُ الْمَوَالِيَ مِنْ وَرَائِي وَكَانَتْ امْرَأَتِي عَاقِراً فَهَبْ لِي مِنْ لَدُنْكَ وَلِيّاً </w:t>
      </w:r>
      <w:r w:rsidRPr="00A32FC0">
        <w:rPr>
          <w:rFonts w:hint="cs"/>
          <w:b/>
          <w:bCs/>
          <w:rtl/>
        </w:rPr>
        <w:t>*</w:t>
      </w:r>
      <w:r w:rsidRPr="00A32FC0">
        <w:rPr>
          <w:b/>
          <w:bCs/>
          <w:rtl/>
        </w:rPr>
        <w:t xml:space="preserve"> يَرِثُنِي وَيَرِثُ مِنْ آلِ يَعْقُوبَ وَاجْعَلْهُ رَبِّ رَضِيّاً</w:t>
      </w:r>
      <w:r w:rsidRPr="00EA09EB">
        <w:rPr>
          <w:rFonts w:hint="cs"/>
          <w:rtl/>
        </w:rPr>
        <w:t xml:space="preserve">﴾(مريم: 5 </w:t>
      </w:r>
      <w:r w:rsidRPr="00EA09EB">
        <w:rPr>
          <w:rtl/>
        </w:rPr>
        <w:t>ـ</w:t>
      </w:r>
      <w:r w:rsidRPr="00EA09EB">
        <w:rPr>
          <w:rFonts w:hint="cs"/>
          <w:rtl/>
        </w:rPr>
        <w:t xml:space="preserve"> 6)</w:t>
      </w:r>
      <w:r w:rsidRPr="00064619">
        <w:rPr>
          <w:rFonts w:cs="Taher"/>
          <w:vertAlign w:val="superscript"/>
          <w:rtl/>
          <w:lang w:bidi="ar-LB"/>
        </w:rPr>
        <w:t>(</w:t>
      </w:r>
      <w:r w:rsidRPr="00064619">
        <w:rPr>
          <w:rStyle w:val="FootnoteReference"/>
          <w:rFonts w:cs="Taher"/>
          <w:sz w:val="32"/>
          <w:rtl/>
          <w:lang w:bidi="ar-LB"/>
        </w:rPr>
        <w:footnoteReference w:id="144"/>
      </w:r>
      <w:r w:rsidRPr="00064619">
        <w:rPr>
          <w:rFonts w:cs="Taher"/>
          <w:vertAlign w:val="superscript"/>
          <w:rtl/>
          <w:lang w:bidi="ar-LB"/>
        </w:rPr>
        <w:t>)</w:t>
      </w:r>
      <w:r w:rsidRPr="00A32FC0">
        <w:rPr>
          <w:rFonts w:hint="cs"/>
          <w:rtl/>
          <w:lang w:bidi="ar-LB"/>
        </w:rPr>
        <w:t>.</w:t>
      </w:r>
    </w:p>
    <w:p w:rsidR="00EA09EB" w:rsidRPr="00A32FC0" w:rsidRDefault="00EA09EB" w:rsidP="00EA09EB">
      <w:pPr>
        <w:rPr>
          <w:rtl/>
          <w:lang w:bidi="ar-LB"/>
        </w:rPr>
      </w:pPr>
      <w:r w:rsidRPr="00A32FC0">
        <w:rPr>
          <w:rFonts w:hint="cs"/>
          <w:rtl/>
          <w:lang w:bidi="ar-LB"/>
        </w:rPr>
        <w:t xml:space="preserve">والمقصود من الأولياء في آية </w:t>
      </w:r>
      <w:r w:rsidRPr="00A32FC0">
        <w:rPr>
          <w:rFonts w:hint="cs"/>
          <w:rtl/>
        </w:rPr>
        <w:t>(</w:t>
      </w:r>
      <w:r w:rsidRPr="00A32FC0">
        <w:rPr>
          <w:rFonts w:hint="cs"/>
          <w:rtl/>
          <w:lang w:bidi="ar-LB"/>
        </w:rPr>
        <w:t>أولو الأرحام</w:t>
      </w:r>
      <w:r w:rsidRPr="00A32FC0">
        <w:rPr>
          <w:rFonts w:hint="cs"/>
          <w:rtl/>
        </w:rPr>
        <w:t>)</w:t>
      </w:r>
      <w:r w:rsidRPr="00A32FC0">
        <w:rPr>
          <w:rFonts w:hint="cs"/>
          <w:rtl/>
          <w:lang w:bidi="ar-LB"/>
        </w:rPr>
        <w:t>، وهي قوله تعالى: ﴿</w:t>
      </w:r>
      <w:r w:rsidRPr="00A32FC0">
        <w:rPr>
          <w:b/>
          <w:bCs/>
          <w:rtl/>
        </w:rPr>
        <w:t xml:space="preserve">وَأُوْلُو الأَرْحَامِ بَعْضُهُمْ أَوْلَى بِبَعْضٍ فِي </w:t>
      </w:r>
      <w:r>
        <w:rPr>
          <w:b/>
          <w:bCs/>
          <w:rtl/>
        </w:rPr>
        <w:t>كِتَابِ الل</w:t>
      </w:r>
      <w:r w:rsidRPr="00A32FC0">
        <w:rPr>
          <w:b/>
          <w:bCs/>
          <w:rtl/>
        </w:rPr>
        <w:t>هِ مِنْ الْمُؤْمِنِينَ وَالْمُهَاجِرِينَ إِلاَّ أَنْ تَفْعَلُوا إِلَى أَوْلِيَائِكُمْ مَعْرُوفاً</w:t>
      </w:r>
      <w:r w:rsidRPr="00EA09EB">
        <w:rPr>
          <w:rFonts w:hint="cs"/>
          <w:rtl/>
        </w:rPr>
        <w:t>﴾(الأحزاب: 6)، هو أصدقاء المؤمن</w:t>
      </w:r>
      <w:r w:rsidRPr="00064619">
        <w:rPr>
          <w:rFonts w:cs="Taher"/>
          <w:vertAlign w:val="superscript"/>
          <w:rtl/>
          <w:lang w:bidi="ar-LB"/>
        </w:rPr>
        <w:t>(</w:t>
      </w:r>
      <w:r w:rsidRPr="00064619">
        <w:rPr>
          <w:rStyle w:val="FootnoteReference"/>
          <w:rFonts w:cs="Taher"/>
          <w:sz w:val="32"/>
          <w:rtl/>
          <w:lang w:bidi="ar-LB"/>
        </w:rPr>
        <w:footnoteReference w:id="145"/>
      </w:r>
      <w:r w:rsidRPr="00064619">
        <w:rPr>
          <w:rFonts w:cs="Taher"/>
          <w:vertAlign w:val="superscript"/>
          <w:rtl/>
          <w:lang w:bidi="ar-LB"/>
        </w:rPr>
        <w:t>)</w:t>
      </w:r>
      <w:r w:rsidRPr="00A32FC0">
        <w:rPr>
          <w:rFonts w:hint="cs"/>
          <w:rtl/>
          <w:lang w:bidi="ar-LB"/>
        </w:rPr>
        <w:t>.</w:t>
      </w:r>
    </w:p>
    <w:p w:rsidR="00EA09EB" w:rsidRPr="00EA09EB" w:rsidRDefault="00EA09EB" w:rsidP="00635BE2">
      <w:pPr>
        <w:pStyle w:val="Normal93"/>
        <w:rPr>
          <w:rtl/>
        </w:rPr>
      </w:pPr>
      <w:r w:rsidRPr="00A32FC0">
        <w:rPr>
          <w:rFonts w:hint="cs"/>
          <w:rtl/>
        </w:rPr>
        <w:t>13</w:t>
      </w:r>
      <w:r w:rsidRPr="00A32FC0">
        <w:rPr>
          <w:rtl/>
        </w:rPr>
        <w:t>ـ</w:t>
      </w:r>
      <w:r w:rsidRPr="00A32FC0">
        <w:rPr>
          <w:rFonts w:hint="cs"/>
          <w:rtl/>
        </w:rPr>
        <w:t xml:space="preserve"> بالإضافة إلى الولاية الخاصّة بالرسول</w:t>
      </w:r>
      <w:r w:rsidRPr="00A32FC0">
        <w:rPr>
          <w:rFonts w:hint="cs"/>
          <w:rtl/>
        </w:rPr>
        <w:sym w:font="Roumouz" w:char="F02D"/>
      </w:r>
      <w:r w:rsidRPr="00A32FC0">
        <w:rPr>
          <w:rFonts w:hint="cs"/>
          <w:rtl/>
        </w:rPr>
        <w:t xml:space="preserve"> والإمام</w:t>
      </w:r>
      <w:r>
        <w:rPr>
          <w:rFonts w:hint="cs"/>
          <w:rtl/>
        </w:rPr>
        <w:t>×</w:t>
      </w:r>
      <w:r w:rsidRPr="00A32FC0">
        <w:rPr>
          <w:rFonts w:hint="cs"/>
          <w:rtl/>
        </w:rPr>
        <w:t xml:space="preserve">، والولايات الفقهية الخاصّة، أرسى القرآن للمؤمنين ولاية عامّة. والمراد من هذه الولاية العامّة هو ولاية كلّ فرد من أفراد المجتمع </w:t>
      </w:r>
      <w:r w:rsidRPr="00A32FC0">
        <w:rPr>
          <w:rtl/>
        </w:rPr>
        <w:t>ـ</w:t>
      </w:r>
      <w:r w:rsidRPr="00A32FC0">
        <w:rPr>
          <w:rFonts w:hint="cs"/>
          <w:rtl/>
        </w:rPr>
        <w:t xml:space="preserve"> سواء كان رجلاً أم امرأةً </w:t>
      </w:r>
      <w:r w:rsidRPr="00A32FC0">
        <w:rPr>
          <w:rtl/>
        </w:rPr>
        <w:t>ـ</w:t>
      </w:r>
      <w:r w:rsidRPr="00A32FC0">
        <w:rPr>
          <w:rFonts w:hint="cs"/>
          <w:rtl/>
        </w:rPr>
        <w:t xml:space="preserve"> على غيره من الأفراد. ويُراد منها أيضاً ولاية النصرة، وولاية الحبّ، وولاية الأمان، فإذا أعطى مسلمٌ الأمان لكافر فالمسلمون جميعاً ملزمون بهذا الأمان</w:t>
      </w:r>
      <w:r w:rsidRPr="00064619">
        <w:rPr>
          <w:rFonts w:cs="Taher"/>
          <w:vertAlign w:val="superscript"/>
          <w:rtl/>
        </w:rPr>
        <w:t>(</w:t>
      </w:r>
      <w:r w:rsidRPr="00064619">
        <w:rPr>
          <w:rStyle w:val="FootnoteReference"/>
          <w:rFonts w:cs="Taher"/>
          <w:sz w:val="32"/>
          <w:rtl/>
        </w:rPr>
        <w:footnoteReference w:id="146"/>
      </w:r>
      <w:r w:rsidRPr="00064619">
        <w:rPr>
          <w:rFonts w:cs="Taher"/>
          <w:vertAlign w:val="superscript"/>
          <w:rtl/>
        </w:rPr>
        <w:t>)</w:t>
      </w:r>
      <w:r w:rsidRPr="00EA09EB">
        <w:rPr>
          <w:rFonts w:hint="cs"/>
          <w:rtl/>
        </w:rPr>
        <w:t>. فأفراد الأمة الإسلامية متحابّون، ومتعاونون، وينصرون بعضهم بعضاً. وهذه الولاية الإيمانية العامّة تُعَدُّ أساس المجتمع الإسلاميّ. ووحدة الأمّة الإسلاميّة مبنيّة عليها: ﴿</w:t>
      </w:r>
      <w:r w:rsidRPr="00A32FC0">
        <w:rPr>
          <w:b/>
          <w:bCs/>
          <w:rtl/>
        </w:rPr>
        <w:t>وَالْمُؤْمِنُونَ وَالْمُؤْمِنَاتُ بَعْضُهُمْ أَوْلِيَاءُ بَعْضٍ يَأْمُرُونَ بِالْمَعْرُوفِ وَيَنْهَوْنَ عَنْ الْمُنكَرِ وَيُقِيمُونَ الصَّلاَةَ وَيُؤْتُو</w:t>
      </w:r>
      <w:r>
        <w:rPr>
          <w:b/>
          <w:bCs/>
          <w:rtl/>
        </w:rPr>
        <w:t>نَ الزَّكَاةَ وَيُطِيعُونَ الل</w:t>
      </w:r>
      <w:r w:rsidRPr="00A32FC0">
        <w:rPr>
          <w:b/>
          <w:bCs/>
          <w:rtl/>
        </w:rPr>
        <w:t>هَ وَرَسُولَهُ</w:t>
      </w:r>
      <w:r w:rsidRPr="00EA09EB">
        <w:rPr>
          <w:rFonts w:hint="cs"/>
          <w:rtl/>
        </w:rPr>
        <w:t>﴾(التوبة: 71).</w:t>
      </w:r>
    </w:p>
    <w:p w:rsidR="00EA09EB" w:rsidRPr="00A32FC0" w:rsidRDefault="00EA09EB" w:rsidP="00EA09EB">
      <w:pPr>
        <w:rPr>
          <w:rtl/>
          <w:lang w:bidi="ar-LB"/>
        </w:rPr>
      </w:pPr>
      <w:r w:rsidRPr="00A32FC0">
        <w:rPr>
          <w:rFonts w:hint="cs"/>
          <w:rtl/>
          <w:lang w:bidi="ar-LB"/>
        </w:rPr>
        <w:t>14</w:t>
      </w:r>
      <w:r w:rsidRPr="00A32FC0">
        <w:rPr>
          <w:rtl/>
          <w:lang w:bidi="ar-LB"/>
        </w:rPr>
        <w:t>ـ</w:t>
      </w:r>
      <w:r w:rsidRPr="00A32FC0">
        <w:rPr>
          <w:rFonts w:hint="cs"/>
          <w:rtl/>
          <w:lang w:bidi="ar-LB"/>
        </w:rPr>
        <w:t xml:space="preserve"> أحكام الولاية العامَّة للمؤمنين:</w:t>
      </w:r>
    </w:p>
    <w:p w:rsidR="00EA09EB" w:rsidRPr="00EA09EB" w:rsidRDefault="00EA09EB" w:rsidP="00635BE2">
      <w:pPr>
        <w:pStyle w:val="Normal93"/>
        <w:rPr>
          <w:rtl/>
        </w:rPr>
      </w:pPr>
      <w:r w:rsidRPr="007A340E">
        <w:rPr>
          <w:rFonts w:hint="cs"/>
          <w:b/>
          <w:bCs/>
          <w:rtl/>
        </w:rPr>
        <w:t>الأوّل</w:t>
      </w:r>
      <w:r w:rsidRPr="00EA09EB">
        <w:rPr>
          <w:rFonts w:hint="cs"/>
          <w:rtl/>
        </w:rPr>
        <w:t>: يُعَدُّ كلُّ فرد من الأمة الإسلاميّة «وليّاً» بالنسبة إلى غيره من الأفراد. وكلُّ مؤمن وليٌّ لمؤمن آخر.</w:t>
      </w:r>
    </w:p>
    <w:p w:rsidR="00EA09EB" w:rsidRPr="00EA09EB" w:rsidRDefault="00EA09EB" w:rsidP="00635BE2">
      <w:pPr>
        <w:pStyle w:val="Normal93"/>
        <w:rPr>
          <w:rtl/>
        </w:rPr>
      </w:pPr>
      <w:r w:rsidRPr="007A340E">
        <w:rPr>
          <w:rFonts w:hint="cs"/>
          <w:b/>
          <w:bCs/>
          <w:rtl/>
        </w:rPr>
        <w:t>الثاني</w:t>
      </w:r>
      <w:r w:rsidRPr="00EA09EB">
        <w:rPr>
          <w:rFonts w:hint="cs"/>
          <w:rtl/>
        </w:rPr>
        <w:t>: لا فرق في الولاية العامّة بين الرجال والنساء.</w:t>
      </w:r>
    </w:p>
    <w:p w:rsidR="00EA09EB" w:rsidRPr="00EA09EB" w:rsidRDefault="00EA09EB" w:rsidP="00635BE2">
      <w:pPr>
        <w:pStyle w:val="Normal93"/>
        <w:rPr>
          <w:rtl/>
        </w:rPr>
      </w:pPr>
      <w:r w:rsidRPr="007A340E">
        <w:rPr>
          <w:rFonts w:hint="cs"/>
          <w:b/>
          <w:bCs/>
          <w:rtl/>
        </w:rPr>
        <w:t>الثالث</w:t>
      </w:r>
      <w:r w:rsidRPr="00EA09EB">
        <w:rPr>
          <w:rFonts w:hint="cs"/>
          <w:rtl/>
        </w:rPr>
        <w:t>: إنّ جميع المسلمين من حيث الولاية العامّة سواء. والاستثناء الوحيد في هذا الموضوع هو أولويّة النبيّ على المؤمنين بحكم القرآن</w:t>
      </w:r>
      <w:r w:rsidRPr="00064619">
        <w:rPr>
          <w:rFonts w:cs="Taher"/>
          <w:sz w:val="32"/>
          <w:vertAlign w:val="superscript"/>
          <w:rtl/>
        </w:rPr>
        <w:t>(</w:t>
      </w:r>
      <w:r w:rsidRPr="00064619">
        <w:rPr>
          <w:rStyle w:val="FootnoteReference"/>
          <w:rFonts w:cs="Taher"/>
          <w:sz w:val="32"/>
          <w:rtl/>
        </w:rPr>
        <w:footnoteReference w:id="147"/>
      </w:r>
      <w:r w:rsidRPr="00064619">
        <w:rPr>
          <w:rFonts w:cs="Taher"/>
          <w:sz w:val="32"/>
          <w:vertAlign w:val="superscript"/>
          <w:rtl/>
        </w:rPr>
        <w:t>)</w:t>
      </w:r>
      <w:r w:rsidRPr="00EA09EB">
        <w:rPr>
          <w:rFonts w:hint="cs"/>
          <w:rtl/>
        </w:rPr>
        <w:t>. ويلحق به مَنْ كان بحكمه، أي الإمام المعصوم</w:t>
      </w:r>
      <w:r>
        <w:rPr>
          <w:rFonts w:hint="cs"/>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وعلى هذا الأساس فإنّ غير المعصومين، أو المسلمين في عصر غيبة المعصوم، سواسيةٌ في هذه الولاية. </w:t>
      </w:r>
    </w:p>
    <w:p w:rsidR="00EA09EB" w:rsidRPr="00EA09EB" w:rsidRDefault="00EA09EB" w:rsidP="00635BE2">
      <w:pPr>
        <w:pStyle w:val="Normal93"/>
        <w:rPr>
          <w:rtl/>
        </w:rPr>
      </w:pPr>
      <w:r w:rsidRPr="007A340E">
        <w:rPr>
          <w:rFonts w:hint="cs"/>
          <w:b/>
          <w:bCs/>
          <w:rtl/>
        </w:rPr>
        <w:t>الرابع</w:t>
      </w:r>
      <w:r w:rsidRPr="00EA09EB">
        <w:rPr>
          <w:rFonts w:hint="cs"/>
          <w:rtl/>
        </w:rPr>
        <w:t>: تساعد الولاية العامّة في الدرجة الأولى على الحبّ والتماسك الداخلي في المجتمع الإسلاميّ. وتؤكد في الدرجة الثانية على النصرة والتعاون بين أفراد المجتمع. وتؤدي في الدرجة الثالثة إلى نوع من المشاركة في إدارة شؤون المجتمع، بحيث تكون نتيجة هذه المشاركة الأمر بالمعروف، والنهي عن المنكر، وإقامة الصلاة، وإيتاء الزكاة، وإطاعة الله والرسول بشكل عامّ، كما ورد في الآية الكريمة. وبعبارة أخرى: إن الولاية العمومية هي الرصيد الاجتماعيّ لإقامة الدين.</w:t>
      </w:r>
    </w:p>
    <w:p w:rsidR="00EA09EB" w:rsidRPr="00EA09EB" w:rsidRDefault="00EA09EB" w:rsidP="00635BE2">
      <w:pPr>
        <w:pStyle w:val="Normal87"/>
        <w:rPr>
          <w:rtl/>
        </w:rPr>
      </w:pPr>
      <w:r w:rsidRPr="007A340E">
        <w:rPr>
          <w:rFonts w:hint="cs"/>
          <w:b/>
          <w:bCs/>
          <w:rtl/>
        </w:rPr>
        <w:t>الخامس</w:t>
      </w:r>
      <w:r w:rsidRPr="00EA09EB">
        <w:rPr>
          <w:rFonts w:hint="cs"/>
          <w:rtl/>
        </w:rPr>
        <w:t>: إنّ من لوازم الولاية العامّة مشاركة وإشراف عموم المسلمين.</w:t>
      </w:r>
    </w:p>
    <w:p w:rsidR="00EA09EB" w:rsidRPr="00EA09EB" w:rsidRDefault="00EA09EB" w:rsidP="00635BE2">
      <w:pPr>
        <w:pStyle w:val="Normal93"/>
        <w:rPr>
          <w:rtl/>
        </w:rPr>
      </w:pPr>
      <w:r w:rsidRPr="007A340E">
        <w:rPr>
          <w:rFonts w:hint="cs"/>
          <w:b/>
          <w:bCs/>
          <w:rtl/>
        </w:rPr>
        <w:t>السادس</w:t>
      </w:r>
      <w:r w:rsidRPr="00EA09EB">
        <w:rPr>
          <w:rFonts w:hint="cs"/>
          <w:rtl/>
        </w:rPr>
        <w:t>: إنّ نتيجة الولاية العامّة وحدةُ الأمة الإسلامية: ﴿</w:t>
      </w:r>
      <w:r w:rsidRPr="007A340E">
        <w:rPr>
          <w:b/>
          <w:bCs/>
          <w:rtl/>
        </w:rPr>
        <w:t>إِنَّمَا الْمُؤْمِنُونَ إِخْوَةٌ</w:t>
      </w:r>
      <w:r w:rsidRPr="00EA09EB">
        <w:rPr>
          <w:rFonts w:hint="cs"/>
          <w:rtl/>
        </w:rPr>
        <w:t>﴾(الحجرات: 10).</w:t>
      </w:r>
    </w:p>
    <w:p w:rsidR="00EA09EB" w:rsidRPr="00A32FC0" w:rsidRDefault="00EA09EB" w:rsidP="00635BE2">
      <w:pPr>
        <w:pStyle w:val="Normal87"/>
        <w:rPr>
          <w:rtl/>
        </w:rPr>
      </w:pPr>
      <w:r w:rsidRPr="00A32FC0">
        <w:rPr>
          <w:rFonts w:hint="cs"/>
          <w:b/>
          <w:bCs/>
          <w:rtl/>
        </w:rPr>
        <w:t>السابع</w:t>
      </w:r>
      <w:r w:rsidRPr="00A32FC0">
        <w:rPr>
          <w:rFonts w:hint="cs"/>
          <w:rtl/>
        </w:rPr>
        <w:t>: إنّ أيَّ نوع من أنواع التصرُّف ضمن الحدود الشرعية في الشؤون العامة للمجتمع الإسلاميّ منوطٌ بإذن الأولياء، أي إذن جميع أفراد الأمة من مؤمنين ومؤمنات. إنّ الولاية العامّة تختصّ بالرجال والنساء المنضوين تحت ولاية الله والرسول، أي بالمؤمنين والمؤمنات. فالولاية العامّة يمكن أن تكون أساساً للفلسفة السياسية الإسلاميّة في عصر المعصوم.</w:t>
      </w:r>
    </w:p>
    <w:p w:rsidR="00EA09EB" w:rsidRPr="00EA09EB" w:rsidRDefault="00EA09EB" w:rsidP="00635BE2">
      <w:pPr>
        <w:pStyle w:val="Normal87"/>
        <w:rPr>
          <w:rtl/>
        </w:rPr>
      </w:pPr>
      <w:r w:rsidRPr="00A32FC0">
        <w:rPr>
          <w:rFonts w:hint="cs"/>
          <w:rtl/>
        </w:rPr>
        <w:t>15</w:t>
      </w:r>
      <w:r w:rsidRPr="00A32FC0">
        <w:rPr>
          <w:rtl/>
        </w:rPr>
        <w:t>ـ</w:t>
      </w:r>
      <w:r w:rsidRPr="00A32FC0">
        <w:rPr>
          <w:rFonts w:hint="cs"/>
          <w:rtl/>
        </w:rPr>
        <w:t xml:space="preserve"> بالإضافة إلى الولاية العامّة للمؤمنين تحدّث القرآن عن ولاية عامّة للمهاجرين والأنصار في عصر البعثة. فالمؤمنون من المهاجرين والأنصار أولياءُ بعضهم البعض. والمؤمنون الذين لم يهاجروا غير مشمولين بهذه الولاية، حتّى يهاجروا. والمراد من هذه الولاية ولاية الإرث، وولاية النصرة، وولاية الأمان. والمؤمنون الذين لم يهاجروا لا تشملهم إلاّ ولاية النصرة، فهم محرومون من أقسام الولاية الأخرى: ﴿</w:t>
      </w:r>
      <w:r w:rsidRPr="00A32FC0">
        <w:rPr>
          <w:b/>
          <w:bCs/>
          <w:rtl/>
        </w:rPr>
        <w:t>إِنَّ الَّذِينَ آمَنُوا وَهَاجَرُوا وَجَاهَدُوا بِأَمْوَالِهِمْ</w:t>
      </w:r>
      <w:r>
        <w:rPr>
          <w:b/>
          <w:bCs/>
          <w:rtl/>
        </w:rPr>
        <w:t xml:space="preserve"> وَأَنفُسِهِمْ فِي سَبِيلِ الل</w:t>
      </w:r>
      <w:r w:rsidRPr="00A32FC0">
        <w:rPr>
          <w:b/>
          <w:bCs/>
          <w:rtl/>
        </w:rPr>
        <w:t>هِ وَالَّذِينَ آوَوا وَنَصَرُوا أُوْلَئِكَ بَعْضُهُمْ أَوْلِيَاءُ بَعْضٍ وَالَّذِينَ آمَنُوا وَلَمْ يُهَاجَرُوا مَا لَكُمْ مِنْ وَلاَيَتِهِمْ مِنْ شَيْءٍ حَتَّى يُهَاجِرُوا وَإِنْ اسْتَنصَرُوكُمْ فِي الدِّينِ فَعَلَيْكُمْ النَّصْرُ إِلاَّ عَلَى قَوْمٍ بَيْنَكُمْ وَبَيْنَهُمْ مِيثَاقٌ</w:t>
      </w:r>
      <w:r w:rsidRPr="00EA09EB">
        <w:rPr>
          <w:rFonts w:hint="cs"/>
          <w:rtl/>
        </w:rPr>
        <w:t>﴾(الأنفال: 72). وعلى أساس هذه الولاية العامّة للمهاجرين والأنصار قام النبي</w:t>
      </w:r>
      <w:r w:rsidRPr="00EA09EB">
        <w:rPr>
          <w:rFonts w:hint="cs"/>
          <w:rtl/>
        </w:rPr>
        <w:sym w:font="Roumouz" w:char="F02D"/>
      </w:r>
      <w:r w:rsidRPr="00EA09EB">
        <w:rPr>
          <w:rFonts w:hint="cs"/>
          <w:rtl/>
        </w:rPr>
        <w:t xml:space="preserve"> بتأسيس المدينة المنوَّرة. فالولاية العامّة كانت فاتحة الحضارة الإسلاميّة. وقد نُسِخت ولاية الإرث المبنيّة على الأخوّة الدينية بولاية الإرث على أساس القرابة الرحمية</w:t>
      </w:r>
      <w:r w:rsidRPr="00064619">
        <w:rPr>
          <w:rFonts w:cs="Taher"/>
          <w:vertAlign w:val="superscript"/>
          <w:rtl/>
        </w:rPr>
        <w:t>(</w:t>
      </w:r>
      <w:r w:rsidRPr="00064619">
        <w:rPr>
          <w:rStyle w:val="FootnoteReference"/>
          <w:rFonts w:cs="Taher"/>
          <w:sz w:val="32"/>
          <w:rtl/>
        </w:rPr>
        <w:footnoteReference w:id="148"/>
      </w:r>
      <w:r w:rsidRPr="00064619">
        <w:rPr>
          <w:rFonts w:cs="Taher"/>
          <w:vertAlign w:val="superscript"/>
          <w:rtl/>
        </w:rPr>
        <w:t>)</w:t>
      </w:r>
      <w:r w:rsidRPr="00EA09EB">
        <w:rPr>
          <w:rFonts w:hint="cs"/>
          <w:rtl/>
        </w:rPr>
        <w:t xml:space="preserve">. </w:t>
      </w:r>
    </w:p>
    <w:p w:rsidR="00EA09EB" w:rsidRPr="00A32FC0" w:rsidRDefault="00EA09EB" w:rsidP="00EA09EB">
      <w:pPr>
        <w:rPr>
          <w:rtl/>
          <w:lang w:bidi="ar-LB"/>
        </w:rPr>
      </w:pPr>
      <w:r w:rsidRPr="00A32FC0">
        <w:rPr>
          <w:rFonts w:hint="cs"/>
          <w:rtl/>
          <w:lang w:bidi="ar-LB"/>
        </w:rPr>
        <w:t>16</w:t>
      </w:r>
      <w:r w:rsidRPr="00A32FC0">
        <w:rPr>
          <w:rtl/>
          <w:lang w:bidi="ar-LB"/>
        </w:rPr>
        <w:t>ـ</w:t>
      </w:r>
      <w:r w:rsidRPr="00A32FC0">
        <w:rPr>
          <w:rFonts w:hint="cs"/>
          <w:rtl/>
          <w:lang w:bidi="ar-LB"/>
        </w:rPr>
        <w:t xml:space="preserve"> تعرَّض القرآن الكريم للأبعاد المختلفة للولاية السلبيّة في آيات متعدِّدة.</w:t>
      </w:r>
    </w:p>
    <w:p w:rsidR="00EA09EB" w:rsidRPr="00EA09EB" w:rsidRDefault="00EA09EB" w:rsidP="007A340E">
      <w:pPr>
        <w:ind w:firstLine="283"/>
        <w:rPr>
          <w:rtl/>
        </w:rPr>
      </w:pPr>
      <w:r w:rsidRPr="007A340E">
        <w:rPr>
          <w:rFonts w:hint="cs"/>
          <w:b/>
          <w:bCs/>
          <w:rtl/>
        </w:rPr>
        <w:t>الأول</w:t>
      </w:r>
      <w:r w:rsidRPr="00EA09EB">
        <w:rPr>
          <w:rFonts w:hint="cs"/>
          <w:rtl/>
        </w:rPr>
        <w:t>: إن الذين لم يقبلوا ولاية الله ضالّون: ﴿</w:t>
      </w:r>
      <w:r w:rsidRPr="007A340E">
        <w:rPr>
          <w:b/>
          <w:bCs/>
          <w:rtl/>
        </w:rPr>
        <w:t>وَمَنْ يُضْلِلْ فَلَنْ تَجِدَ لَهُمْ أَوْلِيَاءَ مِنْ دُونِهِ</w:t>
      </w:r>
      <w:r w:rsidRPr="00EA09EB">
        <w:rPr>
          <w:rFonts w:hint="cs"/>
          <w:rtl/>
        </w:rPr>
        <w:t>﴾(الإسراء: 97). والضالّون من وجهة نظر عقائديّة كفّارٌ: ﴿</w:t>
      </w:r>
      <w:r w:rsidRPr="007A340E">
        <w:rPr>
          <w:b/>
          <w:bCs/>
          <w:rtl/>
        </w:rPr>
        <w:t>وَالَّذِينَ كَفَرُوا أَوْلِيَاؤُهُمْ الطَّاغُوتُ</w:t>
      </w:r>
      <w:r w:rsidRPr="00EA09EB">
        <w:rPr>
          <w:rFonts w:hint="cs"/>
          <w:rtl/>
        </w:rPr>
        <w:t>﴾(البقرة: 257)، ومن وجهة عمليّة هم ظالمون: ﴿</w:t>
      </w:r>
      <w:r w:rsidRPr="007A340E">
        <w:rPr>
          <w:b/>
          <w:bCs/>
          <w:rtl/>
        </w:rPr>
        <w:t>وَالظَّالِمُونَ مَا لَهُمْ مِنْ وَلِيٍّ وَلاَ نَصِيرٍ</w:t>
      </w:r>
      <w:r w:rsidRPr="00EA09EB">
        <w:rPr>
          <w:rFonts w:hint="cs"/>
          <w:rtl/>
        </w:rPr>
        <w:t>﴾(الشورى: 8).</w:t>
      </w:r>
    </w:p>
    <w:p w:rsidR="00EA09EB" w:rsidRPr="00EA09EB" w:rsidRDefault="00EA09EB" w:rsidP="007A340E">
      <w:pPr>
        <w:ind w:firstLine="283"/>
        <w:rPr>
          <w:rtl/>
        </w:rPr>
      </w:pPr>
      <w:r w:rsidRPr="007A340E">
        <w:rPr>
          <w:rFonts w:hint="cs"/>
          <w:b/>
          <w:bCs/>
          <w:rtl/>
        </w:rPr>
        <w:t>الثاني</w:t>
      </w:r>
      <w:r w:rsidRPr="00EA09EB">
        <w:rPr>
          <w:rFonts w:hint="cs"/>
          <w:rtl/>
        </w:rPr>
        <w:t>: عرّف القرآن أصحاب الولاية السلبيّة بأنهم الشيطان والطاغوت: ﴿</w:t>
      </w:r>
      <w:r w:rsidRPr="007A340E">
        <w:rPr>
          <w:b/>
          <w:bCs/>
          <w:rtl/>
        </w:rPr>
        <w:t>إِنَّا جَعَلْنَا الشَّيَاطِينَ أَوْلِيَاءَ لِلَّذِينَ لاَ يُؤْمِنُونَ</w:t>
      </w:r>
      <w:r w:rsidRPr="00EA09EB">
        <w:rPr>
          <w:rFonts w:hint="cs"/>
          <w:rtl/>
        </w:rPr>
        <w:t>﴾(الأعراف: 27)، ﴿</w:t>
      </w:r>
      <w:r w:rsidRPr="007A340E">
        <w:rPr>
          <w:b/>
          <w:bCs/>
          <w:rtl/>
        </w:rPr>
        <w:t>وَالَّذِينَ كَفَرُوا أَوْلِيَاؤُهُمْ الطَّاغُوتُ يُخْرِجُونَهُمْ مِنْ النُّورِ إِلَى الظُّلُمَاتِ</w:t>
      </w:r>
      <w:r w:rsidRPr="00EA09EB">
        <w:rPr>
          <w:rFonts w:hint="cs"/>
          <w:rtl/>
        </w:rPr>
        <w:t>﴾(البقرة: 257).</w:t>
      </w:r>
    </w:p>
    <w:p w:rsidR="00EA09EB" w:rsidRPr="00EA09EB" w:rsidRDefault="00EA09EB" w:rsidP="007A340E">
      <w:pPr>
        <w:ind w:firstLine="283"/>
        <w:rPr>
          <w:rtl/>
        </w:rPr>
      </w:pPr>
      <w:r w:rsidRPr="007A340E">
        <w:rPr>
          <w:rFonts w:hint="cs"/>
          <w:b/>
          <w:bCs/>
          <w:rtl/>
        </w:rPr>
        <w:t>الثالث</w:t>
      </w:r>
      <w:r w:rsidRPr="00EA09EB">
        <w:rPr>
          <w:rFonts w:hint="cs"/>
          <w:rtl/>
        </w:rPr>
        <w:t>: إن التقابل بين ولاية الله وولاية الشيطان تقابل بين السلب والإيجاب، فالذي يخرج من تحت ولاية الله يدخل تلقائياً تحت ولاية الشيطان.</w:t>
      </w:r>
    </w:p>
    <w:p w:rsidR="00EA09EB" w:rsidRPr="00EA09EB" w:rsidRDefault="00EA09EB" w:rsidP="007A340E">
      <w:pPr>
        <w:ind w:firstLine="283"/>
        <w:rPr>
          <w:rtl/>
        </w:rPr>
      </w:pPr>
      <w:r w:rsidRPr="007A340E">
        <w:rPr>
          <w:rFonts w:hint="cs"/>
          <w:b/>
          <w:bCs/>
          <w:rtl/>
        </w:rPr>
        <w:t>الرابع</w:t>
      </w:r>
      <w:r w:rsidRPr="00EA09EB">
        <w:rPr>
          <w:rFonts w:hint="cs"/>
          <w:rtl/>
        </w:rPr>
        <w:t>: مع أن الشيطان وأولياءَه خارجون عن الولاية التشريعية الإلهية، إلاّ أنهم ـ وكجميع المخلوقات في الكون ـ تحت الولاية التكوينية لله. وهذا هو السرّ في جعل الله الشيطان ولياً للكافرين</w:t>
      </w:r>
      <w:r w:rsidRPr="00064619">
        <w:rPr>
          <w:rFonts w:cs="Taher"/>
          <w:sz w:val="32"/>
          <w:vertAlign w:val="superscript"/>
          <w:rtl/>
          <w:lang w:bidi="ar-LB"/>
        </w:rPr>
        <w:t>(</w:t>
      </w:r>
      <w:r w:rsidRPr="00064619">
        <w:rPr>
          <w:rStyle w:val="FootnoteReference"/>
          <w:rFonts w:cs="Taher"/>
          <w:sz w:val="32"/>
          <w:rtl/>
          <w:lang w:bidi="ar-LB"/>
        </w:rPr>
        <w:footnoteReference w:id="149"/>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الخامس</w:t>
      </w:r>
      <w:r w:rsidRPr="00EA09EB">
        <w:rPr>
          <w:rFonts w:hint="cs"/>
          <w:rtl/>
        </w:rPr>
        <w:t>: ليس للكفار والظالمين وليّ حقيقيٌّ في الدنيا: ﴿</w:t>
      </w:r>
      <w:r w:rsidRPr="007A340E">
        <w:rPr>
          <w:b/>
          <w:bCs/>
          <w:rtl/>
        </w:rPr>
        <w:t>وَالظَّالِمُونَ مَا لَهُمْ مِنْ وَلِيٍّ وَلاَ نَصِيرٍ</w:t>
      </w:r>
      <w:r w:rsidRPr="00EA09EB">
        <w:rPr>
          <w:rFonts w:hint="cs"/>
          <w:rtl/>
        </w:rPr>
        <w:t>﴾(الشورى: 8)، ﴿</w:t>
      </w:r>
      <w:r w:rsidRPr="007A340E">
        <w:rPr>
          <w:b/>
          <w:bCs/>
          <w:rtl/>
        </w:rPr>
        <w:t>وَمَا لَهُمْ فِي الأَرْضِ مِنْ وَلِيٍّ وَلاَ نَصِيرٍ</w:t>
      </w:r>
      <w:r w:rsidRPr="00EA09EB">
        <w:rPr>
          <w:rFonts w:hint="cs"/>
          <w:rtl/>
        </w:rPr>
        <w:t>﴾(التوبة: 74)؛ وذلك لأنّ الشيطان والطاغوت لا يصلحون للولاية.</w:t>
      </w:r>
    </w:p>
    <w:p w:rsidR="00EA09EB" w:rsidRPr="00EA09EB" w:rsidRDefault="00EA09EB" w:rsidP="007A340E">
      <w:pPr>
        <w:ind w:firstLine="283"/>
        <w:rPr>
          <w:rtl/>
        </w:rPr>
      </w:pPr>
      <w:r w:rsidRPr="007A340E">
        <w:rPr>
          <w:rFonts w:hint="cs"/>
          <w:b/>
          <w:bCs/>
          <w:rtl/>
        </w:rPr>
        <w:t>السادس</w:t>
      </w:r>
      <w:r w:rsidRPr="00EA09EB">
        <w:rPr>
          <w:rFonts w:hint="cs"/>
          <w:rtl/>
        </w:rPr>
        <w:t>: يدرك الضالون في الآخرة أنه لا وليّ لهم ولا نصير: ﴿</w:t>
      </w:r>
      <w:r w:rsidRPr="007A340E">
        <w:rPr>
          <w:b/>
          <w:bCs/>
          <w:rtl/>
        </w:rPr>
        <w:t>خَالِدِينَ فِيهَا أَبَداً لاَ يَجِدُونَ وَلِيّاً وَلاَ نَصِيراً</w:t>
      </w:r>
      <w:r w:rsidRPr="00EA09EB">
        <w:rPr>
          <w:rFonts w:hint="cs"/>
          <w:rtl/>
        </w:rPr>
        <w:t>﴾(الأحزاب: 65)، ﴿</w:t>
      </w:r>
      <w:r w:rsidRPr="007A340E">
        <w:rPr>
          <w:b/>
          <w:bCs/>
          <w:rtl/>
        </w:rPr>
        <w:t>وَأَنَّ الْكَافِرِينَ لاَ مَوْلَى لَهُمْ</w:t>
      </w:r>
      <w:r w:rsidRPr="00EA09EB">
        <w:rPr>
          <w:rFonts w:hint="cs"/>
          <w:rtl/>
        </w:rPr>
        <w:t>﴾(محمد: 11)، و﴿</w:t>
      </w:r>
      <w:r w:rsidRPr="007A340E">
        <w:rPr>
          <w:b/>
          <w:bCs/>
          <w:rtl/>
        </w:rPr>
        <w:t>مَأْوَاكُمْ النَّارُ هِيَ مَوْلاَكُمْ وَبِئْسَ الْمَصِيرُ</w:t>
      </w:r>
      <w:r w:rsidRPr="00EA09EB">
        <w:rPr>
          <w:rFonts w:hint="cs"/>
          <w:rtl/>
        </w:rPr>
        <w:t>﴾(الحديد: 15).</w:t>
      </w:r>
    </w:p>
    <w:p w:rsidR="00EA09EB" w:rsidRPr="00EA09EB" w:rsidRDefault="00EA09EB" w:rsidP="007A340E">
      <w:pPr>
        <w:ind w:firstLine="283"/>
        <w:rPr>
          <w:rtl/>
        </w:rPr>
      </w:pPr>
      <w:r w:rsidRPr="007A340E">
        <w:rPr>
          <w:rFonts w:hint="cs"/>
          <w:b/>
          <w:bCs/>
          <w:rtl/>
        </w:rPr>
        <w:t>السابع</w:t>
      </w:r>
      <w:r w:rsidRPr="00EA09EB">
        <w:rPr>
          <w:rFonts w:hint="cs"/>
          <w:rtl/>
        </w:rPr>
        <w:t>: ومن مضارّ الولاية الشيطانية: العذاب الأخروي</w:t>
      </w:r>
      <w:r w:rsidRPr="00064619">
        <w:rPr>
          <w:rFonts w:cs="Taher"/>
          <w:sz w:val="32"/>
          <w:vertAlign w:val="superscript"/>
          <w:rtl/>
          <w:lang w:bidi="ar-LB"/>
        </w:rPr>
        <w:t>(</w:t>
      </w:r>
      <w:r w:rsidRPr="00064619">
        <w:rPr>
          <w:rStyle w:val="FootnoteReference"/>
          <w:rFonts w:cs="Taher"/>
          <w:sz w:val="32"/>
          <w:rtl/>
          <w:lang w:bidi="ar-LB"/>
        </w:rPr>
        <w:footnoteReference w:id="150"/>
      </w:r>
      <w:r w:rsidRPr="00064619">
        <w:rPr>
          <w:rFonts w:cs="Taher"/>
          <w:sz w:val="32"/>
          <w:vertAlign w:val="superscript"/>
          <w:rtl/>
          <w:lang w:bidi="ar-LB"/>
        </w:rPr>
        <w:t>)</w:t>
      </w:r>
      <w:r w:rsidRPr="00EA09EB">
        <w:rPr>
          <w:rFonts w:hint="cs"/>
          <w:rtl/>
        </w:rPr>
        <w:t>، والخسران المبين</w:t>
      </w:r>
      <w:r w:rsidRPr="00064619">
        <w:rPr>
          <w:rFonts w:cs="Taher"/>
          <w:sz w:val="32"/>
          <w:vertAlign w:val="superscript"/>
          <w:rtl/>
          <w:lang w:bidi="ar-LB"/>
        </w:rPr>
        <w:t>(</w:t>
      </w:r>
      <w:r w:rsidRPr="00064619">
        <w:rPr>
          <w:rStyle w:val="FootnoteReference"/>
          <w:rFonts w:cs="Taher"/>
          <w:sz w:val="32"/>
          <w:rtl/>
          <w:lang w:bidi="ar-LB"/>
        </w:rPr>
        <w:footnoteReference w:id="151"/>
      </w:r>
      <w:r w:rsidRPr="00064619">
        <w:rPr>
          <w:rFonts w:cs="Taher"/>
          <w:sz w:val="32"/>
          <w:vertAlign w:val="superscript"/>
          <w:rtl/>
          <w:lang w:bidi="ar-LB"/>
        </w:rPr>
        <w:t>)</w:t>
      </w:r>
      <w:r w:rsidRPr="00EA09EB">
        <w:rPr>
          <w:rFonts w:hint="cs"/>
          <w:rtl/>
        </w:rPr>
        <w:t>، وتزيين الأعمال</w:t>
      </w:r>
      <w:r w:rsidRPr="00064619">
        <w:rPr>
          <w:rFonts w:cs="Taher"/>
          <w:sz w:val="32"/>
          <w:vertAlign w:val="superscript"/>
          <w:rtl/>
          <w:lang w:bidi="ar-LB"/>
        </w:rPr>
        <w:t>(</w:t>
      </w:r>
      <w:r w:rsidRPr="00064619">
        <w:rPr>
          <w:rStyle w:val="FootnoteReference"/>
          <w:rFonts w:cs="Taher"/>
          <w:sz w:val="32"/>
          <w:rtl/>
          <w:lang w:bidi="ar-LB"/>
        </w:rPr>
        <w:footnoteReference w:id="152"/>
      </w:r>
      <w:r w:rsidRPr="00064619">
        <w:rPr>
          <w:rFonts w:cs="Taher"/>
          <w:sz w:val="32"/>
          <w:vertAlign w:val="superscript"/>
          <w:rtl/>
          <w:lang w:bidi="ar-LB"/>
        </w:rPr>
        <w:t>)</w:t>
      </w:r>
      <w:r w:rsidRPr="00EA09EB">
        <w:rPr>
          <w:rFonts w:hint="cs"/>
          <w:rtl/>
        </w:rPr>
        <w:t>، وتخويف الأولياء</w:t>
      </w:r>
      <w:r w:rsidRPr="00064619">
        <w:rPr>
          <w:rFonts w:cs="Taher"/>
          <w:sz w:val="32"/>
          <w:vertAlign w:val="superscript"/>
          <w:rtl/>
          <w:lang w:bidi="ar-LB"/>
        </w:rPr>
        <w:t>(</w:t>
      </w:r>
      <w:r w:rsidRPr="00064619">
        <w:rPr>
          <w:rStyle w:val="FootnoteReference"/>
          <w:rFonts w:cs="Taher"/>
          <w:sz w:val="32"/>
          <w:rtl/>
          <w:lang w:bidi="ar-LB"/>
        </w:rPr>
        <w:footnoteReference w:id="153"/>
      </w:r>
      <w:r w:rsidRPr="00064619">
        <w:rPr>
          <w:rFonts w:cs="Taher"/>
          <w:sz w:val="32"/>
          <w:vertAlign w:val="superscript"/>
          <w:rtl/>
          <w:lang w:bidi="ar-LB"/>
        </w:rPr>
        <w:t>)</w:t>
      </w:r>
      <w:r w:rsidRPr="00EA09EB">
        <w:rPr>
          <w:rFonts w:hint="cs"/>
          <w:rtl/>
        </w:rPr>
        <w:t>، والمجادلة</w:t>
      </w:r>
      <w:r w:rsidRPr="00064619">
        <w:rPr>
          <w:rFonts w:cs="Taher"/>
          <w:sz w:val="32"/>
          <w:vertAlign w:val="superscript"/>
          <w:rtl/>
          <w:lang w:bidi="ar-LB"/>
        </w:rPr>
        <w:t>(</w:t>
      </w:r>
      <w:r w:rsidRPr="00064619">
        <w:rPr>
          <w:rStyle w:val="FootnoteReference"/>
          <w:rFonts w:cs="Taher"/>
          <w:sz w:val="32"/>
          <w:rtl/>
          <w:lang w:bidi="ar-LB"/>
        </w:rPr>
        <w:footnoteReference w:id="154"/>
      </w:r>
      <w:r w:rsidRPr="00064619">
        <w:rPr>
          <w:rFonts w:cs="Taher"/>
          <w:sz w:val="32"/>
          <w:vertAlign w:val="superscript"/>
          <w:rtl/>
          <w:lang w:bidi="ar-LB"/>
        </w:rPr>
        <w:t>)</w:t>
      </w:r>
      <w:r w:rsidRPr="00EA09EB">
        <w:rPr>
          <w:rFonts w:hint="cs"/>
          <w:rtl/>
        </w:rPr>
        <w:t>. والشيطان في الواقع بئس الوليّ</w:t>
      </w:r>
      <w:r w:rsidRPr="00064619">
        <w:rPr>
          <w:rFonts w:cs="Taher"/>
          <w:sz w:val="32"/>
          <w:vertAlign w:val="superscript"/>
          <w:rtl/>
          <w:lang w:bidi="ar-LB"/>
        </w:rPr>
        <w:t>(</w:t>
      </w:r>
      <w:r w:rsidRPr="00064619">
        <w:rPr>
          <w:rStyle w:val="FootnoteReference"/>
          <w:rFonts w:cs="Taher"/>
          <w:sz w:val="32"/>
          <w:rtl/>
          <w:lang w:bidi="ar-LB"/>
        </w:rPr>
        <w:footnoteReference w:id="155"/>
      </w:r>
      <w:r w:rsidRPr="00064619">
        <w:rPr>
          <w:rFonts w:cs="Taher"/>
          <w:sz w:val="32"/>
          <w:vertAlign w:val="superscript"/>
          <w:rtl/>
          <w:lang w:bidi="ar-LB"/>
        </w:rPr>
        <w:t>)</w:t>
      </w:r>
      <w:r w:rsidRPr="00EA09EB">
        <w:rPr>
          <w:rFonts w:hint="cs"/>
          <w:rtl/>
        </w:rPr>
        <w:t>. وبناءُ أولياء الشيطان وَهِنٌ غيرُ مُحْكَم</w:t>
      </w:r>
      <w:r w:rsidRPr="00064619">
        <w:rPr>
          <w:rFonts w:cs="Taher"/>
          <w:sz w:val="32"/>
          <w:vertAlign w:val="superscript"/>
          <w:rtl/>
          <w:lang w:bidi="ar-LB"/>
        </w:rPr>
        <w:t>(</w:t>
      </w:r>
      <w:r w:rsidRPr="00064619">
        <w:rPr>
          <w:rStyle w:val="FootnoteReference"/>
          <w:rFonts w:cs="Taher"/>
          <w:sz w:val="32"/>
          <w:rtl/>
          <w:lang w:bidi="ar-LB"/>
        </w:rPr>
        <w:footnoteReference w:id="156"/>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الثامن</w:t>
      </w:r>
      <w:r w:rsidRPr="00EA09EB">
        <w:rPr>
          <w:rFonts w:hint="cs"/>
          <w:rtl/>
        </w:rPr>
        <w:t>: تقتصر سلطة الشيطان على أتباعه: ﴿</w:t>
      </w:r>
      <w:r w:rsidRPr="007A340E">
        <w:rPr>
          <w:b/>
          <w:bCs/>
          <w:rtl/>
        </w:rPr>
        <w:t>إِنَّمَا سُلْطَانُهُ عَلَى الَّذِينَ يَتَوَلَّوْنَهُ وَالَّذِينَ هُمْ بِهِ مُشْرِكُونَ</w:t>
      </w:r>
      <w:r w:rsidRPr="00EA09EB">
        <w:rPr>
          <w:rFonts w:hint="cs"/>
          <w:rtl/>
        </w:rPr>
        <w:t>﴾(النحل: 100).</w:t>
      </w:r>
    </w:p>
    <w:p w:rsidR="00EA09EB" w:rsidRPr="00EA09EB" w:rsidRDefault="00EA09EB" w:rsidP="007A340E">
      <w:pPr>
        <w:ind w:firstLine="283"/>
        <w:rPr>
          <w:rtl/>
        </w:rPr>
      </w:pPr>
      <w:r w:rsidRPr="007A340E">
        <w:rPr>
          <w:rFonts w:hint="cs"/>
          <w:b/>
          <w:bCs/>
          <w:rtl/>
        </w:rPr>
        <w:t>التاسع</w:t>
      </w:r>
      <w:r w:rsidRPr="00EA09EB">
        <w:rPr>
          <w:rFonts w:hint="cs"/>
          <w:rtl/>
        </w:rPr>
        <w:t>: إنّ للكفار والظالمين ولايةً على بعضهم. وهذه الولاية العامّة للكفار والظالمين هي ولاية حبّ، وولاية نصرة: ﴿</w:t>
      </w:r>
      <w:r w:rsidRPr="007A340E">
        <w:rPr>
          <w:b/>
          <w:bCs/>
          <w:rtl/>
        </w:rPr>
        <w:t>وَإِنَّ الظَّالِمِينَ بَعْضُهُمْ أَوْلِيَاءُ بَعْضٍ</w:t>
      </w:r>
      <w:r w:rsidRPr="00EA09EB">
        <w:rPr>
          <w:rFonts w:hint="cs"/>
          <w:rtl/>
        </w:rPr>
        <w:t>﴾(الجاثية: 19)، ﴿</w:t>
      </w:r>
      <w:r w:rsidRPr="007A340E">
        <w:rPr>
          <w:b/>
          <w:bCs/>
          <w:rtl/>
        </w:rPr>
        <w:t>وَالَّذِينَ كَفَرُوا بَعْضُهُمْ أَوْلِيَاءُ بَعْضٍ</w:t>
      </w:r>
      <w:r w:rsidRPr="00EA09EB">
        <w:rPr>
          <w:rFonts w:hint="cs"/>
          <w:rtl/>
        </w:rPr>
        <w:t>﴾(المائدة: 51؛ الأنفال: 73).</w:t>
      </w:r>
    </w:p>
    <w:p w:rsidR="00EA09EB" w:rsidRPr="00EA09EB" w:rsidRDefault="00EA09EB" w:rsidP="007A340E">
      <w:pPr>
        <w:ind w:firstLine="283"/>
        <w:rPr>
          <w:rtl/>
        </w:rPr>
      </w:pPr>
      <w:r w:rsidRPr="007A340E">
        <w:rPr>
          <w:rFonts w:hint="cs"/>
          <w:b/>
          <w:bCs/>
          <w:rtl/>
        </w:rPr>
        <w:t>العاشر</w:t>
      </w:r>
      <w:r w:rsidRPr="00EA09EB">
        <w:rPr>
          <w:rFonts w:hint="cs"/>
          <w:rtl/>
        </w:rPr>
        <w:t>: إنّ المراد من ولاية الشيطان هو الأعم من الولاية التدبيرية، وولاية النصرة، وولاية الحبّ.</w:t>
      </w:r>
    </w:p>
    <w:p w:rsidR="00EA09EB" w:rsidRPr="00A32FC0" w:rsidRDefault="00EA09EB" w:rsidP="00EA09EB">
      <w:pPr>
        <w:rPr>
          <w:rtl/>
          <w:lang w:bidi="ar-LB"/>
        </w:rPr>
      </w:pPr>
      <w:r w:rsidRPr="00A32FC0">
        <w:rPr>
          <w:rFonts w:hint="cs"/>
          <w:rtl/>
          <w:lang w:bidi="ar-LB"/>
        </w:rPr>
        <w:t>17</w:t>
      </w:r>
      <w:r w:rsidRPr="00A32FC0">
        <w:rPr>
          <w:rtl/>
          <w:lang w:bidi="ar-LB"/>
        </w:rPr>
        <w:t>ـ</w:t>
      </w:r>
      <w:r w:rsidRPr="00A32FC0">
        <w:rPr>
          <w:rFonts w:hint="cs"/>
          <w:rtl/>
          <w:lang w:bidi="ar-LB"/>
        </w:rPr>
        <w:t xml:space="preserve"> لقد نهى القرآن الكريم المؤمنين بشدّة عن اتخاذ غير المؤمنين أولياء لهم.</w:t>
      </w:r>
    </w:p>
    <w:p w:rsidR="00EA09EB" w:rsidRPr="00A32FC0" w:rsidRDefault="00EA09EB" w:rsidP="00EA09EB">
      <w:pPr>
        <w:rPr>
          <w:rtl/>
          <w:lang w:bidi="ar-LB"/>
        </w:rPr>
      </w:pPr>
      <w:r w:rsidRPr="00A32FC0">
        <w:rPr>
          <w:rFonts w:hint="cs"/>
          <w:rtl/>
          <w:lang w:bidi="ar-LB"/>
        </w:rPr>
        <w:t>وقد عبَّر القرآن الكريم عن غير المؤمنين بأنهم الكفار وأهل الكتاب، المغضوب عليهم، أعداء الله، وأعداء المؤمنين، أولئك الذين اتخذوا ديننا هزواً ولعباً.</w:t>
      </w:r>
    </w:p>
    <w:p w:rsidR="00EA09EB" w:rsidRPr="00A32FC0" w:rsidRDefault="00EA09EB" w:rsidP="00EA09EB">
      <w:pPr>
        <w:rPr>
          <w:rtl/>
          <w:lang w:bidi="ar-LB"/>
        </w:rPr>
      </w:pPr>
      <w:r w:rsidRPr="00A32FC0">
        <w:rPr>
          <w:rFonts w:hint="cs"/>
          <w:rtl/>
          <w:lang w:bidi="ar-LB"/>
        </w:rPr>
        <w:t>وهذه بعض نماذج نهي القرآن الكريم عن ولاية غير المؤمنين:</w:t>
      </w:r>
    </w:p>
    <w:p w:rsidR="00EA09EB" w:rsidRPr="00A32FC0" w:rsidRDefault="00EA09EB" w:rsidP="00EA09EB">
      <w:pPr>
        <w:rPr>
          <w:rtl/>
          <w:lang w:bidi="ar-LB"/>
        </w:rPr>
      </w:pPr>
      <w:r w:rsidRPr="00EA09EB">
        <w:rPr>
          <w:rFonts w:hint="cs"/>
          <w:rtl/>
        </w:rPr>
        <w:t>أـ ﴿</w:t>
      </w:r>
      <w:r w:rsidRPr="00A32FC0">
        <w:rPr>
          <w:b/>
          <w:bCs/>
          <w:rtl/>
        </w:rPr>
        <w:t>يَا أَيُّهَا الَّذِينَ آمَنُوا لاَ تَتَّخِذُوا الْيَهُودَ وَالنَّصَارَى أَوْلِيَاءَ بَعْضُهُمْ أَوْلِيَاءُ بَعْضٍ وَمَنْ يَتَوَلَّهُمْ مِنْكُمْ فَإِنَّهُ مِنْهُمْ</w:t>
      </w:r>
      <w:r w:rsidRPr="00A32FC0">
        <w:rPr>
          <w:rFonts w:hint="cs"/>
          <w:rtl/>
        </w:rPr>
        <w:t>﴾</w:t>
      </w:r>
      <w:r>
        <w:rPr>
          <w:rFonts w:hint="cs"/>
          <w:rtl/>
        </w:rPr>
        <w:t>(</w:t>
      </w:r>
      <w:r w:rsidRPr="00A32FC0">
        <w:rPr>
          <w:rFonts w:hint="cs"/>
          <w:rtl/>
        </w:rPr>
        <w:t>المائدة: 51</w:t>
      </w:r>
      <w:r w:rsidRPr="00A32FC0">
        <w:rPr>
          <w:rFonts w:hint="cs"/>
          <w:rtl/>
          <w:lang w:bidi="ar-LB"/>
        </w:rPr>
        <w:t>).</w:t>
      </w:r>
    </w:p>
    <w:p w:rsidR="00EA09EB" w:rsidRPr="00A32FC0" w:rsidRDefault="00EA09EB" w:rsidP="00EA09EB">
      <w:pPr>
        <w:rPr>
          <w:rtl/>
          <w:lang w:bidi="ar-LB"/>
        </w:rPr>
      </w:pPr>
      <w:r w:rsidRPr="00A32FC0">
        <w:rPr>
          <w:rFonts w:hint="cs"/>
          <w:rtl/>
          <w:lang w:bidi="ar-LB"/>
        </w:rPr>
        <w:t>ب ـ ﴿</w:t>
      </w:r>
      <w:r w:rsidRPr="00A32FC0">
        <w:rPr>
          <w:b/>
          <w:bCs/>
          <w:rtl/>
        </w:rPr>
        <w:t>لاَ يَتَّخِذْ الْمُؤْمِنُونَ الْكَافِرِينَ أَوْلِيَاءَ مِنْ دُونِ الْمُؤْمِنِينَ وَمَنْ يَف</w:t>
      </w:r>
      <w:r>
        <w:rPr>
          <w:b/>
          <w:bCs/>
          <w:rtl/>
        </w:rPr>
        <w:t>ْعَلْ ذَلِكَ فَلَيْسَ مِنْ الل</w:t>
      </w:r>
      <w:r w:rsidRPr="00A32FC0">
        <w:rPr>
          <w:b/>
          <w:bCs/>
          <w:rtl/>
        </w:rPr>
        <w:t>هِ فِي شَيْءٍ إِلاَّ أَنْ تَتَّقُوا مِنْهُمْ تُقَاةً</w:t>
      </w:r>
      <w:r w:rsidRPr="00A32FC0">
        <w:rPr>
          <w:rFonts w:hint="cs"/>
          <w:rtl/>
        </w:rPr>
        <w:t>﴾</w:t>
      </w:r>
      <w:r>
        <w:rPr>
          <w:rFonts w:hint="cs"/>
          <w:rtl/>
        </w:rPr>
        <w:t>(</w:t>
      </w:r>
      <w:r w:rsidRPr="00A32FC0">
        <w:rPr>
          <w:rFonts w:hint="cs"/>
          <w:rtl/>
        </w:rPr>
        <w:t>آل عمران: 28</w:t>
      </w:r>
      <w:r w:rsidRPr="00A32FC0">
        <w:rPr>
          <w:rFonts w:hint="cs"/>
          <w:rtl/>
          <w:lang w:bidi="ar-LB"/>
        </w:rPr>
        <w:t>).</w:t>
      </w:r>
    </w:p>
    <w:p w:rsidR="00EA09EB" w:rsidRPr="00A32FC0" w:rsidRDefault="00EA09EB" w:rsidP="00EA09EB">
      <w:pPr>
        <w:rPr>
          <w:rtl/>
          <w:lang w:bidi="ar-LB"/>
        </w:rPr>
      </w:pPr>
      <w:r w:rsidRPr="00A32FC0">
        <w:rPr>
          <w:rFonts w:hint="cs"/>
          <w:rtl/>
          <w:lang w:bidi="ar-LB"/>
        </w:rPr>
        <w:t>ج ـ ﴿</w:t>
      </w:r>
      <w:r w:rsidRPr="00A32FC0">
        <w:rPr>
          <w:b/>
          <w:bCs/>
          <w:rtl/>
        </w:rPr>
        <w:t>يَا أَيُّهَا الَّذِينَ آمَنُوا لاَ ت</w:t>
      </w:r>
      <w:r>
        <w:rPr>
          <w:b/>
          <w:bCs/>
          <w:rtl/>
        </w:rPr>
        <w:t>َتَوَلَّوْا قَوْماً غَضِبَ الل</w:t>
      </w:r>
      <w:r w:rsidRPr="00A32FC0">
        <w:rPr>
          <w:b/>
          <w:bCs/>
          <w:rtl/>
        </w:rPr>
        <w:t>هُ عَلَيْهِمْ</w:t>
      </w:r>
      <w:r w:rsidRPr="00A32FC0">
        <w:rPr>
          <w:rFonts w:hint="cs"/>
          <w:rtl/>
        </w:rPr>
        <w:t>﴾</w:t>
      </w:r>
      <w:r>
        <w:rPr>
          <w:rFonts w:hint="cs"/>
          <w:rtl/>
        </w:rPr>
        <w:t>(</w:t>
      </w:r>
      <w:r w:rsidRPr="00A32FC0">
        <w:rPr>
          <w:rFonts w:hint="cs"/>
          <w:rtl/>
        </w:rPr>
        <w:t>الممتحنة: 13</w:t>
      </w:r>
      <w:r w:rsidRPr="00A32FC0">
        <w:rPr>
          <w:rFonts w:hint="cs"/>
          <w:rtl/>
          <w:lang w:bidi="ar-LB"/>
        </w:rPr>
        <w:t>).</w:t>
      </w:r>
    </w:p>
    <w:p w:rsidR="00EA09EB" w:rsidRPr="00A32FC0" w:rsidRDefault="00EA09EB" w:rsidP="00EA09EB">
      <w:pPr>
        <w:rPr>
          <w:rtl/>
          <w:lang w:bidi="ar-LB"/>
        </w:rPr>
      </w:pPr>
      <w:r w:rsidRPr="00A32FC0">
        <w:rPr>
          <w:rFonts w:hint="cs"/>
          <w:rtl/>
          <w:lang w:bidi="ar-LB"/>
        </w:rPr>
        <w:t>دـ ﴿</w:t>
      </w:r>
      <w:r w:rsidRPr="00A32FC0">
        <w:rPr>
          <w:b/>
          <w:bCs/>
          <w:rtl/>
        </w:rPr>
        <w:t>يَا أَيُّهَا الَّذِينَ آمَنُوا لاَ تَتَّخِذُوا عَدُوِّي وَعَدُوَّكُمْ أَوْلِيَاءَ تُلْقُونَ إِلَيْهِمْ بِالْمَوَدَّةِ وَقَدْ كَفَرُوا بِمَا جَاءَكُمْ مِنْ الْحَقِّ</w:t>
      </w:r>
      <w:r w:rsidRPr="00A32FC0">
        <w:rPr>
          <w:rFonts w:hint="cs"/>
          <w:rtl/>
        </w:rPr>
        <w:t>﴾</w:t>
      </w:r>
      <w:r>
        <w:rPr>
          <w:rFonts w:hint="cs"/>
          <w:rtl/>
        </w:rPr>
        <w:t>(</w:t>
      </w:r>
      <w:r w:rsidRPr="00A32FC0">
        <w:rPr>
          <w:rFonts w:hint="cs"/>
          <w:rtl/>
        </w:rPr>
        <w:t>الممتحنة: 1</w:t>
      </w:r>
      <w:r w:rsidRPr="00A32FC0">
        <w:rPr>
          <w:rFonts w:hint="cs"/>
          <w:rtl/>
          <w:lang w:bidi="ar-LB"/>
        </w:rPr>
        <w:t>).</w:t>
      </w:r>
    </w:p>
    <w:p w:rsidR="00EA09EB" w:rsidRPr="00A32FC0" w:rsidRDefault="00EA09EB" w:rsidP="00EA09EB">
      <w:pPr>
        <w:rPr>
          <w:rtl/>
          <w:lang w:bidi="ar-LB"/>
        </w:rPr>
      </w:pPr>
      <w:r w:rsidRPr="00A32FC0">
        <w:rPr>
          <w:rFonts w:hint="cs"/>
          <w:rtl/>
          <w:lang w:bidi="ar-LB"/>
        </w:rPr>
        <w:t>هـ ـ ﴿</w:t>
      </w:r>
      <w:r w:rsidRPr="00A32FC0">
        <w:rPr>
          <w:b/>
          <w:bCs/>
          <w:rtl/>
        </w:rPr>
        <w:t>وَمَنْ يَتَوَلَّهُمْ مِنْكُمْ فَأُوْلَئِكَ هُمْ الظَّالِمُونَ</w:t>
      </w:r>
      <w:r w:rsidRPr="00A32FC0">
        <w:rPr>
          <w:rFonts w:hint="cs"/>
          <w:rtl/>
        </w:rPr>
        <w:t>﴾</w:t>
      </w:r>
      <w:r>
        <w:rPr>
          <w:rFonts w:hint="cs"/>
          <w:rtl/>
        </w:rPr>
        <w:t>(</w:t>
      </w:r>
      <w:r w:rsidRPr="00A32FC0">
        <w:rPr>
          <w:rFonts w:hint="cs"/>
          <w:rtl/>
        </w:rPr>
        <w:t>الممتحنة: 9</w:t>
      </w:r>
      <w:r w:rsidRPr="00A32FC0">
        <w:rPr>
          <w:rFonts w:hint="cs"/>
          <w:rtl/>
          <w:lang w:bidi="ar-LB"/>
        </w:rPr>
        <w:t>).</w:t>
      </w:r>
    </w:p>
    <w:p w:rsidR="00EA09EB" w:rsidRPr="00EA09EB" w:rsidRDefault="00EA09EB" w:rsidP="00EA09EB">
      <w:pPr>
        <w:rPr>
          <w:rtl/>
        </w:rPr>
      </w:pPr>
      <w:r w:rsidRPr="00A32FC0">
        <w:rPr>
          <w:rFonts w:hint="cs"/>
          <w:rtl/>
          <w:lang w:bidi="ar-LB"/>
        </w:rPr>
        <w:t>وـ ﴿</w:t>
      </w:r>
      <w:r w:rsidRPr="00A32FC0">
        <w:rPr>
          <w:b/>
          <w:bCs/>
          <w:rtl/>
        </w:rPr>
        <w:t>يَا أَيُّهَا الَّذِينَ آمَنُوا لاَ تَتَّخِذُوا الَّذِينَ اتَّخَذُوا دِينَكُمْ هُزُواً وَلَعِباً مِنْ الَّذِينَ أُوتُوا الْكِتَابَ مِنْ قَبْلِكُمْ وَالْكُفَّارَ أَوْلِيَاءَ</w:t>
      </w:r>
      <w:r w:rsidRPr="00EA09EB">
        <w:rPr>
          <w:rFonts w:hint="cs"/>
          <w:rtl/>
        </w:rPr>
        <w:t>﴾(المائدة: 57).</w:t>
      </w:r>
    </w:p>
    <w:p w:rsidR="00EA09EB" w:rsidRPr="00EA09EB" w:rsidRDefault="00EA09EB" w:rsidP="007A340E">
      <w:pPr>
        <w:ind w:firstLine="283"/>
        <w:rPr>
          <w:rtl/>
        </w:rPr>
      </w:pPr>
      <w:r w:rsidRPr="007A340E">
        <w:rPr>
          <w:rFonts w:hint="cs"/>
          <w:b/>
          <w:bCs/>
          <w:rtl/>
        </w:rPr>
        <w:t>أولاً</w:t>
      </w:r>
      <w:r w:rsidRPr="00EA09EB">
        <w:rPr>
          <w:rFonts w:hint="cs"/>
          <w:rtl/>
        </w:rPr>
        <w:t>: إنّ المراد من الولاية السلبيّة في هذه الآيات هو ولاية الحبّ التي تؤدّي إلى انهيار الدين والمجتمع الإسلاميّ</w:t>
      </w:r>
      <w:r w:rsidRPr="00064619">
        <w:rPr>
          <w:rFonts w:cs="Taher"/>
          <w:sz w:val="32"/>
          <w:vertAlign w:val="superscript"/>
          <w:rtl/>
          <w:lang w:bidi="ar-LB"/>
        </w:rPr>
        <w:t>(</w:t>
      </w:r>
      <w:r w:rsidRPr="00064619">
        <w:rPr>
          <w:rStyle w:val="FootnoteReference"/>
          <w:rFonts w:cs="Taher"/>
          <w:sz w:val="32"/>
          <w:rtl/>
          <w:lang w:bidi="ar-LB"/>
        </w:rPr>
        <w:footnoteReference w:id="157"/>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والغاية من هذا النهي الشديد هو حفظ دين وإيمان الأمّة، فالمجتمع الدينيّ غيور في الدفاع عن عقيدته وقيمه.</w:t>
      </w:r>
    </w:p>
    <w:p w:rsidR="00EA09EB" w:rsidRPr="00EA09EB" w:rsidRDefault="00EA09EB" w:rsidP="007A340E">
      <w:pPr>
        <w:ind w:firstLine="283"/>
        <w:rPr>
          <w:rtl/>
        </w:rPr>
      </w:pPr>
      <w:r w:rsidRPr="007A340E">
        <w:rPr>
          <w:rFonts w:hint="cs"/>
          <w:b/>
          <w:bCs/>
          <w:rtl/>
        </w:rPr>
        <w:t>ثانياً</w:t>
      </w:r>
      <w:r w:rsidRPr="00EA09EB">
        <w:rPr>
          <w:rFonts w:hint="cs"/>
          <w:rtl/>
        </w:rPr>
        <w:t>: إذا كانت ولاية الحبّ والمودة للكفار وأعداء الدين مرفوضة في المجتمع الإسلامي فبطريق أولى أن تكون ولايتهم التدبيرية مرفوضة ومحرّمة أيضاً في هذا المجتمع. ولا يجوز للمسلمين أن ينضووا تحت سلطة وزعامة غير المسلمين: ﴿</w:t>
      </w:r>
      <w:r w:rsidRPr="007A340E">
        <w:rPr>
          <w:b/>
          <w:bCs/>
          <w:rtl/>
        </w:rPr>
        <w:t>وَلَنْ يَجْعَلَ اللهُ لِلْكَافِرِينَ عَلَى الْمُؤْمِنِينَ سَبِيلاً</w:t>
      </w:r>
      <w:r w:rsidRPr="00EA09EB">
        <w:rPr>
          <w:rFonts w:hint="cs"/>
          <w:rtl/>
        </w:rPr>
        <w:t>﴾(النساء: 141).</w:t>
      </w:r>
    </w:p>
    <w:p w:rsidR="00EA09EB" w:rsidRPr="00EA09EB" w:rsidRDefault="00EA09EB" w:rsidP="007A340E">
      <w:pPr>
        <w:ind w:firstLine="283"/>
        <w:rPr>
          <w:rtl/>
        </w:rPr>
      </w:pPr>
      <w:r w:rsidRPr="007A340E">
        <w:rPr>
          <w:rFonts w:hint="cs"/>
          <w:b/>
          <w:bCs/>
          <w:rtl/>
        </w:rPr>
        <w:t>ثالثاً</w:t>
      </w:r>
      <w:r w:rsidRPr="00EA09EB">
        <w:rPr>
          <w:rFonts w:hint="cs"/>
          <w:rtl/>
        </w:rPr>
        <w:t>: إن الذين يتولّون اليهود والنصارى والكفار وأعداء الدين يُعدّون منهم: ﴿</w:t>
      </w:r>
      <w:r w:rsidRPr="007A340E">
        <w:rPr>
          <w:b/>
          <w:bCs/>
          <w:rtl/>
        </w:rPr>
        <w:t>وَمَنْ يَتَوَلَّهُمْ مِنْكُمْ فَإِنَّهُ مِنْهُمْ</w:t>
      </w:r>
      <w:r w:rsidRPr="00EA09EB">
        <w:rPr>
          <w:rFonts w:hint="cs"/>
          <w:rtl/>
        </w:rPr>
        <w:t>﴾(المائدة: 51؛ التوبة: 23). إن هذا التحيُّز هو الذي يشكِّل هويتنا.</w:t>
      </w:r>
    </w:p>
    <w:p w:rsidR="00EA09EB" w:rsidRPr="00EA09EB" w:rsidRDefault="00EA09EB" w:rsidP="007A340E">
      <w:pPr>
        <w:ind w:firstLine="283"/>
        <w:rPr>
          <w:rtl/>
        </w:rPr>
      </w:pPr>
      <w:r w:rsidRPr="007A340E">
        <w:rPr>
          <w:rFonts w:hint="cs"/>
          <w:b/>
          <w:bCs/>
          <w:rtl/>
        </w:rPr>
        <w:t>رابعاً</w:t>
      </w:r>
      <w:r w:rsidRPr="00EA09EB">
        <w:rPr>
          <w:rFonts w:hint="cs"/>
          <w:rtl/>
        </w:rPr>
        <w:t>: لقد أكّد القرآن الكريم أنّ الذي يقبل ولاية الكفار ﴿</w:t>
      </w:r>
      <w:r w:rsidRPr="007A340E">
        <w:rPr>
          <w:b/>
          <w:bCs/>
          <w:rtl/>
        </w:rPr>
        <w:t>فَلَيْسَ مِنْ اللهِ فِي شَيْءٍ</w:t>
      </w:r>
      <w:r w:rsidRPr="00EA09EB">
        <w:rPr>
          <w:rFonts w:hint="cs"/>
          <w:rtl/>
        </w:rPr>
        <w:t>﴾(آل عمران: 28)</w:t>
      </w:r>
      <w:r w:rsidRPr="00064619">
        <w:rPr>
          <w:rFonts w:cs="Taher"/>
          <w:sz w:val="32"/>
          <w:vertAlign w:val="superscript"/>
          <w:rtl/>
          <w:lang w:bidi="ar-LB"/>
        </w:rPr>
        <w:t>(</w:t>
      </w:r>
      <w:r w:rsidRPr="00064619">
        <w:rPr>
          <w:rStyle w:val="FootnoteReference"/>
          <w:rFonts w:cs="Taher"/>
          <w:sz w:val="32"/>
          <w:rtl/>
          <w:lang w:bidi="ar-LB"/>
        </w:rPr>
        <w:footnoteReference w:id="158"/>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خامساً</w:t>
      </w:r>
      <w:r w:rsidRPr="00EA09EB">
        <w:rPr>
          <w:rFonts w:hint="cs"/>
          <w:rtl/>
        </w:rPr>
        <w:t>: إنّ رفض ولاية الكفّار لا تتنافى مع معاملتهم بالحسنى، وإنصافهم، وعقد المعاهدات، وإجراء العقود، وإيجاد العلاقات معهم</w:t>
      </w:r>
      <w:r w:rsidRPr="00064619">
        <w:rPr>
          <w:rFonts w:cs="Taher"/>
          <w:sz w:val="32"/>
          <w:vertAlign w:val="superscript"/>
          <w:rtl/>
          <w:lang w:bidi="ar-LB"/>
        </w:rPr>
        <w:t>(</w:t>
      </w:r>
      <w:r w:rsidRPr="00064619">
        <w:rPr>
          <w:rStyle w:val="FootnoteReference"/>
          <w:rFonts w:cs="Taher"/>
          <w:sz w:val="32"/>
          <w:rtl/>
          <w:lang w:bidi="ar-LB"/>
        </w:rPr>
        <w:footnoteReference w:id="159"/>
      </w:r>
      <w:r w:rsidRPr="00064619">
        <w:rPr>
          <w:rFonts w:cs="Taher"/>
          <w:sz w:val="32"/>
          <w:vertAlign w:val="superscript"/>
          <w:rtl/>
          <w:lang w:bidi="ar-LB"/>
        </w:rPr>
        <w:t>)</w:t>
      </w:r>
      <w:r w:rsidRPr="00EA09EB">
        <w:rPr>
          <w:rFonts w:hint="cs"/>
          <w:rtl/>
        </w:rPr>
        <w:t>. إلاّ أن هذه العلاقات يجب أن تكون حذرة ومتيقِّظة.</w:t>
      </w:r>
    </w:p>
    <w:p w:rsidR="00EA09EB" w:rsidRPr="00A32FC0" w:rsidRDefault="00EA09EB" w:rsidP="00EA09EB">
      <w:pPr>
        <w:rPr>
          <w:rtl/>
          <w:lang w:bidi="ar-LB"/>
        </w:rPr>
      </w:pPr>
      <w:r w:rsidRPr="00A32FC0">
        <w:rPr>
          <w:rFonts w:hint="cs"/>
          <w:rtl/>
          <w:lang w:bidi="ar-LB"/>
        </w:rPr>
        <w:t>18</w:t>
      </w:r>
      <w:r w:rsidRPr="00A32FC0">
        <w:rPr>
          <w:rtl/>
          <w:lang w:bidi="ar-LB"/>
        </w:rPr>
        <w:t>ـ</w:t>
      </w:r>
      <w:r w:rsidRPr="00A32FC0">
        <w:rPr>
          <w:rFonts w:hint="cs"/>
          <w:rtl/>
          <w:lang w:bidi="ar-LB"/>
        </w:rPr>
        <w:t xml:space="preserve"> ومن خلال التدبّر في آيات القرآن الكريم يظهر لنا:</w:t>
      </w:r>
    </w:p>
    <w:p w:rsidR="00EA09EB" w:rsidRPr="00EA09EB" w:rsidRDefault="00EA09EB" w:rsidP="00EA09EB">
      <w:pPr>
        <w:rPr>
          <w:rtl/>
        </w:rPr>
      </w:pPr>
      <w:r w:rsidRPr="007A340E">
        <w:rPr>
          <w:rFonts w:hint="cs"/>
          <w:b/>
          <w:bCs/>
          <w:rtl/>
        </w:rPr>
        <w:t>أولاً</w:t>
      </w:r>
      <w:r w:rsidRPr="00EA09EB">
        <w:rPr>
          <w:rFonts w:hint="cs"/>
          <w:rtl/>
        </w:rPr>
        <w:t>: إنّ التولّي بولاية الله ورسوله</w:t>
      </w:r>
      <w:r w:rsidRPr="00EA09EB">
        <w:rPr>
          <w:rFonts w:hint="cs"/>
          <w:rtl/>
        </w:rPr>
        <w:sym w:font="Roumouz" w:char="F02D"/>
      </w:r>
      <w:r w:rsidRPr="00EA09EB">
        <w:rPr>
          <w:rFonts w:hint="cs"/>
          <w:rtl/>
        </w:rPr>
        <w:t>، وعند الشيعة بولاية الإمام علي</w:t>
      </w:r>
      <w:r>
        <w:rPr>
          <w:rFonts w:hint="cs"/>
          <w:rtl/>
        </w:rPr>
        <w:t>×</w:t>
      </w:r>
      <w:r w:rsidRPr="00EA09EB">
        <w:rPr>
          <w:rFonts w:hint="cs"/>
          <w:rtl/>
        </w:rPr>
        <w:t>، من جهة، والتبرّي من ولاية الكفّار، وأعداء الله، والذين يستهزئون بدين الله، من جهة أخرى، هو من لوازم التديّن والإسلام.</w:t>
      </w:r>
    </w:p>
    <w:p w:rsidR="00EA09EB" w:rsidRPr="00EA09EB" w:rsidRDefault="00EA09EB" w:rsidP="007A340E">
      <w:pPr>
        <w:ind w:firstLine="283"/>
        <w:rPr>
          <w:rtl/>
        </w:rPr>
      </w:pPr>
      <w:r w:rsidRPr="007A340E">
        <w:rPr>
          <w:rFonts w:hint="cs"/>
          <w:b/>
          <w:bCs/>
          <w:rtl/>
        </w:rPr>
        <w:t>ثانياً</w:t>
      </w:r>
      <w:r w:rsidRPr="00EA09EB">
        <w:rPr>
          <w:rFonts w:hint="cs"/>
          <w:rtl/>
        </w:rPr>
        <w:t>: إن الولاية العامّة للمؤمنين هي الحجر الأساس للمجتمع الإسلاميّ.</w:t>
      </w:r>
    </w:p>
    <w:p w:rsidR="00EA09EB" w:rsidRPr="00A32FC0" w:rsidRDefault="00EA09EB" w:rsidP="00EA09EB">
      <w:pPr>
        <w:rPr>
          <w:rtl/>
          <w:lang w:bidi="ar-LB"/>
        </w:rPr>
      </w:pPr>
      <w:r w:rsidRPr="00A32FC0">
        <w:rPr>
          <w:rFonts w:hint="cs"/>
          <w:b/>
          <w:bCs/>
          <w:rtl/>
          <w:lang w:bidi="ar-LB"/>
        </w:rPr>
        <w:t>ثالثاً</w:t>
      </w:r>
      <w:r w:rsidRPr="00EA09EB">
        <w:rPr>
          <w:rFonts w:hint="cs"/>
          <w:rtl/>
        </w:rPr>
        <w:t>: لم تستعمل كلمة «ولاية الفقيه» في القرآن الكريم. وكذلك لم يرِدْ فيه أيّ كلمة مرادفة، أو متضمِّنة لمعناها. وعلى هذا فإنّ مسألة ولاية الفقيه فاقدةٌ للمستند القرآنيّ</w:t>
      </w:r>
      <w:r w:rsidRPr="00064619">
        <w:rPr>
          <w:rFonts w:cs="Taher"/>
          <w:vertAlign w:val="superscript"/>
          <w:rtl/>
          <w:lang w:bidi="ar-LB"/>
        </w:rPr>
        <w:t>(</w:t>
      </w:r>
      <w:r w:rsidRPr="00064619">
        <w:rPr>
          <w:rStyle w:val="FootnoteReference"/>
          <w:rFonts w:cs="Taher"/>
          <w:sz w:val="32"/>
          <w:rtl/>
          <w:lang w:bidi="ar-LB"/>
        </w:rPr>
        <w:footnoteReference w:id="160"/>
      </w:r>
      <w:r w:rsidRPr="00064619">
        <w:rPr>
          <w:rFonts w:cs="Taher"/>
          <w:vertAlign w:val="superscript"/>
          <w:rtl/>
          <w:lang w:bidi="ar-LB"/>
        </w:rPr>
        <w:t>)</w:t>
      </w:r>
      <w:r w:rsidRPr="00A32FC0">
        <w:rPr>
          <w:rFonts w:hint="cs"/>
          <w:rtl/>
          <w:lang w:bidi="ar-LB"/>
        </w:rPr>
        <w:t>.</w:t>
      </w:r>
    </w:p>
    <w:p w:rsidR="007A340E" w:rsidRDefault="00EA09EB" w:rsidP="007A340E">
      <w:pPr>
        <w:pStyle w:val="Heading2"/>
        <w:jc w:val="center"/>
        <w:rPr>
          <w:rtl/>
          <w:lang w:bidi="ar-LB"/>
        </w:rPr>
      </w:pPr>
      <w:r w:rsidRPr="00A32FC0">
        <w:rPr>
          <w:rtl/>
          <w:lang w:bidi="ar-LB"/>
        </w:rPr>
        <w:br w:type="page"/>
      </w:r>
    </w:p>
    <w:p w:rsidR="007A340E" w:rsidRDefault="007A340E" w:rsidP="007A340E">
      <w:pPr>
        <w:rPr>
          <w:rtl/>
          <w:lang w:bidi="ar-LB"/>
        </w:rPr>
        <w:sectPr w:rsidR="007A340E" w:rsidSect="009003FC">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39" w:name="_Toc413658822"/>
      <w:r w:rsidRPr="00E2207F">
        <w:rPr>
          <w:rFonts w:hint="cs"/>
          <w:rtl/>
          <w:lang w:bidi="ar-LB"/>
        </w:rPr>
        <w:t>الفصل السادس: ال</w:t>
      </w:r>
      <w:r w:rsidRPr="007A340E">
        <w:rPr>
          <w:rFonts w:hint="cs"/>
          <w:rtl/>
        </w:rPr>
        <w:t>ولاية في السنّة</w:t>
      </w:r>
      <w:bookmarkEnd w:id="39"/>
    </w:p>
    <w:p w:rsidR="00EA09EB" w:rsidRPr="00A32FC0" w:rsidRDefault="00EA09EB" w:rsidP="00EA09EB">
      <w:pPr>
        <w:rPr>
          <w:rtl/>
          <w:lang w:bidi="ar-LB"/>
        </w:rPr>
      </w:pPr>
      <w:r w:rsidRPr="00EA09EB">
        <w:rPr>
          <w:rFonts w:hint="cs"/>
          <w:rtl/>
        </w:rPr>
        <w:t>عن الإمام الباقر</w:t>
      </w:r>
      <w:r>
        <w:rPr>
          <w:rFonts w:hint="cs"/>
          <w:rtl/>
        </w:rPr>
        <w:t>×</w:t>
      </w:r>
      <w:r w:rsidRPr="00EA09EB">
        <w:rPr>
          <w:rFonts w:hint="cs"/>
          <w:rtl/>
        </w:rPr>
        <w:t>: «ولم ينادَ بشيءٍ كما نودي بالولاية</w:t>
      </w:r>
      <w:r w:rsidRPr="00064619">
        <w:rPr>
          <w:rFonts w:cs="Taher"/>
          <w:vertAlign w:val="superscript"/>
          <w:rtl/>
          <w:lang w:bidi="ar-LB"/>
        </w:rPr>
        <w:t>(</w:t>
      </w:r>
      <w:r w:rsidRPr="00064619">
        <w:rPr>
          <w:rStyle w:val="FootnoteReference"/>
          <w:rFonts w:cs="Taher"/>
          <w:sz w:val="32"/>
          <w:rtl/>
          <w:lang w:bidi="ar-LB"/>
        </w:rPr>
        <w:footnoteReference w:id="161"/>
      </w:r>
      <w:r w:rsidRPr="00064619">
        <w:rPr>
          <w:rFonts w:cs="Taher"/>
          <w:vertAlign w:val="superscript"/>
          <w:rtl/>
          <w:lang w:bidi="ar-LB"/>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المراد من السنّة هو قول المعصوم وفعله وتقريره. وتعدّ سنّة النبيّ</w:t>
      </w:r>
      <w:r w:rsidRPr="00A32FC0">
        <w:rPr>
          <w:rFonts w:hint="cs"/>
          <w:rtl/>
        </w:rPr>
        <w:sym w:font="Roumouz" w:char="F02D"/>
      </w:r>
      <w:r w:rsidRPr="00A32FC0">
        <w:rPr>
          <w:rFonts w:hint="cs"/>
          <w:rtl/>
          <w:lang w:bidi="ar-LB"/>
        </w:rPr>
        <w:t xml:space="preserve"> وأهل البيت</w:t>
      </w:r>
      <w:r w:rsidR="007A340E">
        <w:rPr>
          <w:rFonts w:hint="cs"/>
          <w:rtl/>
        </w:rPr>
        <w:t>^</w:t>
      </w:r>
      <w:r w:rsidRPr="00A32FC0">
        <w:rPr>
          <w:rFonts w:hint="cs"/>
          <w:rtl/>
          <w:lang w:bidi="ar-LB"/>
        </w:rPr>
        <w:t xml:space="preserve"> أعظم منبع من منابع الفكر الإسلامي بعد القرآن الكريم. عدّ القرآن الكريم تعليم الكتاب</w:t>
      </w:r>
      <w:r w:rsidRPr="00064619">
        <w:rPr>
          <w:rFonts w:cs="Taher"/>
          <w:vertAlign w:val="superscript"/>
          <w:rtl/>
          <w:lang w:bidi="ar-LB"/>
        </w:rPr>
        <w:t>(</w:t>
      </w:r>
      <w:r w:rsidRPr="00064619">
        <w:rPr>
          <w:rStyle w:val="FootnoteReference"/>
          <w:rFonts w:cs="Taher"/>
          <w:sz w:val="32"/>
          <w:rtl/>
          <w:lang w:bidi="ar-LB"/>
        </w:rPr>
        <w:footnoteReference w:id="162"/>
      </w:r>
      <w:r w:rsidRPr="00064619">
        <w:rPr>
          <w:rFonts w:cs="Taher"/>
          <w:vertAlign w:val="superscript"/>
          <w:rtl/>
          <w:lang w:bidi="ar-LB"/>
        </w:rPr>
        <w:t>)</w:t>
      </w:r>
      <w:r w:rsidRPr="00EA09EB">
        <w:rPr>
          <w:rFonts w:hint="cs"/>
          <w:rtl/>
        </w:rPr>
        <w:t>، وتبيين آيات الله</w:t>
      </w:r>
      <w:r w:rsidRPr="00064619">
        <w:rPr>
          <w:rFonts w:cs="Taher"/>
          <w:vertAlign w:val="superscript"/>
          <w:rtl/>
          <w:lang w:bidi="ar-LB"/>
        </w:rPr>
        <w:t>(</w:t>
      </w:r>
      <w:r w:rsidRPr="00064619">
        <w:rPr>
          <w:rStyle w:val="FootnoteReference"/>
          <w:rFonts w:cs="Taher"/>
          <w:sz w:val="32"/>
          <w:rtl/>
          <w:lang w:bidi="ar-LB"/>
        </w:rPr>
        <w:footnoteReference w:id="163"/>
      </w:r>
      <w:r w:rsidRPr="00064619">
        <w:rPr>
          <w:rFonts w:cs="Taher"/>
          <w:vertAlign w:val="superscript"/>
          <w:rtl/>
          <w:lang w:bidi="ar-LB"/>
        </w:rPr>
        <w:t>)</w:t>
      </w:r>
      <w:r w:rsidRPr="00EA09EB">
        <w:rPr>
          <w:rFonts w:hint="cs"/>
          <w:rtl/>
        </w:rPr>
        <w:t>، من وظائف النبي</w:t>
      </w:r>
      <w:r w:rsidRPr="00EA09EB">
        <w:rPr>
          <w:rFonts w:hint="cs"/>
          <w:rtl/>
        </w:rPr>
        <w:sym w:font="Roumouz" w:char="F02D"/>
      </w:r>
      <w:r w:rsidRPr="00EA09EB">
        <w:rPr>
          <w:rFonts w:hint="cs"/>
          <w:rtl/>
        </w:rPr>
        <w:t>، وألزم المسلمين بطاعة الرسول</w:t>
      </w:r>
      <w:r w:rsidRPr="00EA09EB">
        <w:rPr>
          <w:rFonts w:hint="cs"/>
          <w:rtl/>
        </w:rPr>
        <w:sym w:font="Roumouz" w:char="F02D"/>
      </w:r>
      <w:r w:rsidRPr="00064619">
        <w:rPr>
          <w:rFonts w:cs="Taher"/>
          <w:vertAlign w:val="superscript"/>
          <w:rtl/>
        </w:rPr>
        <w:t>(</w:t>
      </w:r>
      <w:r w:rsidRPr="00064619">
        <w:rPr>
          <w:rStyle w:val="FootnoteReference"/>
          <w:rFonts w:cs="Taher"/>
          <w:sz w:val="32"/>
          <w:rtl/>
        </w:rPr>
        <w:footnoteReference w:id="164"/>
      </w:r>
      <w:r w:rsidRPr="00064619">
        <w:rPr>
          <w:rFonts w:cs="Taher"/>
          <w:vertAlign w:val="superscript"/>
          <w:rtl/>
        </w:rPr>
        <w:t>)</w:t>
      </w:r>
      <w:r w:rsidRPr="00EA09EB">
        <w:rPr>
          <w:rFonts w:hint="cs"/>
          <w:rtl/>
        </w:rPr>
        <w:t>، والالتزام بأوامره ونواهيه</w:t>
      </w:r>
      <w:r w:rsidRPr="00064619">
        <w:rPr>
          <w:rFonts w:cs="Taher"/>
          <w:vertAlign w:val="superscript"/>
          <w:rtl/>
          <w:lang w:bidi="ar-LB"/>
        </w:rPr>
        <w:t>(</w:t>
      </w:r>
      <w:r w:rsidRPr="00064619">
        <w:rPr>
          <w:rStyle w:val="FootnoteReference"/>
          <w:rFonts w:cs="Taher"/>
          <w:sz w:val="32"/>
          <w:rtl/>
          <w:lang w:bidi="ar-LB"/>
        </w:rPr>
        <w:footnoteReference w:id="165"/>
      </w:r>
      <w:r w:rsidRPr="00064619">
        <w:rPr>
          <w:rFonts w:cs="Taher"/>
          <w:vertAlign w:val="superscript"/>
          <w:rtl/>
          <w:lang w:bidi="ar-LB"/>
        </w:rPr>
        <w:t>)</w:t>
      </w:r>
      <w:r w:rsidRPr="00A32FC0">
        <w:rPr>
          <w:rFonts w:hint="cs"/>
          <w:rtl/>
          <w:lang w:bidi="ar-LB"/>
        </w:rPr>
        <w:t>.</w:t>
      </w:r>
    </w:p>
    <w:p w:rsidR="00EA09EB" w:rsidRPr="00EA09EB" w:rsidRDefault="00EA09EB" w:rsidP="00EA09EB">
      <w:pPr>
        <w:rPr>
          <w:rtl/>
        </w:rPr>
      </w:pPr>
      <w:r w:rsidRPr="00A32FC0">
        <w:rPr>
          <w:rFonts w:hint="cs"/>
          <w:rtl/>
          <w:lang w:bidi="ar-LB"/>
        </w:rPr>
        <w:t>وحيث إن القرآن الكريم عرض للخطوط العامّة والأسس والمباني وأمهات المسائل في الفكر الإسلاميّ، ولم يتعرَّض سوى لنماذج قليلة من جزئيات التعاليم الإلهيّة، فإن للسنّة دوراً مهماً وضرورياً في عرض جزئيات هذه التعاليم، وتشريحها، وبيانها بشكل تفصيليّ. إن رمز سعادة المسلمين في الدنيا والآخرة، بناءً على التعاليم الخالدة للرسول، هو التمسُّك بكتاب الله والعترة الطاهرة</w:t>
      </w:r>
      <w:r w:rsidR="007A340E">
        <w:rPr>
          <w:rFonts w:hint="cs"/>
          <w:rtl/>
        </w:rPr>
        <w:t>^</w:t>
      </w:r>
      <w:r>
        <w:rPr>
          <w:rFonts w:hint="cs"/>
          <w:rtl/>
          <w:lang w:bidi="ar-LB"/>
        </w:rPr>
        <w:t>،</w:t>
      </w:r>
      <w:r w:rsidRPr="00A32FC0">
        <w:rPr>
          <w:rFonts w:hint="cs"/>
          <w:rtl/>
          <w:lang w:bidi="ar-LB"/>
        </w:rPr>
        <w:t xml:space="preserve"> اللذين لن يفترقا</w:t>
      </w:r>
      <w:r w:rsidRPr="00064619">
        <w:rPr>
          <w:rFonts w:cs="Taher"/>
          <w:vertAlign w:val="superscript"/>
          <w:rtl/>
          <w:lang w:bidi="ar-LB"/>
        </w:rPr>
        <w:t>(</w:t>
      </w:r>
      <w:r w:rsidRPr="00064619">
        <w:rPr>
          <w:rStyle w:val="FootnoteReference"/>
          <w:rFonts w:cs="Taher"/>
          <w:sz w:val="32"/>
          <w:rtl/>
          <w:lang w:bidi="ar-LB"/>
        </w:rPr>
        <w:footnoteReference w:id="166"/>
      </w:r>
      <w:r w:rsidRPr="00064619">
        <w:rPr>
          <w:rFonts w:cs="Taher"/>
          <w:vertAlign w:val="superscript"/>
          <w:rtl/>
          <w:lang w:bidi="ar-LB"/>
        </w:rPr>
        <w:t>)</w:t>
      </w:r>
      <w:r w:rsidRPr="00EA09EB">
        <w:rPr>
          <w:rFonts w:hint="cs"/>
          <w:rtl/>
        </w:rPr>
        <w:t>. إن الذين لا يدخلون عالم القرآن من باب تعاليم أهل البيت</w:t>
      </w:r>
      <w:r w:rsidR="007A340E">
        <w:rPr>
          <w:rFonts w:hint="cs"/>
          <w:rtl/>
        </w:rPr>
        <w:t>^</w:t>
      </w:r>
      <w:r w:rsidRPr="00EA09EB">
        <w:rPr>
          <w:rFonts w:hint="cs"/>
          <w:rtl/>
        </w:rPr>
        <w:t xml:space="preserve"> سوف يحرمون أنفسهم إدراك الكثير من المعاني والتعاليم القرآنية العميقة. إن تجاوز تعاليم النبيّ</w:t>
      </w:r>
      <w:r w:rsidRPr="00EA09EB">
        <w:rPr>
          <w:rFonts w:hint="cs"/>
          <w:rtl/>
        </w:rPr>
        <w:sym w:font="Roumouz" w:char="F02D"/>
      </w:r>
      <w:r w:rsidRPr="00EA09EB">
        <w:rPr>
          <w:rFonts w:hint="cs"/>
          <w:rtl/>
        </w:rPr>
        <w:t xml:space="preserve"> والأئمّة</w:t>
      </w:r>
      <w:r w:rsidR="007A340E">
        <w:rPr>
          <w:rFonts w:hint="cs"/>
          <w:rtl/>
        </w:rPr>
        <w:t>^</w:t>
      </w:r>
      <w:r w:rsidRPr="00EA09EB">
        <w:rPr>
          <w:rFonts w:hint="cs"/>
          <w:rtl/>
        </w:rPr>
        <w:t>، يؤدّي إلى فهم ناقصٍ وغيرِ صحيحٍ للدين</w:t>
      </w:r>
      <w:r w:rsidRPr="00064619">
        <w:rPr>
          <w:rFonts w:cs="Taher"/>
          <w:vertAlign w:val="superscript"/>
          <w:rtl/>
          <w:lang w:bidi="ar-LB"/>
        </w:rPr>
        <w:t>(</w:t>
      </w:r>
      <w:r w:rsidRPr="00064619">
        <w:rPr>
          <w:rStyle w:val="FootnoteReference"/>
          <w:rFonts w:cs="Taher"/>
          <w:sz w:val="32"/>
          <w:rtl/>
          <w:lang w:bidi="ar-LB"/>
        </w:rPr>
        <w:footnoteReference w:id="167"/>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إن التعاليم المأثورة عن المعصومين</w:t>
      </w:r>
      <w:r w:rsidR="007A340E">
        <w:rPr>
          <w:rFonts w:hint="cs"/>
          <w:rtl/>
        </w:rPr>
        <w:t>^</w:t>
      </w:r>
      <w:r w:rsidRPr="00A32FC0">
        <w:rPr>
          <w:rFonts w:hint="cs"/>
          <w:rtl/>
          <w:lang w:bidi="ar-LB"/>
        </w:rPr>
        <w:t xml:space="preserve">، والتي يعبّر عنها بالأحاديث والروايات، يمكن بحثها من زاويتين: </w:t>
      </w:r>
    </w:p>
    <w:p w:rsidR="00EA09EB" w:rsidRPr="00EA09EB" w:rsidRDefault="00EA09EB" w:rsidP="00EA09EB">
      <w:pPr>
        <w:rPr>
          <w:rtl/>
        </w:rPr>
      </w:pPr>
      <w:r w:rsidRPr="007A340E">
        <w:rPr>
          <w:rFonts w:hint="cs"/>
          <w:b/>
          <w:bCs/>
          <w:rtl/>
        </w:rPr>
        <w:t>الأولى</w:t>
      </w:r>
      <w:r w:rsidRPr="00EA09EB">
        <w:rPr>
          <w:rFonts w:hint="cs"/>
          <w:rtl/>
        </w:rPr>
        <w:t>: اعتبار وصحّة الإسناد إلى المعصوم. ليس كلّ ما ورد في الكتب الروائية هو بالضرورة كلامٌ للمعصوم</w:t>
      </w:r>
      <w:r>
        <w:rPr>
          <w:rFonts w:hint="cs"/>
          <w:rtl/>
        </w:rPr>
        <w:t>×</w:t>
      </w:r>
      <w:r w:rsidRPr="00EA09EB">
        <w:rPr>
          <w:rFonts w:hint="cs"/>
          <w:rtl/>
        </w:rPr>
        <w:t>؛ فقد قام البعض بدسّ آراء في الروايات، ونسبها إلى النبيّ</w:t>
      </w:r>
      <w:r w:rsidRPr="00EA09EB">
        <w:rPr>
          <w:rFonts w:hint="cs"/>
          <w:rtl/>
        </w:rPr>
        <w:sym w:font="Roumouz" w:char="F02D"/>
      </w:r>
      <w:r w:rsidRPr="00EA09EB">
        <w:rPr>
          <w:rFonts w:hint="cs"/>
          <w:rtl/>
        </w:rPr>
        <w:t xml:space="preserve"> أو الأئمّة</w:t>
      </w:r>
      <w:r w:rsidR="007A340E">
        <w:rPr>
          <w:rFonts w:hint="cs"/>
          <w:rtl/>
        </w:rPr>
        <w:t>^</w:t>
      </w:r>
      <w:r w:rsidRPr="00064619">
        <w:rPr>
          <w:rFonts w:cs="Taher"/>
          <w:sz w:val="32"/>
          <w:vertAlign w:val="superscript"/>
          <w:rtl/>
        </w:rPr>
        <w:t>(</w:t>
      </w:r>
      <w:r w:rsidRPr="00064619">
        <w:rPr>
          <w:rStyle w:val="FootnoteReference"/>
          <w:rFonts w:cs="Taher"/>
          <w:sz w:val="32"/>
          <w:rtl/>
        </w:rPr>
        <w:footnoteReference w:id="168"/>
      </w:r>
      <w:r w:rsidRPr="00064619">
        <w:rPr>
          <w:rFonts w:cs="Taher"/>
          <w:sz w:val="32"/>
          <w:vertAlign w:val="superscript"/>
          <w:rtl/>
        </w:rPr>
        <w:t>)</w:t>
      </w:r>
      <w:r w:rsidRPr="00EA09EB">
        <w:rPr>
          <w:rFonts w:hint="cs"/>
          <w:rtl/>
        </w:rPr>
        <w:t>. ولذلك يجب بحث الروايات من حيث سندها، وصحة نسبتها إلى المعصوم</w:t>
      </w:r>
      <w:r>
        <w:rPr>
          <w:rFonts w:hint="cs"/>
          <w:rtl/>
        </w:rPr>
        <w:t>×</w:t>
      </w:r>
      <w:r w:rsidRPr="00EA09EB">
        <w:rPr>
          <w:rFonts w:hint="cs"/>
          <w:rtl/>
        </w:rPr>
        <w:t>. ويتكفَّل علما الرجال والدراية بهذا البحث في مجال الفكر الإسلاميّ. فإن الأحاديث التي يمكن الاستناد والرجوع إليها هي الأحاديث التي صحَّحها علما الرجال والدراية فقط.</w:t>
      </w:r>
    </w:p>
    <w:p w:rsidR="00EA09EB" w:rsidRPr="00EA09EB" w:rsidRDefault="00EA09EB" w:rsidP="007A340E">
      <w:pPr>
        <w:ind w:firstLine="283"/>
        <w:rPr>
          <w:rtl/>
        </w:rPr>
      </w:pPr>
      <w:r w:rsidRPr="007A340E">
        <w:rPr>
          <w:rFonts w:hint="cs"/>
          <w:b/>
          <w:bCs/>
          <w:rtl/>
        </w:rPr>
        <w:t>الثانية</w:t>
      </w:r>
      <w:r w:rsidRPr="00EA09EB">
        <w:rPr>
          <w:rFonts w:hint="cs"/>
          <w:rtl/>
        </w:rPr>
        <w:t>: تنقسم التعاليم الواردة عن المعصومين</w:t>
      </w:r>
      <w:r w:rsidR="007A340E">
        <w:rPr>
          <w:rFonts w:hint="cs"/>
          <w:rtl/>
        </w:rPr>
        <w:t>^</w:t>
      </w:r>
      <w:r w:rsidRPr="00EA09EB">
        <w:rPr>
          <w:rFonts w:hint="cs"/>
          <w:rtl/>
        </w:rPr>
        <w:t xml:space="preserve"> إلى قسمين:</w:t>
      </w:r>
    </w:p>
    <w:p w:rsidR="00EA09EB" w:rsidRPr="00EA09EB" w:rsidRDefault="00EA09EB" w:rsidP="00EA09EB">
      <w:pPr>
        <w:rPr>
          <w:rtl/>
        </w:rPr>
      </w:pPr>
      <w:r w:rsidRPr="007A340E">
        <w:rPr>
          <w:rFonts w:hint="cs"/>
          <w:b/>
          <w:bCs/>
          <w:rtl/>
        </w:rPr>
        <w:t>الأوّل</w:t>
      </w:r>
      <w:r w:rsidRPr="00EA09EB">
        <w:rPr>
          <w:rFonts w:hint="cs"/>
          <w:rtl/>
        </w:rPr>
        <w:t>: وهو ناظر إلى حلّ المسائل وتقديم الإجابات عن أسئلة خاصّة من عصر المعصوم</w:t>
      </w:r>
      <w:r>
        <w:rPr>
          <w:rFonts w:hint="cs"/>
          <w:rtl/>
        </w:rPr>
        <w:t>×</w:t>
      </w:r>
      <w:r w:rsidRPr="00EA09EB">
        <w:rPr>
          <w:rFonts w:hint="cs"/>
          <w:rtl/>
        </w:rPr>
        <w:t xml:space="preserve">. وقد تتغيّر وتتبدّل هذه المسائل في أزمنة أخرى. ويسمَّى هذا القسم بالأحكام المتغيِّرة. </w:t>
      </w:r>
    </w:p>
    <w:p w:rsidR="00EA09EB" w:rsidRPr="00EA09EB" w:rsidRDefault="00EA09EB" w:rsidP="007A340E">
      <w:pPr>
        <w:ind w:firstLine="283"/>
        <w:rPr>
          <w:rtl/>
        </w:rPr>
      </w:pPr>
      <w:r w:rsidRPr="007A340E">
        <w:rPr>
          <w:rFonts w:hint="cs"/>
          <w:b/>
          <w:bCs/>
          <w:rtl/>
        </w:rPr>
        <w:t>الثاني</w:t>
      </w:r>
      <w:r w:rsidRPr="00EA09EB">
        <w:rPr>
          <w:rFonts w:hint="cs"/>
          <w:rtl/>
        </w:rPr>
        <w:t>: وهو ناظر إلى التعاليم والأحكام الدينية الثابتة غير القابلة للتغيُّر.</w:t>
      </w:r>
    </w:p>
    <w:p w:rsidR="00EA09EB" w:rsidRPr="00A32FC0" w:rsidRDefault="00EA09EB" w:rsidP="00635BE2">
      <w:pPr>
        <w:pStyle w:val="Normal87"/>
        <w:rPr>
          <w:rtl/>
        </w:rPr>
      </w:pPr>
      <w:r w:rsidRPr="00A32FC0">
        <w:rPr>
          <w:rFonts w:hint="cs"/>
          <w:rtl/>
        </w:rPr>
        <w:t>إنّ الاستفادة من القسم الأوّل تقتصر على التعرّف إلى منهج المعصومين</w:t>
      </w:r>
      <w:r w:rsidR="007A340E">
        <w:rPr>
          <w:rFonts w:hint="cs"/>
          <w:rtl/>
        </w:rPr>
        <w:t>^</w:t>
      </w:r>
      <w:r w:rsidRPr="00A32FC0">
        <w:rPr>
          <w:rFonts w:hint="cs"/>
          <w:rtl/>
        </w:rPr>
        <w:t xml:space="preserve"> في مواجهة المسائل المختلفة، وكيفية تعاطيهم مع الواقع. أمّا القسم الثاني فإنه يشكِّل نصّاً ثابتاً من نصوص الدين. والمراد من السنة ـ في الأعمّ الأغلب من مواردها ـ هو هذا القسم الثابت من تعاليم وأحكام الدين.</w:t>
      </w:r>
    </w:p>
    <w:p w:rsidR="00EA09EB" w:rsidRPr="00A32FC0" w:rsidRDefault="00EA09EB" w:rsidP="00635BE2">
      <w:pPr>
        <w:pStyle w:val="Normal84"/>
        <w:rPr>
          <w:rtl/>
        </w:rPr>
      </w:pPr>
      <w:r w:rsidRPr="00A32FC0">
        <w:rPr>
          <w:rFonts w:hint="cs"/>
          <w:rtl/>
        </w:rPr>
        <w:t xml:space="preserve">إنّ المسائل الدينية لا تخرج عن إحدى حالتين؛ إما أن تكون قد طرحت بشكل صريح في الكتاب والسنة؛ وإما أن لا تكون كذلك </w:t>
      </w:r>
      <w:r w:rsidRPr="00A32FC0">
        <w:rPr>
          <w:rtl/>
        </w:rPr>
        <w:t>ـ</w:t>
      </w:r>
      <w:r w:rsidRPr="00A32FC0">
        <w:rPr>
          <w:rFonts w:hint="cs"/>
          <w:rtl/>
        </w:rPr>
        <w:t xml:space="preserve"> أي لم تطرح بشكل صريح في القرآن والسنّة </w:t>
      </w:r>
      <w:r w:rsidRPr="00A32FC0">
        <w:rPr>
          <w:rtl/>
        </w:rPr>
        <w:t>ـ</w:t>
      </w:r>
      <w:r w:rsidRPr="00A32FC0">
        <w:rPr>
          <w:rFonts w:hint="cs"/>
          <w:rtl/>
        </w:rPr>
        <w:t>، فيتولى العلماء استنباط هذه المسائل من مجموع تعاليم الكتاب والسنّة. ومن الواضح أن استنباط المسائل المتعلقة بالقسم الأخير يتأثَّر بالعوامل التي تطرأ على عقلية المستنبِط أكثر مما يتأثَّر استنباط المسائل المتعلِّقة بالقسم الأوّل.</w:t>
      </w:r>
    </w:p>
    <w:p w:rsidR="00EA09EB" w:rsidRPr="00EA09EB" w:rsidRDefault="00EA09EB" w:rsidP="00635BE2">
      <w:pPr>
        <w:pStyle w:val="Normal84"/>
        <w:rPr>
          <w:rtl/>
        </w:rPr>
      </w:pPr>
      <w:r w:rsidRPr="00EA09EB">
        <w:rPr>
          <w:rFonts w:hint="cs"/>
          <w:rtl/>
        </w:rPr>
        <w:t>1</w:t>
      </w:r>
      <w:r w:rsidRPr="00EA09EB">
        <w:rPr>
          <w:rtl/>
        </w:rPr>
        <w:t>ـ</w:t>
      </w:r>
      <w:r w:rsidRPr="00EA09EB">
        <w:rPr>
          <w:rFonts w:hint="cs"/>
          <w:rtl/>
        </w:rPr>
        <w:t xml:space="preserve"> كلمة الولاية ومشتقّاتها هي من أكثر الكلمات استعمالاً في الروايات. فقد وردت آلاف المرّات في كتب الحديث الأربعة عند الشيعة، أي «الكافي»؛ و«من لا يحضره الفقيه»؛ و«تهذيب الأحكام»، و«الاستبصار». وكذا في كتاب «الوافي»، الذي جمع هذه الكتب الأربعة. وكذلك في موسوعات الأحاديث الفقهيّة الثلاث: «وسائل الشيعة»؛ و«مستدرك وسائل الشيعة»؛ و«جامع أحاديث الشيعة». وأخيراً في دائرتي المعارف الروائية: «بحار الأنوار»؛ و«العوالم». وباستعراض هذه الاستعمالات المختلفة لكلمة الولاية ومشتقّاتها في الروايات نلاحظ أنّ أقلّ من ثلث هذه الاستعمالات كانت في المعنى اللغوي، بعيداً عن الاصطلاحات العرفانيّة والكلاميّة والفقهيّة. وهذا القسم من الاستعمالات جاء من قبيل: وَلى يَلي (ثلاثي مجرَّد)، توالى، تولّى، يتوَلّى (باب تفعّل)، موالاة، و...</w:t>
      </w:r>
      <w:r w:rsidRPr="00A32FC0">
        <w:rPr>
          <w:rStyle w:val="FootnoteReference"/>
          <w:rFonts w:cs="Abz-1 (Lotus)"/>
          <w:sz w:val="32"/>
          <w:szCs w:val="32"/>
          <w:rtl/>
        </w:rPr>
        <w:t xml:space="preserve"> </w:t>
      </w:r>
      <w:r w:rsidRPr="00064619">
        <w:rPr>
          <w:rFonts w:cs="Taher"/>
          <w:sz w:val="32"/>
          <w:vertAlign w:val="superscript"/>
          <w:rtl/>
        </w:rPr>
        <w:t>(</w:t>
      </w:r>
      <w:r w:rsidRPr="00064619">
        <w:rPr>
          <w:rStyle w:val="FootnoteReference"/>
          <w:rFonts w:cs="Taher"/>
          <w:sz w:val="32"/>
          <w:rtl/>
        </w:rPr>
        <w:footnoteReference w:id="169"/>
      </w:r>
      <w:r w:rsidRPr="00064619">
        <w:rPr>
          <w:rFonts w:cs="Taher"/>
          <w:sz w:val="32"/>
          <w:vertAlign w:val="superscript"/>
          <w:rtl/>
        </w:rPr>
        <w:t>)</w:t>
      </w:r>
      <w:r w:rsidRPr="00EA09EB">
        <w:rPr>
          <w:rFonts w:hint="cs"/>
          <w:rtl/>
        </w:rPr>
        <w:t xml:space="preserve">. </w:t>
      </w:r>
    </w:p>
    <w:p w:rsidR="00EA09EB" w:rsidRPr="00A32FC0" w:rsidRDefault="00EA09EB" w:rsidP="00635BE2">
      <w:pPr>
        <w:pStyle w:val="Normal84"/>
        <w:rPr>
          <w:rtl/>
        </w:rPr>
      </w:pPr>
      <w:r w:rsidRPr="00A32FC0">
        <w:rPr>
          <w:rFonts w:hint="cs"/>
          <w:rtl/>
        </w:rPr>
        <w:t xml:space="preserve">وسوف يتركَّز بحث الولاية في السنّة على القسم الثاني من الاستعمالات، حيث </w:t>
      </w:r>
      <w:r w:rsidR="00B36623">
        <w:rPr>
          <w:rFonts w:hint="cs"/>
          <w:rtl/>
        </w:rPr>
        <w:t xml:space="preserve">يقوى </w:t>
      </w:r>
      <w:r w:rsidRPr="00A32FC0">
        <w:rPr>
          <w:rFonts w:hint="cs"/>
          <w:rtl/>
        </w:rPr>
        <w:t>احتمال المعنى الاصطلاحي لهذه الكلمة.</w:t>
      </w:r>
    </w:p>
    <w:p w:rsidR="00EA09EB" w:rsidRDefault="00EA09EB" w:rsidP="00635BE2">
      <w:pPr>
        <w:rPr>
          <w:rtl/>
        </w:rPr>
      </w:pPr>
      <w:r w:rsidRPr="00A32FC0">
        <w:rPr>
          <w:rFonts w:hint="cs"/>
          <w:rtl/>
        </w:rPr>
        <w:t>2</w:t>
      </w:r>
      <w:r w:rsidRPr="00A32FC0">
        <w:rPr>
          <w:rtl/>
        </w:rPr>
        <w:t>ـ</w:t>
      </w:r>
      <w:r w:rsidRPr="00A32FC0">
        <w:rPr>
          <w:rFonts w:hint="cs"/>
          <w:rtl/>
        </w:rPr>
        <w:t xml:space="preserve"> تنقسم الولاية في أوسع تقسيم لها في روايات النبي</w:t>
      </w:r>
      <w:r w:rsidRPr="00A32FC0">
        <w:rPr>
          <w:rFonts w:hint="cs"/>
          <w:rtl/>
        </w:rPr>
        <w:sym w:font="Roumouz" w:char="F02D"/>
      </w:r>
      <w:r w:rsidRPr="00A32FC0">
        <w:rPr>
          <w:rFonts w:hint="cs"/>
          <w:rtl/>
        </w:rPr>
        <w:t xml:space="preserve"> وأهل البيت</w:t>
      </w:r>
      <w:r w:rsidR="007A340E">
        <w:rPr>
          <w:rFonts w:hint="cs"/>
          <w:rtl/>
        </w:rPr>
        <w:t>^</w:t>
      </w:r>
      <w:r w:rsidRPr="00A32FC0">
        <w:rPr>
          <w:rFonts w:hint="cs"/>
          <w:rtl/>
        </w:rPr>
        <w:t xml:space="preserve"> إلى ثلاثة أقسام: الولاية العقائدية؛ الولاية الفقهية؛ والولايات السياسية والتاريخية. والحيثية الغالبة في التمييز بين الأقسام الثلاثة هي الملاك؛ حيث إن القسم الأول ـ مثلاً ـ تترتَّب عليه أحكام فقهية، والقسم الثاني ـ أيضاً ـ له مقدِّمات ومبادئ كلاميّة، والقسم الثالث ـ أيضاً ـ تترتَّب عليه أحكام فقهيّة، ومبادئ كلاميّة. وعلى الرغم من الأصل المعنويّ المشترك فإنّ للولاية في كلّ قسم من هذه الأقسام خصائص تميِّزها عن الولاية في القسمين الآخرين. فعدم المراعاة للمعنى الدقيق لأنواع الولاية الثلاثة، والخلط بينها، وحمل أحكام أحدها على الآخر، يؤدي إلى المغالطة، وسوء الفهم في التعاليم الدينية.</w:t>
      </w:r>
    </w:p>
    <w:p w:rsidR="007A340E" w:rsidRPr="00A32FC0" w:rsidRDefault="007A340E" w:rsidP="00EA09EB">
      <w:pPr>
        <w:rPr>
          <w:rtl/>
          <w:lang w:bidi="ar-LB"/>
        </w:rPr>
      </w:pPr>
    </w:p>
    <w:p w:rsidR="00EA09EB" w:rsidRPr="009C6220" w:rsidRDefault="00EA09EB" w:rsidP="007A340E">
      <w:pPr>
        <w:pStyle w:val="Heading3"/>
        <w:rPr>
          <w:rtl/>
        </w:rPr>
      </w:pPr>
      <w:r w:rsidRPr="007A340E">
        <w:rPr>
          <w:rFonts w:hint="cs"/>
          <w:rtl/>
        </w:rPr>
        <w:t>الولاية</w:t>
      </w:r>
      <w:r w:rsidRPr="009C6220">
        <w:rPr>
          <w:rFonts w:hint="cs"/>
          <w:rtl/>
        </w:rPr>
        <w:t xml:space="preserve"> العقائدية</w:t>
      </w:r>
    </w:p>
    <w:p w:rsidR="00EA09EB" w:rsidRPr="00A32FC0" w:rsidRDefault="00EA09EB" w:rsidP="00EA09EB">
      <w:pPr>
        <w:rPr>
          <w:rtl/>
          <w:lang w:bidi="ar-LB"/>
        </w:rPr>
      </w:pPr>
      <w:r w:rsidRPr="00A32FC0">
        <w:rPr>
          <w:rFonts w:hint="cs"/>
          <w:rtl/>
          <w:lang w:bidi="ar-LB"/>
        </w:rPr>
        <w:t>3</w:t>
      </w:r>
      <w:r w:rsidRPr="00A32FC0">
        <w:rPr>
          <w:rtl/>
          <w:lang w:bidi="ar-LB"/>
        </w:rPr>
        <w:t>ـ</w:t>
      </w:r>
      <w:r w:rsidRPr="00A32FC0">
        <w:rPr>
          <w:rFonts w:hint="cs"/>
          <w:rtl/>
          <w:lang w:bidi="ar-LB"/>
        </w:rPr>
        <w:t xml:space="preserve"> والمراد من الولاية العقائدية هو الولاية التي تُعدّ من مكوِّنات ولوازم التديُّن والإسلام. والولاية بالمعنى العقائدي تعني الأولوية والأحقّية في أمور ثلاثة: الحبّ؛ والنصرة؛ والتدبير. وتنقسم الولاية العقائدية إلى قسمين: ولاية إيجابيّة؛ وولاية سلبيّة. والولاية الإيجابية هي الولاية التي يُعَدُّ قبولها والالتزام بها من لوازم التديُّن. والولاية السلبيّة هي الولاية التي يُعَدُّ قبولها والالتزام بها خروجاً على الإسلام والدين، ويعتبر إنكارها والبراءة منها من ضروريّات الدين الإسلاميّ. </w:t>
      </w:r>
    </w:p>
    <w:p w:rsidR="00EA09EB" w:rsidRPr="00A32FC0" w:rsidRDefault="00EA09EB" w:rsidP="00EA09EB">
      <w:pPr>
        <w:rPr>
          <w:rtl/>
          <w:lang w:bidi="ar-LB"/>
        </w:rPr>
      </w:pPr>
      <w:r w:rsidRPr="00EA09EB">
        <w:rPr>
          <w:rFonts w:hint="cs"/>
          <w:rtl/>
        </w:rPr>
        <w:t>4</w:t>
      </w:r>
      <w:r w:rsidRPr="00EA09EB">
        <w:rPr>
          <w:rtl/>
        </w:rPr>
        <w:t>ـ</w:t>
      </w:r>
      <w:r w:rsidRPr="00EA09EB">
        <w:rPr>
          <w:rFonts w:hint="cs"/>
          <w:rtl/>
        </w:rPr>
        <w:t xml:space="preserve"> لقد تعرَّضت روايات المعصومين</w:t>
      </w:r>
      <w:r w:rsidR="007A340E">
        <w:rPr>
          <w:rFonts w:hint="cs"/>
          <w:rtl/>
        </w:rPr>
        <w:t>^</w:t>
      </w:r>
      <w:r w:rsidRPr="00EA09EB">
        <w:rPr>
          <w:rFonts w:hint="cs"/>
          <w:rtl/>
        </w:rPr>
        <w:t xml:space="preserve"> لأقسام الولاية العقائدية الإيجابية الثلاثة: ولاية الله تبارك وتعالى؛ وولاية الرسول</w:t>
      </w:r>
      <w:r w:rsidRPr="00EA09EB">
        <w:rPr>
          <w:rFonts w:hint="cs"/>
          <w:rtl/>
        </w:rPr>
        <w:sym w:font="Roumouz" w:char="F02D"/>
      </w:r>
      <w:r w:rsidRPr="00EA09EB">
        <w:rPr>
          <w:rFonts w:hint="cs"/>
          <w:rtl/>
        </w:rPr>
        <w:t>؛ وولاية أهل البيت</w:t>
      </w:r>
      <w:r w:rsidR="007A340E">
        <w:rPr>
          <w:rFonts w:hint="cs"/>
          <w:rtl/>
        </w:rPr>
        <w:t>^</w:t>
      </w:r>
      <w:r w:rsidRPr="00EA09EB">
        <w:rPr>
          <w:rFonts w:hint="cs"/>
          <w:rtl/>
        </w:rPr>
        <w:t>. فقد جاء استعمال كلمة الولاية في أقسامها الثلاثة في السنّة، على عكس ما جاء استعمالها في الكتاب، من حيث الكم، بمعنى أنّ أكثر موارد استعمال الولاية في القرآن هو الولاية الإلهيّة، ولم تتجاوز الموارد التي استعملت فيها الولاية بمعنى الولاية النبوية عُشْر الموارد التي استعملت فيها بمعنى الولاية الإلهية. وأمّا ولاية أمير المؤمنين</w:t>
      </w:r>
      <w:r>
        <w:rPr>
          <w:rFonts w:hint="cs"/>
          <w:rtl/>
        </w:rPr>
        <w:t>×</w:t>
      </w:r>
      <w:r w:rsidRPr="00EA09EB">
        <w:rPr>
          <w:rFonts w:hint="cs"/>
          <w:rtl/>
        </w:rPr>
        <w:t xml:space="preserve"> فلم ترِدْ سوى في آية واحدة</w:t>
      </w:r>
      <w:r w:rsidRPr="00064619">
        <w:rPr>
          <w:rFonts w:cs="Taher"/>
          <w:vertAlign w:val="superscript"/>
          <w:rtl/>
          <w:lang w:bidi="ar-LB"/>
        </w:rPr>
        <w:t>(</w:t>
      </w:r>
      <w:r w:rsidRPr="00064619">
        <w:rPr>
          <w:rStyle w:val="FootnoteReference"/>
          <w:rFonts w:cs="Taher"/>
          <w:sz w:val="32"/>
          <w:rtl/>
          <w:lang w:bidi="ar-LB"/>
        </w:rPr>
        <w:footnoteReference w:id="170"/>
      </w:r>
      <w:r w:rsidRPr="00064619">
        <w:rPr>
          <w:rFonts w:cs="Taher"/>
          <w:vertAlign w:val="superscript"/>
          <w:rtl/>
          <w:lang w:bidi="ar-LB"/>
        </w:rPr>
        <w:t>)</w:t>
      </w:r>
      <w:r w:rsidRPr="00A32FC0">
        <w:rPr>
          <w:rFonts w:hint="cs"/>
          <w:rtl/>
          <w:lang w:bidi="ar-LB"/>
        </w:rPr>
        <w:t>. أمّا في السنة فقد كانت أكثر استعمالات الولاية في جميع أقسامها (العقائدية، الفقهية، السياسية) بمعنى ولاية أهل البيت</w:t>
      </w:r>
      <w:r w:rsidR="007A340E">
        <w:rPr>
          <w:rFonts w:hint="cs"/>
          <w:rtl/>
        </w:rPr>
        <w:t>^</w:t>
      </w:r>
      <w:r w:rsidRPr="00A32FC0">
        <w:rPr>
          <w:rFonts w:hint="cs"/>
          <w:rtl/>
          <w:lang w:bidi="ar-LB"/>
        </w:rPr>
        <w:t>. وأما استعمال الولاية بالمعنى الإلهيّ والنبويّ فلم يتجاوز الواحد بالمائة من مجموع الاستعمالات في الروايات. هذه القلة والكثرة في الروايات ناشئة عن الحاجة إلى البيان والشرح والتذكير، بمعنى أنّ ولاية أهل البيت</w:t>
      </w:r>
      <w:r w:rsidR="007A340E">
        <w:rPr>
          <w:rFonts w:hint="cs"/>
          <w:rtl/>
        </w:rPr>
        <w:t>^</w:t>
      </w:r>
      <w:r w:rsidRPr="00A32FC0">
        <w:rPr>
          <w:rFonts w:hint="cs"/>
          <w:rtl/>
          <w:lang w:bidi="ar-LB"/>
        </w:rPr>
        <w:t xml:space="preserve"> كانت تحتاج إلى الكثير من التوضيح والتذكير بين المسلمين، وإلاّ فإنّه من الواضح جليّاً أن الولاية الإلهية أهمُّ من ولاية الرسول وأهل البيت</w:t>
      </w:r>
      <w:r w:rsidR="007A340E">
        <w:rPr>
          <w:rFonts w:hint="cs"/>
          <w:rtl/>
        </w:rPr>
        <w:t>^</w:t>
      </w:r>
      <w:r w:rsidRPr="00A32FC0">
        <w:rPr>
          <w:rFonts w:hint="cs"/>
          <w:rtl/>
          <w:lang w:bidi="ar-LB"/>
        </w:rPr>
        <w:t>. كما أنّه من الواضح أيضاً أنّ ولاية أهل البيت</w:t>
      </w:r>
      <w:r w:rsidR="007A340E">
        <w:rPr>
          <w:rFonts w:hint="cs"/>
          <w:rtl/>
        </w:rPr>
        <w:t>^</w:t>
      </w:r>
      <w:r w:rsidRPr="00A32FC0">
        <w:rPr>
          <w:rFonts w:hint="cs"/>
          <w:rtl/>
          <w:lang w:bidi="ar-LB"/>
        </w:rPr>
        <w:t xml:space="preserve"> هي ظلٌّ لولاية النبيّ</w:t>
      </w:r>
      <w:r w:rsidRPr="00A32FC0">
        <w:rPr>
          <w:rFonts w:hint="cs"/>
          <w:rtl/>
        </w:rPr>
        <w:sym w:font="Roumouz" w:char="F02D"/>
      </w:r>
      <w:r w:rsidRPr="00A32FC0">
        <w:rPr>
          <w:rFonts w:hint="cs"/>
          <w:rtl/>
          <w:lang w:bidi="ar-LB"/>
        </w:rPr>
        <w:t>.</w:t>
      </w:r>
    </w:p>
    <w:p w:rsidR="00EA09EB" w:rsidRPr="00A32FC0" w:rsidRDefault="00EA09EB" w:rsidP="00635BE2">
      <w:pPr>
        <w:pStyle w:val="Normal84"/>
        <w:rPr>
          <w:rtl/>
        </w:rPr>
      </w:pPr>
      <w:r w:rsidRPr="00A32FC0">
        <w:rPr>
          <w:rFonts w:hint="cs"/>
          <w:rtl/>
        </w:rPr>
        <w:t>5</w:t>
      </w:r>
      <w:r w:rsidRPr="00A32FC0">
        <w:rPr>
          <w:rtl/>
        </w:rPr>
        <w:t>ـ</w:t>
      </w:r>
      <w:r w:rsidRPr="00A32FC0">
        <w:rPr>
          <w:rFonts w:hint="cs"/>
          <w:rtl/>
        </w:rPr>
        <w:t xml:space="preserve"> في أحاديث المعصومين</w:t>
      </w:r>
      <w:r w:rsidR="007A340E">
        <w:rPr>
          <w:rFonts w:hint="cs"/>
          <w:rtl/>
        </w:rPr>
        <w:t>^</w:t>
      </w:r>
      <w:r w:rsidRPr="00A32FC0">
        <w:rPr>
          <w:rFonts w:hint="cs"/>
          <w:rtl/>
        </w:rPr>
        <w:t xml:space="preserve"> جاءت أكثر الاستعمالات للولاية الإلهية في صيغ دعاء: «اللهم إني أدينك بطاعتك وولايتك»</w:t>
      </w:r>
      <w:r w:rsidRPr="00064619">
        <w:rPr>
          <w:rFonts w:cs="Taher"/>
          <w:vertAlign w:val="superscript"/>
          <w:rtl/>
        </w:rPr>
        <w:t>(</w:t>
      </w:r>
      <w:r w:rsidRPr="00064619">
        <w:rPr>
          <w:rStyle w:val="FootnoteReference"/>
          <w:rFonts w:cs="Taher"/>
          <w:sz w:val="32"/>
          <w:rtl/>
        </w:rPr>
        <w:footnoteReference w:id="171"/>
      </w:r>
      <w:r w:rsidRPr="00064619">
        <w:rPr>
          <w:rFonts w:cs="Taher"/>
          <w:vertAlign w:val="superscript"/>
          <w:rtl/>
        </w:rPr>
        <w:t>)</w:t>
      </w:r>
      <w:r w:rsidRPr="00EA09EB">
        <w:rPr>
          <w:rFonts w:hint="cs"/>
          <w:rtl/>
        </w:rPr>
        <w:t>؛ «اللهمّ لا تسلبني ما أنعمت به عليّ من ولايتك»</w:t>
      </w:r>
      <w:r w:rsidRPr="00064619">
        <w:rPr>
          <w:rFonts w:cs="Taher"/>
          <w:vertAlign w:val="superscript"/>
          <w:rtl/>
        </w:rPr>
        <w:t>(</w:t>
      </w:r>
      <w:r w:rsidRPr="00064619">
        <w:rPr>
          <w:rStyle w:val="FootnoteReference"/>
          <w:rFonts w:cs="Taher"/>
          <w:sz w:val="32"/>
          <w:rtl/>
        </w:rPr>
        <w:footnoteReference w:id="172"/>
      </w:r>
      <w:r w:rsidRPr="00064619">
        <w:rPr>
          <w:rFonts w:cs="Taher"/>
          <w:vertAlign w:val="superscript"/>
          <w:rtl/>
        </w:rPr>
        <w:t>)</w:t>
      </w:r>
      <w:r w:rsidRPr="00EA09EB">
        <w:rPr>
          <w:rFonts w:hint="cs"/>
          <w:rtl/>
        </w:rPr>
        <w:t>؛ «اللهمّ لا عهد إلاّ عهدك، ولا ولاية إلاّ من قبلك»</w:t>
      </w:r>
      <w:r w:rsidRPr="00064619">
        <w:rPr>
          <w:rFonts w:cs="Taher"/>
          <w:vertAlign w:val="superscript"/>
          <w:rtl/>
        </w:rPr>
        <w:t>(</w:t>
      </w:r>
      <w:r w:rsidRPr="00064619">
        <w:rPr>
          <w:rStyle w:val="FootnoteReference"/>
          <w:rFonts w:cs="Taher"/>
          <w:sz w:val="32"/>
          <w:rtl/>
        </w:rPr>
        <w:footnoteReference w:id="173"/>
      </w:r>
      <w:r w:rsidRPr="00064619">
        <w:rPr>
          <w:rFonts w:cs="Taher"/>
          <w:vertAlign w:val="superscript"/>
          <w:rtl/>
        </w:rPr>
        <w:t>)</w:t>
      </w:r>
      <w:r w:rsidRPr="00EA09EB">
        <w:rPr>
          <w:rFonts w:hint="cs"/>
          <w:rtl/>
        </w:rPr>
        <w:t>. وفي أكثر الروايات استعملت الآيات الدالّة على الولاية الإلهية كمستندٍ ودليل. وحيث إن الولاية الإلهيّة هي من ضروريّات الدين، التي أكّد عليها القرآن</w:t>
      </w:r>
      <w:r w:rsidRPr="00064619">
        <w:rPr>
          <w:rFonts w:cs="Taher"/>
          <w:vertAlign w:val="superscript"/>
          <w:rtl/>
        </w:rPr>
        <w:t>(</w:t>
      </w:r>
      <w:r w:rsidRPr="00064619">
        <w:rPr>
          <w:rStyle w:val="FootnoteReference"/>
          <w:rFonts w:cs="Taher"/>
          <w:sz w:val="32"/>
          <w:rtl/>
        </w:rPr>
        <w:footnoteReference w:id="174"/>
      </w:r>
      <w:r w:rsidRPr="00064619">
        <w:rPr>
          <w:rFonts w:cs="Taher"/>
          <w:vertAlign w:val="superscript"/>
          <w:rtl/>
        </w:rPr>
        <w:t>)</w:t>
      </w:r>
      <w:r w:rsidRPr="00A32FC0">
        <w:rPr>
          <w:rFonts w:hint="cs"/>
          <w:rtl/>
        </w:rPr>
        <w:t xml:space="preserve"> في كثير من الموارد، فإنّه لم يكن هناك حاجة إلى المزيد من التأكيد على هذا الأصل في روايات أهل البيت</w:t>
      </w:r>
      <w:r w:rsidR="007A340E">
        <w:rPr>
          <w:rFonts w:hint="cs"/>
          <w:rtl/>
        </w:rPr>
        <w:t>^</w:t>
      </w:r>
      <w:r w:rsidRPr="00A32FC0">
        <w:rPr>
          <w:rFonts w:hint="cs"/>
          <w:rtl/>
        </w:rPr>
        <w:t>.</w:t>
      </w:r>
    </w:p>
    <w:p w:rsidR="00EA09EB" w:rsidRPr="00A32FC0" w:rsidRDefault="00EA09EB" w:rsidP="007A340E">
      <w:pPr>
        <w:rPr>
          <w:rtl/>
          <w:lang w:bidi="ar-LB"/>
        </w:rPr>
      </w:pPr>
      <w:r w:rsidRPr="00A32FC0">
        <w:rPr>
          <w:rFonts w:hint="cs"/>
          <w:rtl/>
          <w:lang w:bidi="ar-LB"/>
        </w:rPr>
        <w:t>6</w:t>
      </w:r>
      <w:r w:rsidRPr="00A32FC0">
        <w:rPr>
          <w:rtl/>
          <w:lang w:bidi="ar-LB"/>
        </w:rPr>
        <w:t>ـ</w:t>
      </w:r>
      <w:r w:rsidRPr="00A32FC0">
        <w:rPr>
          <w:rFonts w:hint="cs"/>
          <w:rtl/>
          <w:lang w:bidi="ar-LB"/>
        </w:rPr>
        <w:t xml:space="preserve"> لقد صرّح القرآن الكريم بولاية النبي</w:t>
      </w:r>
      <w:r w:rsidRPr="00A32FC0">
        <w:rPr>
          <w:rFonts w:hint="cs"/>
          <w:rtl/>
        </w:rPr>
        <w:sym w:font="Roumouz" w:char="F02D"/>
      </w:r>
      <w:r w:rsidRPr="00A32FC0">
        <w:rPr>
          <w:rFonts w:hint="cs"/>
          <w:rtl/>
          <w:lang w:bidi="ar-LB"/>
        </w:rPr>
        <w:t xml:space="preserve"> في عدّة آيات، منها: قوله تعالى: ﴿</w:t>
      </w:r>
      <w:r>
        <w:rPr>
          <w:b/>
          <w:bCs/>
          <w:rtl/>
        </w:rPr>
        <w:t>إِنَّمَا وَلِيُّكُمْ الل</w:t>
      </w:r>
      <w:r w:rsidRPr="00A32FC0">
        <w:rPr>
          <w:b/>
          <w:bCs/>
          <w:rtl/>
        </w:rPr>
        <w:t>هُ وَرَسُولُهُ وَالَّذِينَ آمَنُوا</w:t>
      </w:r>
      <w:r w:rsidRPr="00EA09EB">
        <w:rPr>
          <w:rFonts w:hint="cs"/>
          <w:rtl/>
        </w:rPr>
        <w:t>﴾</w:t>
      </w:r>
      <w:r w:rsidRPr="00064619">
        <w:rPr>
          <w:rFonts w:cs="Taher"/>
          <w:vertAlign w:val="superscript"/>
          <w:rtl/>
          <w:lang w:bidi="ar-LB"/>
        </w:rPr>
        <w:t>(</w:t>
      </w:r>
      <w:r w:rsidRPr="00064619">
        <w:rPr>
          <w:rStyle w:val="FootnoteReference"/>
          <w:rFonts w:cs="Taher"/>
          <w:sz w:val="32"/>
          <w:rtl/>
          <w:lang w:bidi="ar-LB"/>
        </w:rPr>
        <w:footnoteReference w:id="175"/>
      </w:r>
      <w:r w:rsidRPr="00064619">
        <w:rPr>
          <w:rFonts w:cs="Taher"/>
          <w:vertAlign w:val="superscript"/>
          <w:rtl/>
          <w:lang w:bidi="ar-LB"/>
        </w:rPr>
        <w:t>)</w:t>
      </w:r>
      <w:r w:rsidRPr="00A32FC0">
        <w:rPr>
          <w:rFonts w:hint="cs"/>
          <w:rtl/>
          <w:lang w:bidi="ar-LB"/>
        </w:rPr>
        <w:t>. وتجدر الإشارة إلى أن ثبوت ولاية أهل بيت الرسول</w:t>
      </w:r>
      <w:r w:rsidRPr="00A32FC0">
        <w:rPr>
          <w:rFonts w:hint="cs"/>
          <w:rtl/>
        </w:rPr>
        <w:sym w:font="Roumouz" w:char="F02D"/>
      </w:r>
      <w:r w:rsidRPr="00A32FC0">
        <w:rPr>
          <w:rFonts w:hint="cs"/>
          <w:rtl/>
          <w:lang w:bidi="ar-LB"/>
        </w:rPr>
        <w:t xml:space="preserve"> متوقِّف على ثبوت ولاية النبيّ</w:t>
      </w:r>
      <w:r w:rsidRPr="00A32FC0">
        <w:rPr>
          <w:rFonts w:hint="cs"/>
          <w:rtl/>
        </w:rPr>
        <w:sym w:font="Roumouz" w:char="F02D"/>
      </w:r>
      <w:r w:rsidRPr="00A32FC0">
        <w:rPr>
          <w:rFonts w:hint="cs"/>
          <w:rtl/>
          <w:lang w:bidi="ar-LB"/>
        </w:rPr>
        <w:t>. لذلك فإن جميع الأدلة المثبتة لولاية أهل البيت</w:t>
      </w:r>
      <w:r w:rsidR="007A340E">
        <w:rPr>
          <w:rFonts w:hint="cs"/>
          <w:rtl/>
        </w:rPr>
        <w:t>^</w:t>
      </w:r>
      <w:r w:rsidRPr="00A32FC0">
        <w:rPr>
          <w:rFonts w:hint="cs"/>
          <w:rtl/>
          <w:lang w:bidi="ar-LB"/>
        </w:rPr>
        <w:t xml:space="preserve"> تدلّ بالملازمة على ولاية الرسول</w:t>
      </w:r>
      <w:r w:rsidRPr="00A32FC0">
        <w:rPr>
          <w:rFonts w:hint="cs"/>
          <w:rtl/>
        </w:rPr>
        <w:sym w:font="Roumouz" w:char="F02D"/>
      </w:r>
      <w:r w:rsidRPr="00A32FC0">
        <w:rPr>
          <w:rFonts w:hint="cs"/>
          <w:rtl/>
          <w:lang w:bidi="ar-LB"/>
        </w:rPr>
        <w:t>. وبما أنّه من الواضح والمسلّم أن الولاية النبوية هي من ضروريات الإسلام لم يكن هناك حاجةٌ لأن يُفْرَد بحثٌ مستقلٌّ لها في الروايات، مع العلم أنّ مضمون الولاية النبويّة قد ورد في كثير من الروايات.</w:t>
      </w:r>
    </w:p>
    <w:p w:rsidR="00EA09EB" w:rsidRPr="00A32FC0" w:rsidRDefault="00EA09EB" w:rsidP="00635BE2">
      <w:pPr>
        <w:pStyle w:val="Normal87"/>
        <w:rPr>
          <w:rtl/>
        </w:rPr>
      </w:pPr>
      <w:r w:rsidRPr="00A32FC0">
        <w:rPr>
          <w:rFonts w:hint="cs"/>
          <w:rtl/>
        </w:rPr>
        <w:t>7</w:t>
      </w:r>
      <w:r w:rsidRPr="00A32FC0">
        <w:rPr>
          <w:rtl/>
        </w:rPr>
        <w:t>ـ</w:t>
      </w:r>
      <w:r w:rsidRPr="00A32FC0">
        <w:rPr>
          <w:rFonts w:hint="cs"/>
          <w:rtl/>
        </w:rPr>
        <w:t xml:space="preserve"> إن أكثر مباحث الولاية أهمية في الروايات هو بحث ولاية أهل البيت</w:t>
      </w:r>
      <w:r w:rsidR="007A340E">
        <w:rPr>
          <w:rFonts w:hint="cs"/>
          <w:rtl/>
        </w:rPr>
        <w:t>^</w:t>
      </w:r>
      <w:r w:rsidRPr="00A32FC0">
        <w:rPr>
          <w:rFonts w:hint="cs"/>
          <w:rtl/>
        </w:rPr>
        <w:t>. ويبلغ مجموع الروايات الدالّة على ولاية أهل البيت عدّة مجلَّدات. تعدّ ولاية أهل البيت من وجهة نظر الشيعة إحدى المسلَّمات في التعاليم النبوية. وولايتهم هي عين ولاية الرسول</w:t>
      </w:r>
      <w:r w:rsidRPr="00A32FC0">
        <w:rPr>
          <w:rFonts w:hint="cs"/>
          <w:rtl/>
        </w:rPr>
        <w:sym w:font="Roumouz" w:char="F02D"/>
      </w:r>
      <w:r w:rsidRPr="00A32FC0">
        <w:rPr>
          <w:rFonts w:hint="cs"/>
          <w:rtl/>
        </w:rPr>
        <w:t>. وبما أن ولاية الرسول لا تقتصر على الحبّ فقط، بل تشمل الأولوية في التصرُّف والتدبير أيضاً، فإنّ ولاية أهل البيت</w:t>
      </w:r>
      <w:r w:rsidR="007A340E">
        <w:rPr>
          <w:rFonts w:hint="cs"/>
          <w:rtl/>
        </w:rPr>
        <w:t>^</w:t>
      </w:r>
      <w:r w:rsidRPr="00A32FC0">
        <w:rPr>
          <w:rFonts w:hint="cs"/>
          <w:rtl/>
        </w:rPr>
        <w:t xml:space="preserve"> كذلك أيضاً. والمكانة الأهمّ لأهل البيت تبرز في مرجعيتهم في تفسير القرآن، وتوضيح التعاليم النبوية. ولا يكتمل الدين إلاّ بولايتهم. والحاجة إليهم حاجة دائمة لا تختص بزمان. ومن الواضح أنهم ـ في عصر حضورهم ـ أولى بتولّي شؤون المجتمع الإسلاميّ وزعامته، إلاّ أنّ ولايتهم لا تنحصر بمسألة الحكومة والزعامة السياسية، فالحكومة فرعٌ صغيرٌ من فروع الإمامة. وعلينا أن لا نخلط بين هذين الأمرين</w:t>
      </w:r>
      <w:r w:rsidRPr="00064619">
        <w:rPr>
          <w:rFonts w:cs="Taher"/>
          <w:vertAlign w:val="superscript"/>
          <w:rtl/>
        </w:rPr>
        <w:t>(</w:t>
      </w:r>
      <w:r w:rsidRPr="00064619">
        <w:rPr>
          <w:rStyle w:val="FootnoteReference"/>
          <w:rFonts w:cs="Taher"/>
          <w:sz w:val="32"/>
          <w:rtl/>
        </w:rPr>
        <w:footnoteReference w:id="176"/>
      </w:r>
      <w:r w:rsidRPr="00064619">
        <w:rPr>
          <w:rFonts w:cs="Taher"/>
          <w:vertAlign w:val="superscript"/>
          <w:rtl/>
        </w:rPr>
        <w:t>)</w:t>
      </w:r>
      <w:r w:rsidRPr="00A32FC0">
        <w:rPr>
          <w:rFonts w:hint="cs"/>
          <w:rtl/>
        </w:rPr>
        <w:t>.</w:t>
      </w:r>
    </w:p>
    <w:p w:rsidR="00EA09EB" w:rsidRPr="00A32FC0" w:rsidRDefault="00EA09EB" w:rsidP="00635BE2">
      <w:pPr>
        <w:pStyle w:val="Normal84"/>
        <w:rPr>
          <w:rtl/>
        </w:rPr>
      </w:pPr>
      <w:r w:rsidRPr="00A32FC0">
        <w:rPr>
          <w:rFonts w:hint="cs"/>
          <w:rtl/>
        </w:rPr>
        <w:t>يُعَدّ حديث الغدير من أهمّ الأدلّة الروائيّة على ولاية أهل البيت، وبخاصّة ولاية الإمام عليّ</w:t>
      </w:r>
      <w:r>
        <w:rPr>
          <w:rFonts w:hint="cs"/>
          <w:rtl/>
        </w:rPr>
        <w:t>×</w:t>
      </w:r>
      <w:r w:rsidRPr="00A32FC0">
        <w:rPr>
          <w:rFonts w:hint="cs"/>
          <w:rtl/>
        </w:rPr>
        <w:t>. وهو من الروايات المتواترة عند الفريقين</w:t>
      </w:r>
      <w:r w:rsidRPr="00064619">
        <w:rPr>
          <w:rFonts w:cs="Taher"/>
          <w:vertAlign w:val="superscript"/>
          <w:rtl/>
        </w:rPr>
        <w:t>(</w:t>
      </w:r>
      <w:r w:rsidRPr="00064619">
        <w:rPr>
          <w:rStyle w:val="FootnoteReference"/>
          <w:rFonts w:cs="Taher"/>
          <w:sz w:val="32"/>
          <w:rtl/>
        </w:rPr>
        <w:footnoteReference w:id="177"/>
      </w:r>
      <w:r w:rsidRPr="00064619">
        <w:rPr>
          <w:rFonts w:cs="Taher"/>
          <w:vertAlign w:val="superscript"/>
          <w:rtl/>
        </w:rPr>
        <w:t>)</w:t>
      </w:r>
      <w:r w:rsidRPr="00EA09EB">
        <w:rPr>
          <w:rFonts w:hint="cs"/>
          <w:rtl/>
        </w:rPr>
        <w:t>. قال النبي</w:t>
      </w:r>
      <w:r w:rsidRPr="00EA09EB">
        <w:rPr>
          <w:rFonts w:hint="cs"/>
          <w:rtl/>
        </w:rPr>
        <w:sym w:font="Roumouz" w:char="F02D"/>
      </w:r>
      <w:r w:rsidRPr="00EA09EB">
        <w:rPr>
          <w:rFonts w:hint="cs"/>
          <w:rtl/>
        </w:rPr>
        <w:t xml:space="preserve"> في حجّة الوداع (في 18 ذي الحجة سنة 10هـ)، وفي حضور جمع كبير من المهاجرين والأنصار، في مكان يسمّى غدير خم: «يا أيّها الناس، مَنْ وليُّكم وأولى بكم من أنفسكم؟ قالوا: الله ورسوله، فقال</w:t>
      </w:r>
      <w:r w:rsidRPr="00EA09EB">
        <w:rPr>
          <w:rFonts w:hint="cs"/>
          <w:rtl/>
        </w:rPr>
        <w:sym w:font="Roumouz" w:char="F02D"/>
      </w:r>
      <w:r w:rsidRPr="00EA09EB">
        <w:rPr>
          <w:rFonts w:hint="cs"/>
          <w:rtl/>
        </w:rPr>
        <w:t>: مَنْ كُنتُ مولاه فعليٌّ مولاه، اللهمّ والِ مَنْ والاه، وعادِ مَنْ عاداه»</w:t>
      </w:r>
      <w:r w:rsidRPr="00064619">
        <w:rPr>
          <w:rFonts w:cs="Taher"/>
          <w:vertAlign w:val="superscript"/>
          <w:rtl/>
        </w:rPr>
        <w:t>(</w:t>
      </w:r>
      <w:r w:rsidRPr="00064619">
        <w:rPr>
          <w:rStyle w:val="FootnoteReference"/>
          <w:rFonts w:cs="Taher"/>
          <w:sz w:val="32"/>
          <w:rtl/>
        </w:rPr>
        <w:footnoteReference w:id="178"/>
      </w:r>
      <w:r w:rsidRPr="00064619">
        <w:rPr>
          <w:rFonts w:cs="Taher"/>
          <w:vertAlign w:val="superscript"/>
          <w:rtl/>
        </w:rPr>
        <w:t>)</w:t>
      </w:r>
      <w:r w:rsidRPr="00A32FC0">
        <w:rPr>
          <w:rFonts w:hint="cs"/>
          <w:rtl/>
        </w:rPr>
        <w:t>.</w:t>
      </w:r>
    </w:p>
    <w:p w:rsidR="00EA09EB" w:rsidRPr="00A32FC0" w:rsidRDefault="00EA09EB" w:rsidP="00EA09EB">
      <w:pPr>
        <w:rPr>
          <w:rtl/>
          <w:lang w:bidi="ar-LB"/>
        </w:rPr>
      </w:pPr>
      <w:r w:rsidRPr="00A32FC0">
        <w:rPr>
          <w:rFonts w:hint="cs"/>
          <w:rtl/>
          <w:lang w:bidi="ar-LB"/>
        </w:rPr>
        <w:t>وقد أشار أمير المؤمنين</w:t>
      </w:r>
      <w:r>
        <w:rPr>
          <w:rFonts w:hint="cs"/>
          <w:rtl/>
        </w:rPr>
        <w:t>×</w:t>
      </w:r>
      <w:r w:rsidRPr="00A32FC0">
        <w:rPr>
          <w:rFonts w:hint="cs"/>
          <w:rtl/>
          <w:lang w:bidi="ar-LB"/>
        </w:rPr>
        <w:t xml:space="preserve"> في «نهج البلاغة» إلى هذه الأولوية والولاية في عدة موارد، ومن جملتها: في سياق تعريضه بقريش: </w:t>
      </w:r>
      <w:r w:rsidRPr="00A32FC0">
        <w:rPr>
          <w:rFonts w:hint="cs"/>
          <w:rtl/>
        </w:rPr>
        <w:t>«</w:t>
      </w:r>
      <w:r w:rsidRPr="00A32FC0">
        <w:rPr>
          <w:rFonts w:hint="cs"/>
          <w:rtl/>
          <w:lang w:bidi="ar-LB"/>
        </w:rPr>
        <w:t>وأجمعوا على منازعتي حقّاً كنت أولى به من غيري</w:t>
      </w:r>
      <w:r w:rsidRPr="00A32FC0">
        <w:rPr>
          <w:rFonts w:hint="cs"/>
          <w:rtl/>
        </w:rPr>
        <w:t>»</w:t>
      </w:r>
      <w:r w:rsidRPr="00064619">
        <w:rPr>
          <w:rFonts w:cs="Taher"/>
          <w:vertAlign w:val="superscript"/>
          <w:rtl/>
        </w:rPr>
        <w:t>(</w:t>
      </w:r>
      <w:r w:rsidRPr="00064619">
        <w:rPr>
          <w:rStyle w:val="FootnoteReference"/>
          <w:rFonts w:cs="Taher"/>
          <w:sz w:val="32"/>
          <w:rtl/>
        </w:rPr>
        <w:footnoteReference w:id="179"/>
      </w:r>
      <w:r w:rsidRPr="00064619">
        <w:rPr>
          <w:rFonts w:cs="Taher"/>
          <w:vertAlign w:val="superscript"/>
          <w:rtl/>
        </w:rPr>
        <w:t>)</w:t>
      </w:r>
      <w:r w:rsidRPr="00A32FC0">
        <w:rPr>
          <w:rFonts w:hint="cs"/>
          <w:rtl/>
          <w:lang w:bidi="ar-LB"/>
        </w:rPr>
        <w:t>.</w:t>
      </w:r>
    </w:p>
    <w:p w:rsidR="00EA09EB" w:rsidRPr="00A32FC0" w:rsidRDefault="00EA09EB" w:rsidP="00635BE2">
      <w:pPr>
        <w:pStyle w:val="Normal84"/>
        <w:rPr>
          <w:rtl/>
        </w:rPr>
      </w:pPr>
      <w:r w:rsidRPr="00A32FC0">
        <w:rPr>
          <w:rFonts w:hint="cs"/>
          <w:rtl/>
        </w:rPr>
        <w:t>8</w:t>
      </w:r>
      <w:r w:rsidRPr="00A32FC0">
        <w:rPr>
          <w:rtl/>
        </w:rPr>
        <w:t>ـ</w:t>
      </w:r>
      <w:r w:rsidRPr="00A32FC0">
        <w:rPr>
          <w:rFonts w:hint="cs"/>
          <w:rtl/>
        </w:rPr>
        <w:t xml:space="preserve"> إنّ أحد أهمّ الأدلة على ولاية أهل البيت</w:t>
      </w:r>
      <w:r w:rsidR="007A340E">
        <w:rPr>
          <w:rFonts w:hint="cs"/>
          <w:rtl/>
        </w:rPr>
        <w:t>^</w:t>
      </w:r>
      <w:r w:rsidRPr="00A32FC0">
        <w:rPr>
          <w:rFonts w:hint="cs"/>
          <w:rtl/>
        </w:rPr>
        <w:t>، حديث (دعائم الإسلام) المستفيض، فعن الإمام محمّد الباقر</w:t>
      </w:r>
      <w:r>
        <w:rPr>
          <w:rFonts w:hint="cs"/>
          <w:rtl/>
        </w:rPr>
        <w:t>×</w:t>
      </w:r>
      <w:r w:rsidRPr="00A32FC0">
        <w:rPr>
          <w:rFonts w:hint="cs"/>
          <w:rtl/>
        </w:rPr>
        <w:t xml:space="preserve">: «بني الإسلام على خمس: على الصلاة، والزكاة، والصوم، والحجّ، والولاية، ولم يُنادَ بشيءٍ كما نودي بالولاية، فأخذ الناس بأربع، وتركوا هذه </w:t>
      </w:r>
      <w:r w:rsidRPr="00A32FC0">
        <w:rPr>
          <w:rtl/>
        </w:rPr>
        <w:t>ـ</w:t>
      </w:r>
      <w:r w:rsidRPr="00A32FC0">
        <w:rPr>
          <w:rFonts w:hint="cs"/>
          <w:rtl/>
        </w:rPr>
        <w:t xml:space="preserve"> يعني الولاية...»</w:t>
      </w:r>
      <w:r w:rsidRPr="00064619">
        <w:rPr>
          <w:rFonts w:cs="Taher"/>
          <w:vertAlign w:val="superscript"/>
          <w:rtl/>
        </w:rPr>
        <w:t>(</w:t>
      </w:r>
      <w:r w:rsidRPr="00064619">
        <w:rPr>
          <w:rStyle w:val="FootnoteReference"/>
          <w:rFonts w:cs="Taher"/>
          <w:sz w:val="32"/>
          <w:rtl/>
        </w:rPr>
        <w:footnoteReference w:id="180"/>
      </w:r>
      <w:r w:rsidRPr="00064619">
        <w:rPr>
          <w:rFonts w:cs="Taher"/>
          <w:vertAlign w:val="superscript"/>
          <w:rtl/>
        </w:rPr>
        <w:t>)</w:t>
      </w:r>
      <w:r w:rsidRPr="00EA09EB">
        <w:rPr>
          <w:rFonts w:hint="cs"/>
          <w:rtl/>
        </w:rPr>
        <w:t>. وفي رواية أخرى، قال زرارة: «وأيُّ شيءٍ من ذلك أفضل؟ فقال</w:t>
      </w:r>
      <w:r>
        <w:rPr>
          <w:rFonts w:hint="cs"/>
          <w:rtl/>
        </w:rPr>
        <w:t>×</w:t>
      </w:r>
      <w:r w:rsidRPr="00EA09EB">
        <w:rPr>
          <w:rFonts w:hint="cs"/>
          <w:rtl/>
        </w:rPr>
        <w:t>: الولاية أفضل؛ لأنها مفتاحهنّ، والوالي هو الدليل عليهنّ...، ثم قال</w:t>
      </w:r>
      <w:r>
        <w:rPr>
          <w:rFonts w:hint="cs"/>
          <w:rtl/>
        </w:rPr>
        <w:t>×</w:t>
      </w:r>
      <w:r w:rsidRPr="00EA09EB">
        <w:rPr>
          <w:rFonts w:hint="cs"/>
          <w:rtl/>
        </w:rPr>
        <w:t>: ذروة الأمر، وسنامه، ومفتاحه، وباب الأشياء، ورضا الرحمن، الطاعةُ للإمام بعد معرفته.... أمّا لو أنّ رجلاً قام ليله، وصام نهاره، وتصدّق بجميع ماله، وحجّ جميع دهره، ولم يعرف ولاية وليّ الله، فيواليه، ويكون جميع أعماله بدلالته إليه، ما كان له على الله جلّ وعزّ حقٌّ في ثوابه، ولا كان من أهل الإيمان»</w:t>
      </w:r>
      <w:r w:rsidRPr="00064619">
        <w:rPr>
          <w:rFonts w:cs="Taher"/>
          <w:vertAlign w:val="superscript"/>
          <w:rtl/>
        </w:rPr>
        <w:t>(</w:t>
      </w:r>
      <w:r w:rsidRPr="00064619">
        <w:rPr>
          <w:rStyle w:val="FootnoteReference"/>
          <w:rFonts w:cs="Taher"/>
          <w:sz w:val="32"/>
          <w:rtl/>
        </w:rPr>
        <w:footnoteReference w:id="181"/>
      </w:r>
      <w:r w:rsidRPr="00064619">
        <w:rPr>
          <w:rFonts w:cs="Taher"/>
          <w:vertAlign w:val="superscript"/>
          <w:rtl/>
        </w:rPr>
        <w:t>)</w:t>
      </w:r>
      <w:r w:rsidRPr="00A32FC0">
        <w:rPr>
          <w:rFonts w:hint="cs"/>
          <w:rtl/>
        </w:rPr>
        <w:t>.</w:t>
      </w:r>
    </w:p>
    <w:p w:rsidR="00EA09EB" w:rsidRPr="00A32FC0" w:rsidRDefault="00EA09EB" w:rsidP="00635BE2">
      <w:pPr>
        <w:pStyle w:val="Normal93"/>
        <w:rPr>
          <w:rtl/>
        </w:rPr>
      </w:pPr>
      <w:r w:rsidRPr="00A32FC0">
        <w:rPr>
          <w:rFonts w:hint="cs"/>
          <w:rtl/>
        </w:rPr>
        <w:t>تعدّ ولاية أهل البيت</w:t>
      </w:r>
      <w:r w:rsidR="007A340E">
        <w:rPr>
          <w:rFonts w:hint="cs"/>
          <w:rtl/>
        </w:rPr>
        <w:t>^</w:t>
      </w:r>
      <w:r w:rsidRPr="00A32FC0">
        <w:rPr>
          <w:rFonts w:hint="cs"/>
          <w:rtl/>
        </w:rPr>
        <w:t xml:space="preserve"> أهمّ ركن من أركان المذهب. ولا يمكن فهم جميع أحكام الدين إلاّ على ضوئها. إنّ المراد من الولاية في روايات (دعائم الإسلام) هو ولاية آل محمّد</w:t>
      </w:r>
      <w:r w:rsidR="007A340E">
        <w:rPr>
          <w:rFonts w:hint="cs"/>
          <w:rtl/>
        </w:rPr>
        <w:t>^</w:t>
      </w:r>
      <w:r w:rsidRPr="00064619">
        <w:rPr>
          <w:rFonts w:cs="Taher"/>
          <w:vertAlign w:val="superscript"/>
          <w:rtl/>
        </w:rPr>
        <w:t>(</w:t>
      </w:r>
      <w:r w:rsidRPr="00064619">
        <w:rPr>
          <w:rStyle w:val="FootnoteReference"/>
          <w:rFonts w:cs="Taher"/>
          <w:sz w:val="32"/>
          <w:rtl/>
        </w:rPr>
        <w:footnoteReference w:id="182"/>
      </w:r>
      <w:r w:rsidRPr="00064619">
        <w:rPr>
          <w:rFonts w:cs="Taher"/>
          <w:vertAlign w:val="superscript"/>
          <w:rtl/>
        </w:rPr>
        <w:t>)</w:t>
      </w:r>
      <w:r w:rsidRPr="00EA09EB">
        <w:rPr>
          <w:rFonts w:hint="cs"/>
          <w:rtl/>
        </w:rPr>
        <w:t>، تلك الولاية التي نادى بها الرسول</w:t>
      </w:r>
      <w:r w:rsidRPr="00EA09EB">
        <w:rPr>
          <w:rFonts w:hint="cs"/>
          <w:rtl/>
        </w:rPr>
        <w:sym w:font="Roumouz" w:char="F02D"/>
      </w:r>
      <w:r w:rsidRPr="00EA09EB">
        <w:rPr>
          <w:rFonts w:hint="cs"/>
          <w:rtl/>
        </w:rPr>
        <w:t xml:space="preserve"> في غدير خمّ</w:t>
      </w:r>
      <w:r w:rsidRPr="00064619">
        <w:rPr>
          <w:rFonts w:cs="Taher"/>
          <w:vertAlign w:val="superscript"/>
          <w:rtl/>
        </w:rPr>
        <w:t>(</w:t>
      </w:r>
      <w:r w:rsidRPr="00064619">
        <w:rPr>
          <w:rStyle w:val="FootnoteReference"/>
          <w:rFonts w:cs="Taher"/>
          <w:sz w:val="32"/>
          <w:rtl/>
        </w:rPr>
        <w:footnoteReference w:id="183"/>
      </w:r>
      <w:r w:rsidRPr="00064619">
        <w:rPr>
          <w:rFonts w:cs="Taher"/>
          <w:vertAlign w:val="superscript"/>
          <w:rtl/>
        </w:rPr>
        <w:t>)</w:t>
      </w:r>
      <w:r w:rsidRPr="00EA09EB">
        <w:rPr>
          <w:rFonts w:hint="cs"/>
          <w:rtl/>
        </w:rPr>
        <w:t>. وهي شرط في قبول العبادات الواجبة: «بموالاتكم تقبل الطاعات المفروضة»</w:t>
      </w:r>
      <w:r w:rsidRPr="00064619">
        <w:rPr>
          <w:rFonts w:cs="Taher"/>
          <w:vertAlign w:val="superscript"/>
          <w:rtl/>
        </w:rPr>
        <w:t>(</w:t>
      </w:r>
      <w:r w:rsidRPr="00064619">
        <w:rPr>
          <w:rStyle w:val="FootnoteReference"/>
          <w:rFonts w:cs="Taher"/>
          <w:sz w:val="32"/>
          <w:rtl/>
        </w:rPr>
        <w:footnoteReference w:id="184"/>
      </w:r>
      <w:r w:rsidRPr="00064619">
        <w:rPr>
          <w:rFonts w:cs="Taher"/>
          <w:vertAlign w:val="superscript"/>
          <w:rtl/>
        </w:rPr>
        <w:t>)</w:t>
      </w:r>
      <w:r w:rsidRPr="00EA09EB">
        <w:rPr>
          <w:rFonts w:hint="cs"/>
          <w:rtl/>
        </w:rPr>
        <w:t>. وقد اكتمل الدين بإعلام هذه الولاية</w:t>
      </w:r>
      <w:r w:rsidRPr="00064619">
        <w:rPr>
          <w:rFonts w:cs="Taher"/>
          <w:vertAlign w:val="superscript"/>
          <w:rtl/>
        </w:rPr>
        <w:t>(</w:t>
      </w:r>
      <w:r w:rsidRPr="00064619">
        <w:rPr>
          <w:rStyle w:val="FootnoteReference"/>
          <w:rFonts w:cs="Taher"/>
          <w:sz w:val="32"/>
          <w:rtl/>
        </w:rPr>
        <w:footnoteReference w:id="185"/>
      </w:r>
      <w:r w:rsidRPr="00064619">
        <w:rPr>
          <w:rFonts w:cs="Taher"/>
          <w:vertAlign w:val="superscript"/>
          <w:rtl/>
        </w:rPr>
        <w:t>)</w:t>
      </w:r>
      <w:r w:rsidRPr="00A32FC0">
        <w:rPr>
          <w:rFonts w:hint="cs"/>
          <w:rtl/>
        </w:rPr>
        <w:t>. ورواية دعائم الإسلام وما شابهها من أحاديث هي أدلّة على ولاية أهل بيت العصمة. إنّ استعمال الولاية في ولاية غير المعصوم غير صحيح، ويدلّ على عدم فهم الدين. ولو فرضنا أن هناك أمراً متفرِّعاً عن ولاية أهل البيت فهل هناك دليل على أنّ الفرع يتطابق مع الأصل المتفرِّع عنه في جميع أحكامه ولوازمه؟</w:t>
      </w:r>
    </w:p>
    <w:p w:rsidR="00EA09EB" w:rsidRDefault="00EA09EB" w:rsidP="00635BE2">
      <w:pPr>
        <w:pStyle w:val="Normal93"/>
        <w:rPr>
          <w:rtl/>
        </w:rPr>
      </w:pPr>
      <w:r w:rsidRPr="00A32FC0">
        <w:rPr>
          <w:rFonts w:hint="cs"/>
          <w:rtl/>
        </w:rPr>
        <w:t>9</w:t>
      </w:r>
      <w:r w:rsidRPr="00A32FC0">
        <w:rPr>
          <w:rtl/>
        </w:rPr>
        <w:t>ـ</w:t>
      </w:r>
      <w:r w:rsidRPr="00A32FC0">
        <w:rPr>
          <w:rFonts w:hint="cs"/>
          <w:rtl/>
        </w:rPr>
        <w:t xml:space="preserve"> لقد وردت الولاية بمعناها السلبيّ في الروايات. وقد قام أهل البيت</w:t>
      </w:r>
      <w:r w:rsidR="007A340E">
        <w:rPr>
          <w:rFonts w:hint="cs"/>
          <w:rtl/>
        </w:rPr>
        <w:t>^</w:t>
      </w:r>
      <w:r w:rsidRPr="00A32FC0">
        <w:rPr>
          <w:rFonts w:hint="cs"/>
          <w:rtl/>
        </w:rPr>
        <w:t xml:space="preserve"> بشرح وتفصيل ولاية أولئك الذين نهى الله عن ولايتهم وطاعتهم</w:t>
      </w:r>
      <w:r w:rsidRPr="00064619">
        <w:rPr>
          <w:rFonts w:cs="Taher"/>
          <w:vertAlign w:val="superscript"/>
          <w:rtl/>
        </w:rPr>
        <w:t>(</w:t>
      </w:r>
      <w:r w:rsidRPr="00064619">
        <w:rPr>
          <w:rStyle w:val="FootnoteReference"/>
          <w:rFonts w:cs="Taher"/>
          <w:sz w:val="32"/>
          <w:rtl/>
        </w:rPr>
        <w:footnoteReference w:id="186"/>
      </w:r>
      <w:r w:rsidRPr="00064619">
        <w:rPr>
          <w:rFonts w:cs="Taher"/>
          <w:vertAlign w:val="superscript"/>
          <w:rtl/>
        </w:rPr>
        <w:t>)</w:t>
      </w:r>
      <w:r w:rsidRPr="00EA09EB">
        <w:rPr>
          <w:rFonts w:hint="cs"/>
          <w:rtl/>
        </w:rPr>
        <w:t>: «لا دين لمَنْ دان لإمامٍ جائرٍ»</w:t>
      </w:r>
      <w:r w:rsidRPr="00064619">
        <w:rPr>
          <w:rFonts w:cs="Taher"/>
          <w:vertAlign w:val="superscript"/>
          <w:rtl/>
        </w:rPr>
        <w:t>(</w:t>
      </w:r>
      <w:r w:rsidRPr="00064619">
        <w:rPr>
          <w:rStyle w:val="FootnoteReference"/>
          <w:rFonts w:cs="Taher"/>
          <w:sz w:val="32"/>
          <w:rtl/>
        </w:rPr>
        <w:footnoteReference w:id="187"/>
      </w:r>
      <w:r w:rsidRPr="00064619">
        <w:rPr>
          <w:rFonts w:cs="Taher"/>
          <w:vertAlign w:val="superscript"/>
          <w:rtl/>
        </w:rPr>
        <w:t>)</w:t>
      </w:r>
      <w:r w:rsidRPr="00EA09EB">
        <w:rPr>
          <w:rFonts w:hint="cs"/>
          <w:rtl/>
        </w:rPr>
        <w:t>. وقد عُنيت الروايات في مسألة الولاية السلبيّة بمنكري ولاية أهل البيت</w:t>
      </w:r>
      <w:r w:rsidR="007A340E">
        <w:rPr>
          <w:rFonts w:hint="cs"/>
          <w:rtl/>
        </w:rPr>
        <w:t>^</w:t>
      </w:r>
      <w:r w:rsidRPr="00EA09EB">
        <w:rPr>
          <w:rFonts w:hint="cs"/>
          <w:rtl/>
        </w:rPr>
        <w:t xml:space="preserve"> عناية خاصّة. فقد تحدَّثت عن هذا الصنف من أصناف الولاية السلبية أكثر ممّا تحدَّثت عنه في الأصناف الأخرى.</w:t>
      </w:r>
    </w:p>
    <w:p w:rsidR="00EA09EB" w:rsidRPr="009C6220" w:rsidRDefault="00EA09EB" w:rsidP="007A340E">
      <w:pPr>
        <w:pStyle w:val="Heading3"/>
        <w:rPr>
          <w:rtl/>
        </w:rPr>
      </w:pPr>
      <w:r w:rsidRPr="009C6220">
        <w:rPr>
          <w:rFonts w:hint="cs"/>
          <w:rtl/>
        </w:rPr>
        <w:t xml:space="preserve">الولاية </w:t>
      </w:r>
      <w:r w:rsidRPr="007A340E">
        <w:rPr>
          <w:rFonts w:hint="cs"/>
          <w:rtl/>
        </w:rPr>
        <w:t>الفقهية</w:t>
      </w:r>
    </w:p>
    <w:p w:rsidR="00EA09EB" w:rsidRPr="00A32FC0" w:rsidRDefault="00EA09EB" w:rsidP="00635BE2">
      <w:pPr>
        <w:rPr>
          <w:rtl/>
        </w:rPr>
      </w:pPr>
      <w:r w:rsidRPr="00A32FC0">
        <w:rPr>
          <w:rFonts w:hint="cs"/>
          <w:rtl/>
        </w:rPr>
        <w:t>10</w:t>
      </w:r>
      <w:r w:rsidRPr="00A32FC0">
        <w:rPr>
          <w:rtl/>
        </w:rPr>
        <w:t>ـ</w:t>
      </w:r>
      <w:r w:rsidRPr="00A32FC0">
        <w:rPr>
          <w:rFonts w:hint="cs"/>
          <w:rtl/>
        </w:rPr>
        <w:t xml:space="preserve"> الولاية الفقهية أو الولاية الشرعية هي من جملة الأحكام الوضعيّة التي جعلت من قبل الشارع؛ ليجبر بها قصور وعدم قدرة المولّى عليهم على التصدّي لشؤونهم. وقد خُصِّص عدد كبير من الروايات لتوضيح وبيان جزئيات الولايات الفقهيّة. وبشكل عام فإنّنا نلاحظ أن روايات المعصومين</w:t>
      </w:r>
      <w:r w:rsidR="007A340E">
        <w:rPr>
          <w:rFonts w:hint="cs"/>
          <w:rtl/>
        </w:rPr>
        <w:t>^</w:t>
      </w:r>
      <w:r w:rsidRPr="00A32FC0">
        <w:rPr>
          <w:rFonts w:hint="cs"/>
          <w:rtl/>
        </w:rPr>
        <w:t xml:space="preserve"> قد أرست الولايات الفقهية التالية:</w:t>
      </w:r>
    </w:p>
    <w:p w:rsidR="00EA09EB" w:rsidRPr="00EA09EB" w:rsidRDefault="00EA09EB" w:rsidP="00635BE2">
      <w:pPr>
        <w:rPr>
          <w:rtl/>
        </w:rPr>
      </w:pPr>
      <w:r w:rsidRPr="007A340E">
        <w:rPr>
          <w:rFonts w:hint="cs"/>
          <w:b/>
          <w:bCs/>
          <w:rtl/>
        </w:rPr>
        <w:t>الأولى</w:t>
      </w:r>
      <w:r w:rsidRPr="00EA09EB">
        <w:rPr>
          <w:rFonts w:hint="cs"/>
          <w:rtl/>
        </w:rPr>
        <w:t>: ولاية أولياء الدم</w:t>
      </w:r>
      <w:r w:rsidRPr="00064619">
        <w:rPr>
          <w:rFonts w:cs="Taher"/>
          <w:sz w:val="32"/>
          <w:vertAlign w:val="superscript"/>
          <w:rtl/>
        </w:rPr>
        <w:t>(</w:t>
      </w:r>
      <w:r w:rsidRPr="00064619">
        <w:rPr>
          <w:rStyle w:val="FootnoteReference"/>
          <w:rFonts w:cs="Taher"/>
          <w:sz w:val="32"/>
          <w:rtl/>
          <w:lang w:bidi="ar-LB"/>
        </w:rPr>
        <w:footnoteReference w:id="188"/>
      </w:r>
      <w:r w:rsidRPr="00064619">
        <w:rPr>
          <w:rFonts w:cs="Taher"/>
          <w:sz w:val="32"/>
          <w:vertAlign w:val="superscript"/>
          <w:rtl/>
        </w:rPr>
        <w:t>)</w:t>
      </w:r>
      <w:r w:rsidRPr="00EA09EB">
        <w:rPr>
          <w:rFonts w:hint="cs"/>
          <w:rtl/>
        </w:rPr>
        <w:t>.</w:t>
      </w:r>
    </w:p>
    <w:p w:rsidR="00EA09EB" w:rsidRPr="00EA09EB" w:rsidRDefault="00EA09EB" w:rsidP="00635BE2">
      <w:pPr>
        <w:pStyle w:val="Normal93"/>
        <w:rPr>
          <w:rtl/>
        </w:rPr>
      </w:pPr>
      <w:r w:rsidRPr="007A340E">
        <w:rPr>
          <w:rFonts w:hint="cs"/>
          <w:b/>
          <w:bCs/>
          <w:rtl/>
        </w:rPr>
        <w:t>الثانية</w:t>
      </w:r>
      <w:r w:rsidRPr="00EA09EB">
        <w:rPr>
          <w:rFonts w:hint="cs"/>
          <w:rtl/>
        </w:rPr>
        <w:t>: ولاية الأب والجد للأب، على القاصر والسفيه والمجنون من أبنائهما</w:t>
      </w:r>
      <w:r w:rsidRPr="00064619">
        <w:rPr>
          <w:rFonts w:cs="Taher"/>
          <w:sz w:val="32"/>
          <w:vertAlign w:val="superscript"/>
          <w:rtl/>
        </w:rPr>
        <w:t>(</w:t>
      </w:r>
      <w:r w:rsidRPr="00064619">
        <w:rPr>
          <w:rStyle w:val="FootnoteReference"/>
          <w:rFonts w:cs="Taher"/>
          <w:sz w:val="32"/>
          <w:rtl/>
        </w:rPr>
        <w:footnoteReference w:id="189"/>
      </w:r>
      <w:r w:rsidRPr="00064619">
        <w:rPr>
          <w:rFonts w:cs="Taher"/>
          <w:sz w:val="32"/>
          <w:vertAlign w:val="superscript"/>
          <w:rtl/>
        </w:rPr>
        <w:t>)</w:t>
      </w:r>
      <w:r w:rsidRPr="00EA09EB">
        <w:rPr>
          <w:rFonts w:hint="cs"/>
          <w:rtl/>
        </w:rPr>
        <w:t>، وخصوصاً ولايتهما على نكاحهم وطلاقهم</w:t>
      </w:r>
      <w:r w:rsidRPr="00064619">
        <w:rPr>
          <w:rFonts w:cs="Taher"/>
          <w:sz w:val="32"/>
          <w:vertAlign w:val="superscript"/>
          <w:rtl/>
        </w:rPr>
        <w:t>(</w:t>
      </w:r>
      <w:r w:rsidRPr="00064619">
        <w:rPr>
          <w:rStyle w:val="FootnoteReference"/>
          <w:rFonts w:cs="Taher"/>
          <w:sz w:val="32"/>
          <w:rtl/>
        </w:rPr>
        <w:footnoteReference w:id="190"/>
      </w:r>
      <w:r w:rsidRPr="00064619">
        <w:rPr>
          <w:rFonts w:cs="Taher"/>
          <w:sz w:val="32"/>
          <w:vertAlign w:val="superscript"/>
          <w:rtl/>
        </w:rPr>
        <w:t>)</w:t>
      </w:r>
      <w:r w:rsidRPr="00EA09EB">
        <w:rPr>
          <w:rFonts w:hint="cs"/>
          <w:rtl/>
        </w:rPr>
        <w:t>.</w:t>
      </w:r>
    </w:p>
    <w:p w:rsidR="00EA09EB" w:rsidRPr="00EA09EB" w:rsidRDefault="00EA09EB" w:rsidP="00635BE2">
      <w:pPr>
        <w:pStyle w:val="Normal93"/>
        <w:rPr>
          <w:rtl/>
        </w:rPr>
      </w:pPr>
      <w:r w:rsidRPr="007A340E">
        <w:rPr>
          <w:rFonts w:hint="cs"/>
          <w:b/>
          <w:bCs/>
          <w:rtl/>
        </w:rPr>
        <w:t>الثالثة</w:t>
      </w:r>
      <w:r w:rsidRPr="00EA09EB">
        <w:rPr>
          <w:rFonts w:hint="cs"/>
          <w:rtl/>
        </w:rPr>
        <w:t>: ولاية أولياء الميت في الصلاة وتكفين ودفن الميت</w:t>
      </w:r>
      <w:r w:rsidRPr="00064619">
        <w:rPr>
          <w:rFonts w:cs="Taher"/>
          <w:sz w:val="32"/>
          <w:vertAlign w:val="superscript"/>
          <w:rtl/>
        </w:rPr>
        <w:t>(</w:t>
      </w:r>
      <w:r w:rsidRPr="00064619">
        <w:rPr>
          <w:rStyle w:val="FootnoteReference"/>
          <w:rFonts w:cs="Taher"/>
          <w:sz w:val="32"/>
          <w:rtl/>
        </w:rPr>
        <w:footnoteReference w:id="191"/>
      </w:r>
      <w:r w:rsidRPr="00064619">
        <w:rPr>
          <w:rFonts w:cs="Taher"/>
          <w:sz w:val="32"/>
          <w:vertAlign w:val="superscript"/>
          <w:rtl/>
        </w:rPr>
        <w:t>)</w:t>
      </w:r>
      <w:r w:rsidRPr="00EA09EB">
        <w:rPr>
          <w:rFonts w:hint="cs"/>
          <w:rtl/>
        </w:rPr>
        <w:t>.</w:t>
      </w:r>
    </w:p>
    <w:p w:rsidR="00EA09EB" w:rsidRPr="00EA09EB" w:rsidRDefault="00EA09EB" w:rsidP="00635BE2">
      <w:pPr>
        <w:rPr>
          <w:rtl/>
        </w:rPr>
      </w:pPr>
      <w:r w:rsidRPr="007A340E">
        <w:rPr>
          <w:rFonts w:hint="cs"/>
          <w:b/>
          <w:bCs/>
          <w:rtl/>
        </w:rPr>
        <w:t>الرابعة</w:t>
      </w:r>
      <w:r w:rsidRPr="00EA09EB">
        <w:rPr>
          <w:rFonts w:hint="cs"/>
          <w:rtl/>
        </w:rPr>
        <w:t>: ولاية الولد الأكبر الذكر على قضاء ما فات والده</w:t>
      </w:r>
      <w:r w:rsidRPr="00064619">
        <w:rPr>
          <w:rFonts w:cs="Taher"/>
          <w:sz w:val="32"/>
          <w:vertAlign w:val="superscript"/>
          <w:rtl/>
        </w:rPr>
        <w:t>(</w:t>
      </w:r>
      <w:r w:rsidRPr="00064619">
        <w:rPr>
          <w:rStyle w:val="FootnoteReference"/>
          <w:rFonts w:cs="Taher"/>
          <w:sz w:val="32"/>
          <w:rtl/>
          <w:lang w:bidi="ar-LB"/>
        </w:rPr>
        <w:footnoteReference w:id="192"/>
      </w:r>
      <w:r w:rsidRPr="00064619">
        <w:rPr>
          <w:rFonts w:cs="Taher"/>
          <w:sz w:val="32"/>
          <w:vertAlign w:val="superscript"/>
          <w:rtl/>
        </w:rPr>
        <w:t>)</w:t>
      </w:r>
      <w:r w:rsidRPr="00EA09EB">
        <w:rPr>
          <w:rFonts w:hint="cs"/>
          <w:rtl/>
        </w:rPr>
        <w:t xml:space="preserve">. </w:t>
      </w:r>
    </w:p>
    <w:p w:rsidR="00EA09EB" w:rsidRPr="00EA09EB" w:rsidRDefault="00EA09EB" w:rsidP="00635BE2">
      <w:pPr>
        <w:pStyle w:val="Normal93"/>
        <w:rPr>
          <w:rtl/>
        </w:rPr>
      </w:pPr>
      <w:r w:rsidRPr="007A340E">
        <w:rPr>
          <w:rFonts w:hint="cs"/>
          <w:b/>
          <w:bCs/>
          <w:rtl/>
        </w:rPr>
        <w:t>الخامسة</w:t>
      </w:r>
      <w:r w:rsidRPr="00EA09EB">
        <w:rPr>
          <w:rFonts w:hint="cs"/>
          <w:rtl/>
        </w:rPr>
        <w:t>: ولاية الإرث</w:t>
      </w:r>
      <w:r w:rsidRPr="00064619">
        <w:rPr>
          <w:rFonts w:cs="Taher"/>
          <w:sz w:val="32"/>
          <w:vertAlign w:val="superscript"/>
          <w:rtl/>
        </w:rPr>
        <w:t>(</w:t>
      </w:r>
      <w:r w:rsidRPr="00064619">
        <w:rPr>
          <w:rStyle w:val="FootnoteReference"/>
          <w:rFonts w:cs="Taher"/>
          <w:sz w:val="32"/>
          <w:rtl/>
        </w:rPr>
        <w:footnoteReference w:id="193"/>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السادسة</w:t>
      </w:r>
      <w:r w:rsidRPr="00EA09EB">
        <w:rPr>
          <w:rFonts w:hint="cs"/>
          <w:rtl/>
        </w:rPr>
        <w:t>: ولاية وقيمومة الوصيّ</w:t>
      </w:r>
      <w:r w:rsidRPr="00064619">
        <w:rPr>
          <w:rFonts w:cs="Taher"/>
          <w:sz w:val="32"/>
          <w:vertAlign w:val="superscript"/>
          <w:rtl/>
          <w:lang w:bidi="ar-LB"/>
        </w:rPr>
        <w:t>(</w:t>
      </w:r>
      <w:r w:rsidRPr="00064619">
        <w:rPr>
          <w:rStyle w:val="FootnoteReference"/>
          <w:rFonts w:cs="Taher"/>
          <w:sz w:val="32"/>
          <w:rtl/>
          <w:lang w:bidi="ar-LB"/>
        </w:rPr>
        <w:footnoteReference w:id="194"/>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السابعة</w:t>
      </w:r>
      <w:r w:rsidRPr="00EA09EB">
        <w:rPr>
          <w:rFonts w:hint="cs"/>
          <w:rtl/>
        </w:rPr>
        <w:t>: ولاية الوقف</w:t>
      </w:r>
      <w:r w:rsidRPr="00064619">
        <w:rPr>
          <w:rFonts w:cs="Taher"/>
          <w:sz w:val="32"/>
          <w:vertAlign w:val="superscript"/>
          <w:rtl/>
          <w:lang w:bidi="ar-LB"/>
        </w:rPr>
        <w:t>(</w:t>
      </w:r>
      <w:r w:rsidRPr="00064619">
        <w:rPr>
          <w:rStyle w:val="FootnoteReference"/>
          <w:rFonts w:cs="Taher"/>
          <w:sz w:val="32"/>
          <w:rtl/>
          <w:lang w:bidi="ar-LB"/>
        </w:rPr>
        <w:footnoteReference w:id="195"/>
      </w:r>
      <w:r w:rsidRPr="00064619">
        <w:rPr>
          <w:rFonts w:cs="Taher"/>
          <w:sz w:val="32"/>
          <w:vertAlign w:val="superscript"/>
          <w:rtl/>
          <w:lang w:bidi="ar-LB"/>
        </w:rPr>
        <w:t>)</w:t>
      </w:r>
      <w:r w:rsidRPr="00EA09EB">
        <w:rPr>
          <w:rFonts w:hint="cs"/>
          <w:rtl/>
        </w:rPr>
        <w:t xml:space="preserve">. </w:t>
      </w:r>
    </w:p>
    <w:p w:rsidR="00EA09EB" w:rsidRPr="00EA09EB" w:rsidRDefault="00EA09EB" w:rsidP="007A340E">
      <w:pPr>
        <w:ind w:firstLine="283"/>
        <w:rPr>
          <w:rtl/>
        </w:rPr>
      </w:pPr>
      <w:r w:rsidRPr="007A340E">
        <w:rPr>
          <w:rFonts w:hint="cs"/>
          <w:b/>
          <w:bCs/>
          <w:rtl/>
        </w:rPr>
        <w:t>الثامنة</w:t>
      </w:r>
      <w:r w:rsidRPr="00EA09EB">
        <w:rPr>
          <w:rFonts w:hint="cs"/>
          <w:rtl/>
        </w:rPr>
        <w:t>: ولاء العتق</w:t>
      </w:r>
      <w:r w:rsidRPr="00064619">
        <w:rPr>
          <w:rFonts w:cs="Taher"/>
          <w:sz w:val="32"/>
          <w:vertAlign w:val="superscript"/>
          <w:rtl/>
          <w:lang w:bidi="ar-LB"/>
        </w:rPr>
        <w:t>(</w:t>
      </w:r>
      <w:r w:rsidRPr="00064619">
        <w:rPr>
          <w:rStyle w:val="FootnoteReference"/>
          <w:rFonts w:cs="Taher"/>
          <w:sz w:val="32"/>
          <w:rtl/>
          <w:lang w:bidi="ar-LB"/>
        </w:rPr>
        <w:footnoteReference w:id="196"/>
      </w:r>
      <w:r w:rsidRPr="00064619">
        <w:rPr>
          <w:rFonts w:cs="Taher"/>
          <w:sz w:val="32"/>
          <w:vertAlign w:val="superscript"/>
          <w:rtl/>
          <w:lang w:bidi="ar-LB"/>
        </w:rPr>
        <w:t>)</w:t>
      </w:r>
      <w:r w:rsidRPr="00EA09EB">
        <w:rPr>
          <w:rFonts w:hint="cs"/>
          <w:rtl/>
        </w:rPr>
        <w:t xml:space="preserve">. </w:t>
      </w:r>
    </w:p>
    <w:p w:rsidR="00EA09EB" w:rsidRPr="00A32FC0" w:rsidRDefault="00EA09EB" w:rsidP="00EA09EB">
      <w:pPr>
        <w:rPr>
          <w:rtl/>
          <w:lang w:bidi="ar-LB"/>
        </w:rPr>
      </w:pPr>
      <w:r w:rsidRPr="00A32FC0">
        <w:rPr>
          <w:rFonts w:hint="cs"/>
          <w:b/>
          <w:bCs/>
          <w:rtl/>
          <w:lang w:bidi="ar-LB"/>
        </w:rPr>
        <w:t>التاسعة</w:t>
      </w:r>
      <w:r w:rsidRPr="00EA09EB">
        <w:rPr>
          <w:rFonts w:hint="cs"/>
          <w:rtl/>
        </w:rPr>
        <w:t>: ولاء ضمان الجريرة</w:t>
      </w:r>
      <w:r w:rsidRPr="00064619">
        <w:rPr>
          <w:rFonts w:cs="Taher"/>
          <w:vertAlign w:val="superscript"/>
          <w:rtl/>
          <w:lang w:bidi="ar-LB"/>
        </w:rPr>
        <w:t>(</w:t>
      </w:r>
      <w:r w:rsidRPr="00064619">
        <w:rPr>
          <w:rStyle w:val="FootnoteReference"/>
          <w:rFonts w:cs="Taher"/>
          <w:sz w:val="32"/>
          <w:rtl/>
          <w:lang w:bidi="ar-LB"/>
        </w:rPr>
        <w:footnoteReference w:id="197"/>
      </w:r>
      <w:r w:rsidRPr="00064619">
        <w:rPr>
          <w:rFonts w:cs="Taher"/>
          <w:vertAlign w:val="superscript"/>
          <w:rtl/>
          <w:lang w:bidi="ar-LB"/>
        </w:rPr>
        <w:t>)</w:t>
      </w:r>
      <w:r w:rsidRPr="00A32FC0">
        <w:rPr>
          <w:rFonts w:hint="cs"/>
          <w:rtl/>
          <w:lang w:bidi="ar-LB"/>
        </w:rPr>
        <w:t>.</w:t>
      </w:r>
    </w:p>
    <w:p w:rsidR="00EA09EB" w:rsidRPr="00EA09EB" w:rsidRDefault="00EA09EB" w:rsidP="00EA09EB">
      <w:pPr>
        <w:rPr>
          <w:rtl/>
        </w:rPr>
      </w:pPr>
      <w:r w:rsidRPr="00A32FC0">
        <w:rPr>
          <w:rFonts w:hint="cs"/>
          <w:rtl/>
          <w:lang w:bidi="ar-LB"/>
        </w:rPr>
        <w:t>11</w:t>
      </w:r>
      <w:r w:rsidRPr="00A32FC0">
        <w:rPr>
          <w:rtl/>
          <w:lang w:bidi="ar-LB"/>
        </w:rPr>
        <w:t>ـ</w:t>
      </w:r>
      <w:r w:rsidRPr="00A32FC0">
        <w:rPr>
          <w:rFonts w:hint="cs"/>
          <w:rtl/>
          <w:lang w:bidi="ar-LB"/>
        </w:rPr>
        <w:t xml:space="preserve"> في حال فقدان الأولياء في أمور الصغار، والسفهاء، والمجانين، والدم، والصلاة، وتجهيز الميت، والإرث، والأوقاف، يتولّى أعمال الولاية والٍ عادلٌ، يُعبَّر عنه أيضاً بالإمام والسلطان</w:t>
      </w:r>
      <w:r w:rsidRPr="00064619">
        <w:rPr>
          <w:rFonts w:cs="Taher"/>
          <w:vertAlign w:val="superscript"/>
          <w:rtl/>
          <w:lang w:bidi="ar-LB"/>
        </w:rPr>
        <w:t>(</w:t>
      </w:r>
      <w:r w:rsidRPr="00064619">
        <w:rPr>
          <w:rStyle w:val="FootnoteReference"/>
          <w:rFonts w:cs="Taher"/>
          <w:sz w:val="32"/>
          <w:rtl/>
          <w:lang w:bidi="ar-LB"/>
        </w:rPr>
        <w:footnoteReference w:id="198"/>
      </w:r>
      <w:r w:rsidRPr="00064619">
        <w:rPr>
          <w:rFonts w:cs="Taher"/>
          <w:vertAlign w:val="superscript"/>
          <w:rtl/>
          <w:lang w:bidi="ar-LB"/>
        </w:rPr>
        <w:t>)</w:t>
      </w:r>
      <w:r w:rsidRPr="00EA09EB">
        <w:rPr>
          <w:rFonts w:hint="cs"/>
          <w:rtl/>
        </w:rPr>
        <w:t>: «السلطان وليّ مَنْ لا وليّ له»</w:t>
      </w:r>
      <w:r w:rsidRPr="00064619">
        <w:rPr>
          <w:rFonts w:cs="Taher"/>
          <w:vertAlign w:val="superscript"/>
          <w:rtl/>
          <w:lang w:bidi="ar-LB"/>
        </w:rPr>
        <w:t>(</w:t>
      </w:r>
      <w:r w:rsidRPr="00064619">
        <w:rPr>
          <w:rStyle w:val="FootnoteReference"/>
          <w:rFonts w:cs="Taher"/>
          <w:sz w:val="32"/>
          <w:rtl/>
          <w:lang w:bidi="ar-LB"/>
        </w:rPr>
        <w:footnoteReference w:id="199"/>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ويعبّر عن هذه الأمور في الفقه بالأمور الحسبيّة. ويعتبر الفقهاء أن هذه الأمور الحسبية في زمن غيبة المعصوم</w:t>
      </w:r>
      <w:r>
        <w:rPr>
          <w:rFonts w:hint="cs"/>
          <w:rtl/>
        </w:rPr>
        <w:t>×</w:t>
      </w:r>
      <w:r w:rsidRPr="00A32FC0">
        <w:rPr>
          <w:rFonts w:hint="cs"/>
          <w:rtl/>
          <w:lang w:bidi="ar-LB"/>
        </w:rPr>
        <w:t xml:space="preserve"> هي من صلاحيّات الفقيه، الذي يعبِّرون عنه أيضاً بالحاكم الشرعيّ.</w:t>
      </w:r>
    </w:p>
    <w:p w:rsidR="00EA09EB" w:rsidRPr="00EA09EB" w:rsidRDefault="00EA09EB" w:rsidP="007A340E">
      <w:pPr>
        <w:ind w:firstLine="283"/>
        <w:rPr>
          <w:rtl/>
        </w:rPr>
      </w:pPr>
      <w:r w:rsidRPr="00EA09EB">
        <w:rPr>
          <w:rFonts w:hint="cs"/>
          <w:rtl/>
        </w:rPr>
        <w:t>12</w:t>
      </w:r>
      <w:r w:rsidRPr="00EA09EB">
        <w:rPr>
          <w:rtl/>
        </w:rPr>
        <w:t>ـ</w:t>
      </w:r>
      <w:r w:rsidRPr="00EA09EB">
        <w:rPr>
          <w:rFonts w:hint="cs"/>
          <w:rtl/>
        </w:rPr>
        <w:t xml:space="preserve"> يلاحظ في الروايات أنّ التصدّي لبعض الأمور غير الحسبيّة (الأمور التي تحتاج إلى ولاية، ولا وليّ شرعيّ معيّن لها)، وإجراء بعض أحكام الشرعية، قد أنيط بالوالي، والإمام، والأمير، والسلطان العادل أو القائم على أمور المسلمين</w:t>
      </w:r>
      <w:r w:rsidRPr="00064619">
        <w:rPr>
          <w:rFonts w:cs="Taher"/>
          <w:sz w:val="32"/>
          <w:vertAlign w:val="superscript"/>
          <w:rtl/>
          <w:lang w:bidi="ar-LB"/>
        </w:rPr>
        <w:t>(</w:t>
      </w:r>
      <w:r w:rsidRPr="00064619">
        <w:rPr>
          <w:rStyle w:val="FootnoteReference"/>
          <w:rFonts w:cs="Taher"/>
          <w:sz w:val="32"/>
          <w:rtl/>
          <w:lang w:bidi="ar-LB"/>
        </w:rPr>
        <w:footnoteReference w:id="200"/>
      </w:r>
      <w:r w:rsidRPr="00064619">
        <w:rPr>
          <w:rFonts w:cs="Taher"/>
          <w:sz w:val="32"/>
          <w:vertAlign w:val="superscript"/>
          <w:rtl/>
          <w:lang w:bidi="ar-LB"/>
        </w:rPr>
        <w:t>)</w:t>
      </w:r>
      <w:r w:rsidRPr="00EA09EB">
        <w:rPr>
          <w:rFonts w:hint="cs"/>
          <w:rtl/>
        </w:rPr>
        <w:t>. ويمكن تقسيم هذه الأحكام بشكل عام إلى أربعة أقسام:</w:t>
      </w:r>
    </w:p>
    <w:p w:rsidR="00EA09EB" w:rsidRPr="00EA09EB" w:rsidRDefault="00EA09EB" w:rsidP="007A340E">
      <w:pPr>
        <w:ind w:firstLine="283"/>
        <w:rPr>
          <w:rtl/>
        </w:rPr>
      </w:pPr>
      <w:r w:rsidRPr="007A340E">
        <w:rPr>
          <w:rFonts w:hint="cs"/>
          <w:b/>
          <w:bCs/>
          <w:rtl/>
        </w:rPr>
        <w:t>الأول</w:t>
      </w:r>
      <w:r w:rsidRPr="00EA09EB">
        <w:rPr>
          <w:rFonts w:hint="cs"/>
          <w:rtl/>
        </w:rPr>
        <w:t>: الأحكام العادية. وتشمل: 1</w:t>
      </w:r>
      <w:r w:rsidRPr="00EA09EB">
        <w:rPr>
          <w:rtl/>
        </w:rPr>
        <w:t>ـ</w:t>
      </w:r>
      <w:r w:rsidRPr="00EA09EB">
        <w:rPr>
          <w:rFonts w:hint="cs"/>
          <w:rtl/>
        </w:rPr>
        <w:t xml:space="preserve"> إقامة صلاة الجمعة والعيدين. 2</w:t>
      </w:r>
      <w:r w:rsidRPr="00EA09EB">
        <w:rPr>
          <w:rtl/>
        </w:rPr>
        <w:t>ـ</w:t>
      </w:r>
      <w:r w:rsidRPr="00EA09EB">
        <w:rPr>
          <w:rFonts w:hint="cs"/>
          <w:rtl/>
        </w:rPr>
        <w:t xml:space="preserve"> إثبات هلال شهر رمضان وشهر ذي الحجة المتعلِّقة بهما فريضتا الصيام والحجّ. 3</w:t>
      </w:r>
      <w:r w:rsidRPr="00EA09EB">
        <w:rPr>
          <w:rtl/>
        </w:rPr>
        <w:t>ـ</w:t>
      </w:r>
      <w:r w:rsidRPr="00EA09EB">
        <w:rPr>
          <w:rFonts w:hint="cs"/>
          <w:rtl/>
        </w:rPr>
        <w:t xml:space="preserve"> إجبار مجموعة من المسلمين على الحجّ في حال ترك جميع المسلمين هذه الفريضة.</w:t>
      </w:r>
    </w:p>
    <w:p w:rsidR="00EA09EB" w:rsidRPr="00EA09EB" w:rsidRDefault="00EA09EB" w:rsidP="00635BE2">
      <w:pPr>
        <w:pStyle w:val="Normal84"/>
        <w:rPr>
          <w:rtl/>
        </w:rPr>
      </w:pPr>
      <w:r w:rsidRPr="007A340E">
        <w:rPr>
          <w:rFonts w:hint="cs"/>
          <w:b/>
          <w:bCs/>
          <w:rtl/>
        </w:rPr>
        <w:t>الثاني</w:t>
      </w:r>
      <w:r w:rsidRPr="00EA09EB">
        <w:rPr>
          <w:rFonts w:hint="cs"/>
          <w:rtl/>
        </w:rPr>
        <w:t>: الأحكام القضائية والجزائية. وتشمل: 1</w:t>
      </w:r>
      <w:r w:rsidRPr="00EA09EB">
        <w:rPr>
          <w:rtl/>
        </w:rPr>
        <w:t>ـ</w:t>
      </w:r>
      <w:r w:rsidRPr="00EA09EB">
        <w:rPr>
          <w:rFonts w:hint="cs"/>
          <w:rtl/>
        </w:rPr>
        <w:t xml:space="preserve"> القضاء في المرافعات والمنازعات. 2</w:t>
      </w:r>
      <w:r w:rsidRPr="00EA09EB">
        <w:rPr>
          <w:rtl/>
        </w:rPr>
        <w:t>ـ</w:t>
      </w:r>
      <w:r w:rsidRPr="00EA09EB">
        <w:rPr>
          <w:rFonts w:hint="cs"/>
          <w:rtl/>
        </w:rPr>
        <w:t xml:space="preserve"> إجراء الحدود والتعزيرات. 3</w:t>
      </w:r>
      <w:r w:rsidRPr="00EA09EB">
        <w:rPr>
          <w:rtl/>
        </w:rPr>
        <w:t>ـ</w:t>
      </w:r>
      <w:r w:rsidRPr="00EA09EB">
        <w:rPr>
          <w:rFonts w:hint="cs"/>
          <w:rtl/>
        </w:rPr>
        <w:t xml:space="preserve"> إجراء القصاص. 4</w:t>
      </w:r>
      <w:r w:rsidRPr="00EA09EB">
        <w:rPr>
          <w:rtl/>
        </w:rPr>
        <w:t>ـ</w:t>
      </w:r>
      <w:r w:rsidRPr="00EA09EB">
        <w:rPr>
          <w:rFonts w:hint="cs"/>
          <w:rtl/>
        </w:rPr>
        <w:t xml:space="preserve"> إجراء أحكام الديات. 5</w:t>
      </w:r>
      <w:r w:rsidRPr="00EA09EB">
        <w:rPr>
          <w:rtl/>
        </w:rPr>
        <w:t>ـ</w:t>
      </w:r>
      <w:r w:rsidRPr="00EA09EB">
        <w:rPr>
          <w:rFonts w:hint="cs"/>
          <w:rtl/>
        </w:rPr>
        <w:t xml:space="preserve"> الطلاق في موارد خاصّة. 6</w:t>
      </w:r>
      <w:r w:rsidRPr="00EA09EB">
        <w:rPr>
          <w:rtl/>
        </w:rPr>
        <w:t>ـ</w:t>
      </w:r>
      <w:r w:rsidRPr="00EA09EB">
        <w:rPr>
          <w:rFonts w:hint="cs"/>
          <w:rtl/>
        </w:rPr>
        <w:t xml:space="preserve"> إجراء أحكام الحجر، والوصية، والإرث، في بعض الموارد.</w:t>
      </w:r>
    </w:p>
    <w:p w:rsidR="00EA09EB" w:rsidRPr="00EA09EB" w:rsidRDefault="00EA09EB" w:rsidP="00635BE2">
      <w:pPr>
        <w:pStyle w:val="Normal87"/>
        <w:rPr>
          <w:rtl/>
        </w:rPr>
      </w:pPr>
      <w:r w:rsidRPr="007A340E">
        <w:rPr>
          <w:rFonts w:hint="cs"/>
          <w:b/>
          <w:bCs/>
          <w:rtl/>
        </w:rPr>
        <w:t>الثالث</w:t>
      </w:r>
      <w:r w:rsidRPr="00EA09EB">
        <w:rPr>
          <w:rFonts w:hint="cs"/>
          <w:rtl/>
        </w:rPr>
        <w:t>: الأحكام المالية. وتشمل: 1</w:t>
      </w:r>
      <w:r w:rsidRPr="00EA09EB">
        <w:rPr>
          <w:rtl/>
        </w:rPr>
        <w:t>ـ</w:t>
      </w:r>
      <w:r w:rsidRPr="00EA09EB">
        <w:rPr>
          <w:rFonts w:hint="cs"/>
          <w:rtl/>
        </w:rPr>
        <w:t xml:space="preserve"> التصدّي للأنفال. 2</w:t>
      </w:r>
      <w:r w:rsidRPr="00EA09EB">
        <w:rPr>
          <w:rtl/>
        </w:rPr>
        <w:t>ـ</w:t>
      </w:r>
      <w:r w:rsidRPr="00EA09EB">
        <w:rPr>
          <w:rFonts w:hint="cs"/>
          <w:rtl/>
        </w:rPr>
        <w:t xml:space="preserve"> التصدّي لمصرف الخمس. 3</w:t>
      </w:r>
      <w:r w:rsidRPr="00EA09EB">
        <w:rPr>
          <w:rtl/>
        </w:rPr>
        <w:t>ـ</w:t>
      </w:r>
      <w:r w:rsidRPr="00EA09EB">
        <w:rPr>
          <w:rFonts w:hint="cs"/>
          <w:rtl/>
        </w:rPr>
        <w:t xml:space="preserve"> التصدّي لمصرف الزكاة.</w:t>
      </w:r>
    </w:p>
    <w:p w:rsidR="00EA09EB" w:rsidRPr="00A32FC0" w:rsidRDefault="00EA09EB" w:rsidP="00635BE2">
      <w:pPr>
        <w:pStyle w:val="Normal87"/>
        <w:rPr>
          <w:rtl/>
        </w:rPr>
      </w:pPr>
      <w:r w:rsidRPr="00A32FC0">
        <w:rPr>
          <w:rFonts w:hint="cs"/>
          <w:b/>
          <w:bCs/>
          <w:rtl/>
        </w:rPr>
        <w:t>الرابع</w:t>
      </w:r>
      <w:r w:rsidRPr="00A32FC0">
        <w:rPr>
          <w:rFonts w:hint="cs"/>
          <w:rtl/>
        </w:rPr>
        <w:t>: الأحكام العسكرية. وتشمل: 1</w:t>
      </w:r>
      <w:r w:rsidRPr="00A32FC0">
        <w:rPr>
          <w:rtl/>
        </w:rPr>
        <w:t>ـ</w:t>
      </w:r>
      <w:r w:rsidRPr="00A32FC0">
        <w:rPr>
          <w:rFonts w:hint="cs"/>
          <w:rtl/>
        </w:rPr>
        <w:t xml:space="preserve"> الجهاد الابتدائيّ (الجهاد الدفاعيّ لا يحتاج إلى إذن مطلقاً، وهو فريضة على الجميع). 2</w:t>
      </w:r>
      <w:r w:rsidRPr="00A32FC0">
        <w:rPr>
          <w:rtl/>
        </w:rPr>
        <w:t>ـ</w:t>
      </w:r>
      <w:r w:rsidRPr="00A32FC0">
        <w:rPr>
          <w:rFonts w:hint="cs"/>
          <w:rtl/>
        </w:rPr>
        <w:t xml:space="preserve"> الجزية. 3</w:t>
      </w:r>
      <w:r w:rsidRPr="00A32FC0">
        <w:rPr>
          <w:rtl/>
        </w:rPr>
        <w:t>ـ</w:t>
      </w:r>
      <w:r w:rsidRPr="00A32FC0">
        <w:rPr>
          <w:rFonts w:hint="cs"/>
          <w:rtl/>
        </w:rPr>
        <w:t xml:space="preserve"> أحكام الغنائم والأسرى والأراضي.</w:t>
      </w:r>
    </w:p>
    <w:p w:rsidR="00EA09EB" w:rsidRPr="00EA09EB" w:rsidRDefault="00EA09EB" w:rsidP="00635BE2">
      <w:pPr>
        <w:pStyle w:val="Normal87"/>
        <w:rPr>
          <w:rtl/>
        </w:rPr>
      </w:pPr>
      <w:r w:rsidRPr="00A32FC0">
        <w:rPr>
          <w:rFonts w:hint="cs"/>
          <w:rtl/>
        </w:rPr>
        <w:t>13</w:t>
      </w:r>
      <w:r w:rsidRPr="00A32FC0">
        <w:rPr>
          <w:rtl/>
        </w:rPr>
        <w:t>ـ</w:t>
      </w:r>
      <w:r w:rsidRPr="00A32FC0">
        <w:rPr>
          <w:rFonts w:hint="cs"/>
          <w:rtl/>
        </w:rPr>
        <w:t xml:space="preserve"> تعدّ الوظائف الشرعيّة الخَمْس (أي التصدّي للأمور الحسبيّة، وإجراء الأحكام العامة بأقسامها الأربعة: العبادية؛ والقضائية؛ والمالية؛ والعسكرية) في عصر حضور المعصوم من وظائفه</w:t>
      </w:r>
      <w:r>
        <w:rPr>
          <w:rFonts w:hint="cs"/>
          <w:rtl/>
        </w:rPr>
        <w:t>×</w:t>
      </w:r>
      <w:r w:rsidRPr="00A32FC0">
        <w:rPr>
          <w:rFonts w:hint="cs"/>
          <w:rtl/>
        </w:rPr>
        <w:t>؛ وذلك بحكم المدلول المطابق للروايات. ولكن هل تُعَدُّ العصمة شرطاً في الإمام</w:t>
      </w:r>
      <w:r>
        <w:rPr>
          <w:rFonts w:hint="cs"/>
          <w:rtl/>
        </w:rPr>
        <w:t>،</w:t>
      </w:r>
      <w:r w:rsidRPr="00A32FC0">
        <w:rPr>
          <w:rFonts w:hint="cs"/>
          <w:rtl/>
        </w:rPr>
        <w:t xml:space="preserve"> أو الوالي، أو السلطان، أو الأمير القائم بأمور المسلمين، المتصدّي لإجراء الأحكام المذكورة، أم لا؟ هذا ما كان محلّ بحث عند فقهاء الشيعة منذ البدايات. وقد عَدَّ الأكثرية الساحقة من الفقهاء الجهاد الابتدائيّ وتوابعه من الأحكام المختصّة بعصر المعصوم</w:t>
      </w:r>
      <w:r>
        <w:rPr>
          <w:rFonts w:hint="cs"/>
          <w:rtl/>
        </w:rPr>
        <w:t>×</w:t>
      </w:r>
      <w:r w:rsidRPr="00A32FC0">
        <w:rPr>
          <w:rFonts w:hint="cs"/>
          <w:rtl/>
        </w:rPr>
        <w:t>، ولم يتردَّدوا في الإفتاء بعدم جوازه في عصر الغيبة</w:t>
      </w:r>
      <w:r w:rsidRPr="00064619">
        <w:rPr>
          <w:rFonts w:cs="Taher"/>
          <w:vertAlign w:val="superscript"/>
          <w:rtl/>
        </w:rPr>
        <w:t>(</w:t>
      </w:r>
      <w:r w:rsidRPr="00064619">
        <w:rPr>
          <w:rStyle w:val="FootnoteReference"/>
          <w:rFonts w:cs="Taher"/>
          <w:sz w:val="32"/>
          <w:rtl/>
        </w:rPr>
        <w:footnoteReference w:id="201"/>
      </w:r>
      <w:r w:rsidRPr="00064619">
        <w:rPr>
          <w:rFonts w:cs="Taher"/>
          <w:vertAlign w:val="superscript"/>
          <w:rtl/>
        </w:rPr>
        <w:t>)</w:t>
      </w:r>
      <w:r w:rsidRPr="00EA09EB">
        <w:rPr>
          <w:rFonts w:hint="cs"/>
          <w:rtl/>
        </w:rPr>
        <w:t>. وقد اتفق الفقهاء على أن التصدّي للأمور الحسبية هي من وظائف حكّام الشرع (الفقهاء العدول)، سواء حازوا على زعامة المجتمع السياسيّة أم لا. والمسألة الخلافية الوحيدة في بحث التصدّي للأمور الحسبية هي أنّه هل يكون هذا التصدّي من باب الولاية أم جائزاً من باب القدر المتيقَّن؟ وإنْ كان عدد الفقهاء القائلين بعدم جواز التصدّي لإجراء الأحكام العبادية والجزائية والمالية غير قليل</w:t>
      </w:r>
      <w:r w:rsidRPr="00064619">
        <w:rPr>
          <w:rFonts w:cs="Taher"/>
          <w:vertAlign w:val="superscript"/>
          <w:rtl/>
        </w:rPr>
        <w:t>(</w:t>
      </w:r>
      <w:r w:rsidRPr="00064619">
        <w:rPr>
          <w:rStyle w:val="FootnoteReference"/>
          <w:rFonts w:cs="Taher"/>
          <w:sz w:val="32"/>
          <w:rtl/>
        </w:rPr>
        <w:footnoteReference w:id="202"/>
      </w:r>
      <w:r w:rsidRPr="00064619">
        <w:rPr>
          <w:rFonts w:cs="Taher"/>
          <w:vertAlign w:val="superscript"/>
          <w:rtl/>
        </w:rPr>
        <w:t>)</w:t>
      </w:r>
      <w:r w:rsidRPr="00EA09EB">
        <w:rPr>
          <w:rFonts w:hint="cs"/>
          <w:rtl/>
        </w:rPr>
        <w:t xml:space="preserve"> فإنّ ميل الفقهاء نحو القول بالجواز في عصر الغيبة قد بدأ يزداد، بمعنى أن الفقهاء العدول مجازون بإجراء الأحكام المشار إليها على قدر استطاعتهم. إنّ المورد الوحيد من الموارد الخمسة المذكورة الذي صرّحت به الروايات هو تصدّي الفقهاء لمنصب القضاء. وقد ورد في مقولة عمر بن حنظلة عن الإمام الصادق</w:t>
      </w:r>
      <w:r>
        <w:rPr>
          <w:rFonts w:hint="cs"/>
          <w:rtl/>
        </w:rPr>
        <w:t>×</w:t>
      </w:r>
      <w:r w:rsidRPr="00EA09EB">
        <w:rPr>
          <w:rFonts w:hint="cs"/>
          <w:rtl/>
        </w:rPr>
        <w:t>: «ينظران إلى مَنْ كان منكم ممَّنْ قد روى حديثنا، ونظر في حلالنا وحرامنا، وعرف أحكامنا، فليرضيا به حَكَماً، فإني قد جعلته عليكم حاكِماً»</w:t>
      </w:r>
      <w:r w:rsidRPr="00064619">
        <w:rPr>
          <w:rFonts w:cs="Taher"/>
          <w:vertAlign w:val="superscript"/>
          <w:rtl/>
        </w:rPr>
        <w:t>(</w:t>
      </w:r>
      <w:r w:rsidRPr="00064619">
        <w:rPr>
          <w:rStyle w:val="FootnoteReference"/>
          <w:rFonts w:cs="Taher"/>
          <w:sz w:val="32"/>
          <w:rtl/>
        </w:rPr>
        <w:footnoteReference w:id="203"/>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كان ذلك جواباً منه</w:t>
      </w:r>
      <w:r>
        <w:rPr>
          <w:rFonts w:hint="cs"/>
          <w:rtl/>
        </w:rPr>
        <w:t>×</w:t>
      </w:r>
      <w:r w:rsidRPr="00A32FC0">
        <w:rPr>
          <w:rFonts w:hint="cs"/>
          <w:rtl/>
          <w:lang w:bidi="ar-LB"/>
        </w:rPr>
        <w:t xml:space="preserve"> عن سؤالٍ حول شخصين شيعيَّين اختلفا في دَيْن أو ميراث، فمنعهما الإمام</w:t>
      </w:r>
      <w:r>
        <w:rPr>
          <w:rFonts w:hint="cs"/>
          <w:rtl/>
        </w:rPr>
        <w:t>×</w:t>
      </w:r>
      <w:r w:rsidRPr="00A32FC0">
        <w:rPr>
          <w:rFonts w:hint="cs"/>
          <w:rtl/>
          <w:lang w:bidi="ar-LB"/>
        </w:rPr>
        <w:t xml:space="preserve"> من الرجوع إلى قضاة الجور.</w:t>
      </w:r>
    </w:p>
    <w:p w:rsidR="00EA09EB" w:rsidRPr="00EA09EB" w:rsidRDefault="00EA09EB" w:rsidP="00EA09EB">
      <w:pPr>
        <w:rPr>
          <w:rtl/>
        </w:rPr>
      </w:pPr>
      <w:r w:rsidRPr="00EA09EB">
        <w:rPr>
          <w:rFonts w:hint="cs"/>
          <w:rtl/>
        </w:rPr>
        <w:t>ونُقل عن الإمام الصادق</w:t>
      </w:r>
      <w:r>
        <w:rPr>
          <w:rFonts w:hint="cs"/>
          <w:rtl/>
        </w:rPr>
        <w:t>×</w:t>
      </w:r>
      <w:r w:rsidRPr="00EA09EB">
        <w:rPr>
          <w:rFonts w:hint="cs"/>
          <w:rtl/>
        </w:rPr>
        <w:t xml:space="preserve"> في مشهورة أبي خديجة أنه قال: «اجعلوا بينكم رجلاً ممَّن قد عرف حلالنا وحرامنا [أي الفقيه]، فإني قد جعلته قاضياً»</w:t>
      </w:r>
      <w:r w:rsidRPr="00064619">
        <w:rPr>
          <w:rFonts w:cs="Taher"/>
          <w:sz w:val="32"/>
          <w:vertAlign w:val="superscript"/>
          <w:rtl/>
        </w:rPr>
        <w:t>(</w:t>
      </w:r>
      <w:r w:rsidRPr="00064619">
        <w:rPr>
          <w:rStyle w:val="FootnoteReference"/>
          <w:rFonts w:cs="Taher"/>
          <w:sz w:val="32"/>
          <w:rtl/>
        </w:rPr>
        <w:footnoteReference w:id="204"/>
      </w:r>
      <w:r w:rsidRPr="00064619">
        <w:rPr>
          <w:rFonts w:cs="Taher"/>
          <w:sz w:val="32"/>
          <w:vertAlign w:val="superscript"/>
          <w:rtl/>
        </w:rPr>
        <w:t>)</w:t>
      </w:r>
      <w:r w:rsidRPr="00EA09EB">
        <w:rPr>
          <w:rFonts w:hint="cs"/>
          <w:rtl/>
        </w:rPr>
        <w:t>.</w:t>
      </w:r>
    </w:p>
    <w:p w:rsidR="00EA09EB" w:rsidRDefault="00EA09EB" w:rsidP="00635BE2">
      <w:pPr>
        <w:pStyle w:val="Normal84"/>
        <w:rPr>
          <w:rtl/>
        </w:rPr>
      </w:pPr>
      <w:r w:rsidRPr="00A32FC0">
        <w:rPr>
          <w:rFonts w:hint="cs"/>
          <w:rtl/>
        </w:rPr>
        <w:t>ولذلك فإنّ للفقهاء الأولوية في التصدّي لمنصب القضاء وإجراء الأمور الحسبيّة. أمّا التصدي للأحكام الأخرى فلم تتعرَّض له الروايات. وهو ما يحتاج إلى استدلالٍ فقهيٍّ. وسوف نتعرَّض له بشكل تفصيليّ في القسم الثاني من هذا البحث، أي «المباني التصديقيّة للولاية».</w:t>
      </w:r>
    </w:p>
    <w:p w:rsidR="007A340E" w:rsidRPr="00A32FC0" w:rsidRDefault="007A340E" w:rsidP="00EA09EB">
      <w:pPr>
        <w:rPr>
          <w:rtl/>
          <w:lang w:bidi="ar-LB"/>
        </w:rPr>
      </w:pPr>
    </w:p>
    <w:p w:rsidR="00EA09EB" w:rsidRPr="009C6220" w:rsidRDefault="00EA09EB" w:rsidP="007A340E">
      <w:pPr>
        <w:pStyle w:val="Heading3"/>
        <w:rPr>
          <w:rtl/>
        </w:rPr>
      </w:pPr>
      <w:r w:rsidRPr="007A340E">
        <w:rPr>
          <w:rFonts w:hint="cs"/>
          <w:rtl/>
        </w:rPr>
        <w:t>الولاية</w:t>
      </w:r>
      <w:r w:rsidRPr="009C6220">
        <w:rPr>
          <w:rFonts w:hint="cs"/>
          <w:rtl/>
        </w:rPr>
        <w:t xml:space="preserve"> السياسيّة</w:t>
      </w:r>
    </w:p>
    <w:p w:rsidR="00EA09EB" w:rsidRPr="00A32FC0" w:rsidRDefault="00EA09EB" w:rsidP="00635BE2">
      <w:pPr>
        <w:pStyle w:val="Normal87"/>
        <w:rPr>
          <w:rtl/>
        </w:rPr>
      </w:pPr>
      <w:r w:rsidRPr="00A32FC0">
        <w:rPr>
          <w:rFonts w:hint="cs"/>
          <w:rtl/>
        </w:rPr>
        <w:t>14</w:t>
      </w:r>
      <w:r w:rsidRPr="00A32FC0">
        <w:rPr>
          <w:rtl/>
        </w:rPr>
        <w:t>ـ</w:t>
      </w:r>
      <w:r w:rsidRPr="00A32FC0">
        <w:rPr>
          <w:rFonts w:hint="cs"/>
          <w:rtl/>
        </w:rPr>
        <w:t xml:space="preserve"> إنّ أحد أهمّ الاستعمالات لكلمة الولاية ومشتقّاتها في الروايات، وخصوصاً </w:t>
      </w:r>
      <w:r w:rsidRPr="00635BE2">
        <w:rPr>
          <w:rFonts w:hint="cs"/>
          <w:sz w:val="26"/>
          <w:szCs w:val="28"/>
          <w:rtl/>
        </w:rPr>
        <w:t xml:space="preserve">في نهج البلاغة، هو معنى الإمارة والزعامة السياسيّة. وبعبارة أخرى: إنّ الولاية في هذه الاستعمالات تعني الحكومة، والوالي </w:t>
      </w:r>
      <w:r w:rsidRPr="00A32FC0">
        <w:rPr>
          <w:rFonts w:hint="cs"/>
          <w:rtl/>
        </w:rPr>
        <w:t>يعني الخليفة والأمير.</w:t>
      </w:r>
    </w:p>
    <w:p w:rsidR="00EA09EB" w:rsidRPr="00A32FC0" w:rsidRDefault="00EA09EB" w:rsidP="00635BE2">
      <w:pPr>
        <w:pStyle w:val="Normal87"/>
        <w:rPr>
          <w:rtl/>
        </w:rPr>
      </w:pPr>
      <w:r w:rsidRPr="00EA09EB">
        <w:rPr>
          <w:rFonts w:hint="cs"/>
          <w:rtl/>
        </w:rPr>
        <w:t>ليس المراد في هذا النوع من الاستعمالات للفظة الولاية أو مشتقاتها المعاني الأخرى للولاية، من قبيل: الحب والنصرة. كما أنه لم تنحصر استعمالات كلمة الولاية في القرآن الكريم بهذه المعاني. وكذلك ليس المراد منها هنا الاصطلاح الخاص بالولاية العرفانيّة والولاية الكلاميّة. وليس المراد من الحكومة والإمارة في هذه الاستعمالات الولاية الشرعية والفقهية، حتى يكون الناس في شؤونهم العامة فاقدين لأهليّة التصرُّف ومحجوراً عليهم، والحال أن الناس في دائرة الشؤون العامّة هم أصحاب حقّ، كما أن الوالي أيضاً يتمتّع بحقوق خاصة، ويجب على كلّ طرف مراعاة حقوق الطرف الآخر. وبعبارة أخرى: إن الوالي ليس وليّاً شرعيّاً (بالمعنى الفقهيّ الخاصّ) للناس، ووظيفة الوالي هي التصدي للأمور العامة. وكانت أكثر استعمالات الإمام علي</w:t>
      </w:r>
      <w:r>
        <w:rPr>
          <w:rFonts w:hint="cs"/>
          <w:rtl/>
        </w:rPr>
        <w:t>×</w:t>
      </w:r>
      <w:r w:rsidRPr="00EA09EB">
        <w:rPr>
          <w:rFonts w:hint="cs"/>
          <w:rtl/>
        </w:rPr>
        <w:t xml:space="preserve"> لكلمة الولاية في عهده إلى مالك الأشتر بهذا المعنى. وعلى سبيل المثال: «إنما الوالي بشر، لا يعرف ما توارى عنه الناس به من الأمور، وليست على الحقّ سمات تعرف بها ضروب الصدق من الكذب»</w:t>
      </w:r>
      <w:r w:rsidRPr="00064619">
        <w:rPr>
          <w:rFonts w:cs="Taher"/>
          <w:vertAlign w:val="superscript"/>
          <w:rtl/>
        </w:rPr>
        <w:t>(</w:t>
      </w:r>
      <w:r w:rsidRPr="00064619">
        <w:rPr>
          <w:rStyle w:val="FootnoteReference"/>
          <w:rFonts w:cs="Taher"/>
          <w:sz w:val="32"/>
          <w:rtl/>
        </w:rPr>
        <w:footnoteReference w:id="205"/>
      </w:r>
      <w:r w:rsidRPr="00064619">
        <w:rPr>
          <w:rFonts w:cs="Taher"/>
          <w:vertAlign w:val="superscript"/>
          <w:rtl/>
        </w:rPr>
        <w:t>)</w:t>
      </w:r>
      <w:r w:rsidRPr="00EA09EB">
        <w:rPr>
          <w:rFonts w:hint="cs"/>
          <w:rtl/>
        </w:rPr>
        <w:t>، «يا مالك إنّ الناس ينظرون من أمورك في مثل ما كنت تنظر فيه من أمور الولاة قبلك»</w:t>
      </w:r>
      <w:r w:rsidRPr="00064619">
        <w:rPr>
          <w:rFonts w:cs="Taher"/>
          <w:vertAlign w:val="superscript"/>
          <w:rtl/>
        </w:rPr>
        <w:t>(</w:t>
      </w:r>
      <w:r w:rsidRPr="00064619">
        <w:rPr>
          <w:rStyle w:val="FootnoteReference"/>
          <w:rFonts w:cs="Taher"/>
          <w:sz w:val="32"/>
          <w:rtl/>
        </w:rPr>
        <w:footnoteReference w:id="206"/>
      </w:r>
      <w:r w:rsidRPr="00064619">
        <w:rPr>
          <w:rFonts w:cs="Taher"/>
          <w:vertAlign w:val="superscript"/>
          <w:rtl/>
        </w:rPr>
        <w:t>)</w:t>
      </w:r>
      <w:r w:rsidRPr="00EA09EB">
        <w:rPr>
          <w:rFonts w:hint="cs"/>
          <w:rtl/>
        </w:rPr>
        <w:t>، «فلا تطوّلن احتجابك عن رعيتك، فإن احتجاب الولاة عن الرعيّة شعبة من الضيق، وقلّة علم بالأمور»</w:t>
      </w:r>
      <w:r w:rsidRPr="00064619">
        <w:rPr>
          <w:rFonts w:cs="Taher"/>
          <w:vertAlign w:val="superscript"/>
          <w:rtl/>
        </w:rPr>
        <w:t>(</w:t>
      </w:r>
      <w:r w:rsidRPr="00064619">
        <w:rPr>
          <w:rStyle w:val="FootnoteReference"/>
          <w:rFonts w:cs="Taher"/>
          <w:sz w:val="32"/>
          <w:rtl/>
        </w:rPr>
        <w:footnoteReference w:id="207"/>
      </w:r>
      <w:r w:rsidRPr="00064619">
        <w:rPr>
          <w:rFonts w:cs="Taher"/>
          <w:vertAlign w:val="superscript"/>
          <w:rtl/>
        </w:rPr>
        <w:t>)</w:t>
      </w:r>
      <w:r w:rsidRPr="00EA09EB">
        <w:rPr>
          <w:rFonts w:hint="cs"/>
          <w:rtl/>
        </w:rPr>
        <w:t>، «فولِّ من جنودك أنصحهم من نفسك لله ورسوله و</w:t>
      </w:r>
      <w:r w:rsidR="0043005B">
        <w:rPr>
          <w:rFonts w:hint="cs"/>
          <w:rtl/>
        </w:rPr>
        <w:t>ل</w:t>
      </w:r>
      <w:r w:rsidRPr="00EA09EB">
        <w:rPr>
          <w:rFonts w:hint="cs"/>
          <w:rtl/>
        </w:rPr>
        <w:t>إمامك»</w:t>
      </w:r>
      <w:r w:rsidRPr="00064619">
        <w:rPr>
          <w:rFonts w:cs="Taher"/>
          <w:vertAlign w:val="superscript"/>
          <w:rtl/>
        </w:rPr>
        <w:t>(</w:t>
      </w:r>
      <w:r w:rsidRPr="00064619">
        <w:rPr>
          <w:rStyle w:val="FootnoteReference"/>
          <w:rFonts w:cs="Taher"/>
          <w:sz w:val="32"/>
          <w:rtl/>
        </w:rPr>
        <w:footnoteReference w:id="208"/>
      </w:r>
      <w:r w:rsidRPr="00064619">
        <w:rPr>
          <w:rFonts w:cs="Taher"/>
          <w:vertAlign w:val="superscript"/>
          <w:rtl/>
        </w:rPr>
        <w:t>)</w:t>
      </w:r>
      <w:r w:rsidRPr="00A32FC0">
        <w:rPr>
          <w:rFonts w:hint="cs"/>
          <w:rtl/>
        </w:rPr>
        <w:t>.</w:t>
      </w:r>
    </w:p>
    <w:p w:rsidR="00EA09EB" w:rsidRPr="00A32FC0" w:rsidRDefault="00EA09EB" w:rsidP="00EA09EB">
      <w:pPr>
        <w:rPr>
          <w:rtl/>
          <w:lang w:bidi="ar-LB"/>
        </w:rPr>
      </w:pPr>
      <w:r w:rsidRPr="00A32FC0">
        <w:rPr>
          <w:rFonts w:hint="cs"/>
          <w:rtl/>
          <w:lang w:bidi="ar-LB"/>
        </w:rPr>
        <w:t>كما أنه</w:t>
      </w:r>
      <w:r>
        <w:rPr>
          <w:rFonts w:hint="cs"/>
          <w:rtl/>
        </w:rPr>
        <w:t>×</w:t>
      </w:r>
      <w:r w:rsidRPr="00A32FC0">
        <w:rPr>
          <w:rFonts w:hint="cs"/>
          <w:rtl/>
          <w:lang w:bidi="ar-LB"/>
        </w:rPr>
        <w:t>، وفي الخطبة 216</w:t>
      </w:r>
      <w:r>
        <w:rPr>
          <w:rFonts w:hint="cs"/>
          <w:rtl/>
          <w:lang w:bidi="ar-LB"/>
        </w:rPr>
        <w:t>،</w:t>
      </w:r>
      <w:r w:rsidRPr="00A32FC0">
        <w:rPr>
          <w:rFonts w:hint="cs"/>
          <w:rtl/>
          <w:lang w:bidi="ar-LB"/>
        </w:rPr>
        <w:t xml:space="preserve"> التي تُعَدّ وثيقة خالدة للحقوق العامة في الفكر الإسلامي، استعمل لفظ الولاية في هذا المعنى: </w:t>
      </w:r>
      <w:r w:rsidRPr="00A32FC0">
        <w:rPr>
          <w:rFonts w:hint="cs"/>
          <w:rtl/>
        </w:rPr>
        <w:t>«</w:t>
      </w:r>
      <w:r w:rsidRPr="00A32FC0">
        <w:rPr>
          <w:rFonts w:hint="cs"/>
          <w:rtl/>
          <w:lang w:bidi="ar-LB"/>
        </w:rPr>
        <w:t>فقد جعل الله سبحانه لي عليكم حقّاً بولاية أمركم، ولكم عليّ من الحقّ مثل الذي لي عليكم</w:t>
      </w:r>
      <w:r w:rsidRPr="00A32FC0">
        <w:rPr>
          <w:rFonts w:hint="cs"/>
          <w:rtl/>
        </w:rPr>
        <w:t>»</w:t>
      </w:r>
      <w:r w:rsidRPr="00064619">
        <w:rPr>
          <w:rFonts w:cs="Taher"/>
          <w:vertAlign w:val="superscript"/>
          <w:rtl/>
        </w:rPr>
        <w:t>(</w:t>
      </w:r>
      <w:r w:rsidRPr="00064619">
        <w:rPr>
          <w:rStyle w:val="FootnoteReference"/>
          <w:rFonts w:cs="Taher"/>
          <w:sz w:val="32"/>
          <w:rtl/>
        </w:rPr>
        <w:footnoteReference w:id="209"/>
      </w:r>
      <w:r w:rsidRPr="00064619">
        <w:rPr>
          <w:rFonts w:cs="Taher"/>
          <w:vertAlign w:val="superscript"/>
          <w:rtl/>
        </w:rPr>
        <w:t>)</w:t>
      </w:r>
      <w:r w:rsidRPr="00EA09EB">
        <w:rPr>
          <w:rFonts w:hint="cs"/>
          <w:rtl/>
        </w:rPr>
        <w:t>، «وأعظم ما افترض سبحانه من تلك الحقوق حقّ الوالي على الرعية، وحقّ الرعية على الوالي»</w:t>
      </w:r>
      <w:r w:rsidRPr="00064619">
        <w:rPr>
          <w:rFonts w:cs="Taher"/>
          <w:vertAlign w:val="superscript"/>
          <w:rtl/>
        </w:rPr>
        <w:t>(</w:t>
      </w:r>
      <w:r w:rsidRPr="00064619">
        <w:rPr>
          <w:rStyle w:val="FootnoteReference"/>
          <w:rFonts w:cs="Taher"/>
          <w:sz w:val="32"/>
          <w:rtl/>
        </w:rPr>
        <w:footnoteReference w:id="210"/>
      </w:r>
      <w:r w:rsidRPr="00064619">
        <w:rPr>
          <w:rFonts w:cs="Taher"/>
          <w:vertAlign w:val="superscript"/>
          <w:rtl/>
        </w:rPr>
        <w:t>)</w:t>
      </w:r>
      <w:r w:rsidRPr="00EA09EB">
        <w:rPr>
          <w:rFonts w:hint="cs"/>
          <w:rtl/>
        </w:rPr>
        <w:t>، «وإن من أسخف حالات الولاة عند صالح الناس أن يظنّ بهم حبّ الفخر، ويوضع أمرهم على الكبر»</w:t>
      </w:r>
      <w:r w:rsidRPr="00064619">
        <w:rPr>
          <w:rFonts w:cs="Taher"/>
          <w:vertAlign w:val="superscript"/>
          <w:rtl/>
        </w:rPr>
        <w:t>(</w:t>
      </w:r>
      <w:r w:rsidRPr="00064619">
        <w:rPr>
          <w:rStyle w:val="FootnoteReference"/>
          <w:rFonts w:cs="Taher"/>
          <w:sz w:val="32"/>
          <w:rtl/>
        </w:rPr>
        <w:footnoteReference w:id="211"/>
      </w:r>
      <w:r w:rsidRPr="00064619">
        <w:rPr>
          <w:rFonts w:cs="Taher"/>
          <w:vertAlign w:val="superscript"/>
          <w:rtl/>
        </w:rPr>
        <w:t>)</w:t>
      </w:r>
      <w:r w:rsidRPr="00A32FC0">
        <w:rPr>
          <w:rFonts w:hint="cs"/>
          <w:rtl/>
          <w:lang w:bidi="ar-LB"/>
        </w:rPr>
        <w:t>.</w:t>
      </w:r>
    </w:p>
    <w:p w:rsidR="00EA09EB" w:rsidRPr="00EA09EB" w:rsidRDefault="00EA09EB" w:rsidP="00EA09EB">
      <w:pPr>
        <w:rPr>
          <w:rtl/>
        </w:rPr>
      </w:pPr>
      <w:r w:rsidRPr="00A32FC0">
        <w:rPr>
          <w:rFonts w:hint="cs"/>
          <w:rtl/>
          <w:lang w:bidi="ar-LB"/>
        </w:rPr>
        <w:t>وفي وصيته</w:t>
      </w:r>
      <w:r>
        <w:rPr>
          <w:rFonts w:hint="cs"/>
          <w:rtl/>
        </w:rPr>
        <w:t>×</w:t>
      </w:r>
      <w:r w:rsidRPr="00A32FC0">
        <w:rPr>
          <w:rFonts w:hint="cs"/>
          <w:rtl/>
          <w:lang w:bidi="ar-LB"/>
        </w:rPr>
        <w:t xml:space="preserve"> للإمامين الحسن والحسين</w:t>
      </w:r>
      <w:r w:rsidR="007A340E" w:rsidRPr="007A340E">
        <w:rPr>
          <w:rFonts w:ascii="Mosawi" w:hAnsi="Mosawi"/>
          <w:sz w:val="32"/>
          <w:szCs w:val="32"/>
          <w:rtl/>
          <w:lang w:bidi="ar-LB"/>
        </w:rPr>
        <w:t>’</w:t>
      </w:r>
      <w:r w:rsidRPr="00A32FC0">
        <w:rPr>
          <w:rFonts w:hint="cs"/>
          <w:rtl/>
          <w:lang w:bidi="ar-LB"/>
        </w:rPr>
        <w:t xml:space="preserve"> استعمل الولاية بهذا المعنى أيضاً، فقال: </w:t>
      </w:r>
      <w:r w:rsidRPr="00A32FC0">
        <w:rPr>
          <w:rFonts w:hint="cs"/>
          <w:rtl/>
        </w:rPr>
        <w:t>«</w:t>
      </w:r>
      <w:r w:rsidRPr="00A32FC0">
        <w:rPr>
          <w:rFonts w:hint="cs"/>
          <w:rtl/>
          <w:lang w:bidi="ar-LB"/>
        </w:rPr>
        <w:t>لا تتركوا الأمر بالمعروف والنهي عن المنكر فيولّى عليكم شراركم، ثم تدعون فلا يستجاب لكم</w:t>
      </w:r>
      <w:r w:rsidRPr="00A32FC0">
        <w:rPr>
          <w:rFonts w:hint="cs"/>
          <w:rtl/>
        </w:rPr>
        <w:t>»</w:t>
      </w:r>
      <w:r w:rsidRPr="00064619">
        <w:rPr>
          <w:rFonts w:cs="Taher"/>
          <w:vertAlign w:val="superscript"/>
          <w:rtl/>
        </w:rPr>
        <w:t>(</w:t>
      </w:r>
      <w:r w:rsidRPr="00064619">
        <w:rPr>
          <w:rStyle w:val="FootnoteReference"/>
          <w:rFonts w:cs="Taher"/>
          <w:sz w:val="32"/>
          <w:rtl/>
        </w:rPr>
        <w:footnoteReference w:id="212"/>
      </w:r>
      <w:r w:rsidRPr="00064619">
        <w:rPr>
          <w:rFonts w:cs="Taher"/>
          <w:vertAlign w:val="superscript"/>
          <w:rtl/>
        </w:rPr>
        <w:t>)</w:t>
      </w:r>
      <w:r w:rsidRPr="00EA09EB">
        <w:rPr>
          <w:rFonts w:hint="cs"/>
          <w:rtl/>
        </w:rPr>
        <w:t xml:space="preserve">. </w:t>
      </w:r>
    </w:p>
    <w:p w:rsidR="00EA09EB" w:rsidRPr="00A32FC0" w:rsidRDefault="00EA09EB" w:rsidP="00635BE2">
      <w:pPr>
        <w:pStyle w:val="Normal87"/>
        <w:rPr>
          <w:rtl/>
        </w:rPr>
      </w:pPr>
      <w:r w:rsidRPr="00A32FC0">
        <w:rPr>
          <w:rFonts w:hint="cs"/>
          <w:rtl/>
        </w:rPr>
        <w:t>إن الولاية بمعنى الزعامة السياسية في دائرة شؤون العامة، تختلف عن الولاية الفقهية على المحجور عليهم. فإذا كان الوالي جامعاً للشروط الدينية المعتبرة فإن إطاعته تصبح واجبة شرعاً، إلاّ أن هذا الوجوب الشرعي للطاعة لا يجعل هذه الولاية من سنخ الولايات الفقهية. وقد تقدّمت الإشارة سابقاً إلى أنّ الموالى عليهم في الولاية الفقهية لا دْخلَ لهم في تعيين وعزل الوليّ الشرعيّ، كما أنهم لا يملكون الحقّ في الإشراف على عمل الولي، ولا في مشاركته بتنفيذ الولاية. والحال أنه في الولاية بمعنى الزعامة السياسية يمكن للناس تعيين وعزل الوالي ضمن ضوابط وشروط معينة، كما أن لهم الحقّ في الإشراف على أعمال الوالي، وفي حال عدم رعايته للقانون (الشروط المتَّفق عليها ضمن عقد بين الناس والوالي) يوجِّهون له الإنذار، فإذا لم يمتثل، أمكنهم عزله. فالناس لهم حقّ المشاركة في إدارة المجتمع عن طريق المؤسَّسات التي نصّ عليها القانون. الولاية الشرعية هي حكم وضعيّ، وليست عقداً وإيقاعاً، بينما الولاية بمعنى الزعامة السياسية يمكن أن تكون عبارة عن عقد بين الناس والوالي، فبمبايعة الناس يصبح العقد لازماً.</w:t>
      </w:r>
    </w:p>
    <w:p w:rsidR="00EA09EB" w:rsidRPr="00A32FC0" w:rsidRDefault="00EA09EB" w:rsidP="00635BE2">
      <w:pPr>
        <w:pStyle w:val="Normal84"/>
        <w:rPr>
          <w:rtl/>
        </w:rPr>
      </w:pPr>
      <w:r w:rsidRPr="00A32FC0">
        <w:rPr>
          <w:rFonts w:hint="cs"/>
          <w:rtl/>
        </w:rPr>
        <w:t>فعلى الطرفين الالتزام بالشروط التي نصّ عليها العقد، أي (القانون). وسوف نتعرض لاحقاً لهذا الموضوع بشكل موسَّع. و</w:t>
      </w:r>
      <w:r>
        <w:rPr>
          <w:rFonts w:hint="cs"/>
          <w:rtl/>
        </w:rPr>
        <w:t>لا بُدَّ</w:t>
      </w:r>
      <w:r w:rsidRPr="00A32FC0">
        <w:rPr>
          <w:rFonts w:hint="cs"/>
          <w:rtl/>
        </w:rPr>
        <w:t xml:space="preserve"> من الإشارة إلى أن الولاية في الروايات لم تستعمل بهذا المعنى، أي الزعامة السياسيّة، في حقّ الفقهاء.</w:t>
      </w:r>
    </w:p>
    <w:p w:rsidR="00EA09EB" w:rsidRPr="00EA09EB" w:rsidRDefault="00EA09EB" w:rsidP="00635BE2">
      <w:pPr>
        <w:pStyle w:val="Normal84"/>
        <w:spacing w:line="197" w:lineRule="auto"/>
        <w:rPr>
          <w:rtl/>
        </w:rPr>
      </w:pPr>
      <w:r w:rsidRPr="00EA09EB">
        <w:rPr>
          <w:rFonts w:hint="cs"/>
          <w:rtl/>
        </w:rPr>
        <w:t>15</w:t>
      </w:r>
      <w:r w:rsidRPr="00EA09EB">
        <w:rPr>
          <w:rtl/>
        </w:rPr>
        <w:t>ـ</w:t>
      </w:r>
      <w:r w:rsidRPr="00EA09EB">
        <w:rPr>
          <w:rFonts w:hint="cs"/>
          <w:rtl/>
        </w:rPr>
        <w:t xml:space="preserve"> لم ترِدْ كلمة «ولاية الفقيه» في أيٍّ من الروايات المنقولة عن النبيّ</w:t>
      </w:r>
      <w:r w:rsidRPr="00EA09EB">
        <w:rPr>
          <w:rFonts w:hint="cs"/>
          <w:rtl/>
        </w:rPr>
        <w:sym w:font="Roumouz" w:char="F02D"/>
      </w:r>
      <w:r w:rsidRPr="00EA09EB">
        <w:rPr>
          <w:rFonts w:hint="cs"/>
          <w:rtl/>
        </w:rPr>
        <w:t xml:space="preserve"> والأئمّة</w:t>
      </w:r>
      <w:r w:rsidR="007A340E">
        <w:rPr>
          <w:rFonts w:hint="cs"/>
          <w:rtl/>
        </w:rPr>
        <w:t>^</w:t>
      </w:r>
      <w:r w:rsidRPr="00EA09EB">
        <w:rPr>
          <w:rFonts w:hint="cs"/>
          <w:rtl/>
        </w:rPr>
        <w:t>. إلاّ أنه لا يمكن التغاضي عن مضمون ولاية الفقيه في التصدي لمنصب القضاء وبعض الأمور الحسبية، الذي ورد في بعض الروايات المعتبرة. وولاية الفقيه في دائرة الشؤون العامة ليست مدلولاً مطابقياً، ولا تضمنياً، ولا التزامياً (لزوماً بيّناً بالمعنى الأخص)، للروايات. ولكنها حاصل جهد بعض الفقهاء الكبار (رضوان الله عليهم)، وهو يستحقّ تقديراً كبيراً، حيث إنهم توصَّلوا إلى هذه النتيجة بعد إثباتها بعدّة مقدّمات من روايات، مثل: توقيع «الحوادث الواقعة»</w:t>
      </w:r>
      <w:r w:rsidRPr="00064619">
        <w:rPr>
          <w:rFonts w:cs="Taher"/>
          <w:sz w:val="32"/>
          <w:vertAlign w:val="superscript"/>
          <w:rtl/>
        </w:rPr>
        <w:t>(</w:t>
      </w:r>
      <w:r w:rsidRPr="00064619">
        <w:rPr>
          <w:rStyle w:val="FootnoteReference"/>
          <w:rFonts w:cs="Taher"/>
          <w:sz w:val="32"/>
          <w:rtl/>
        </w:rPr>
        <w:footnoteReference w:id="213"/>
      </w:r>
      <w:r w:rsidRPr="00064619">
        <w:rPr>
          <w:rFonts w:cs="Taher"/>
          <w:sz w:val="32"/>
          <w:vertAlign w:val="superscript"/>
          <w:rtl/>
        </w:rPr>
        <w:t>)</w:t>
      </w:r>
      <w:r w:rsidRPr="00EA09EB">
        <w:rPr>
          <w:rFonts w:hint="cs"/>
          <w:rtl/>
        </w:rPr>
        <w:t>، مقبولة عمر بن حنظلة، مشهورة أبي خديجة، موثَّقة السكوني</w:t>
      </w:r>
      <w:r w:rsidRPr="00064619">
        <w:rPr>
          <w:rFonts w:cs="Taher"/>
          <w:sz w:val="32"/>
          <w:vertAlign w:val="superscript"/>
          <w:rtl/>
        </w:rPr>
        <w:t>(</w:t>
      </w:r>
      <w:r w:rsidRPr="00064619">
        <w:rPr>
          <w:rStyle w:val="FootnoteReference"/>
          <w:rFonts w:cs="Taher"/>
          <w:sz w:val="32"/>
          <w:rtl/>
        </w:rPr>
        <w:footnoteReference w:id="214"/>
      </w:r>
      <w:r w:rsidRPr="00064619">
        <w:rPr>
          <w:rFonts w:cs="Taher"/>
          <w:sz w:val="32"/>
          <w:vertAlign w:val="superscript"/>
          <w:rtl/>
        </w:rPr>
        <w:t>)</w:t>
      </w:r>
      <w:r w:rsidRPr="00EA09EB">
        <w:rPr>
          <w:rFonts w:hint="cs"/>
          <w:rtl/>
        </w:rPr>
        <w:t>، وغيرها، بالإضافة إلى أدلة عقليّة (ملفَّقة من العقل والنقل). وسوف نتعرَّض لهذا الاستنتاج في القسم الثاني (المباني التصديقية للولاية).</w:t>
      </w:r>
    </w:p>
    <w:p w:rsidR="00EA09EB" w:rsidRPr="00A32FC0" w:rsidRDefault="00EA09EB" w:rsidP="00EA09EB">
      <w:pPr>
        <w:rPr>
          <w:rtl/>
          <w:lang w:bidi="ar-LB"/>
        </w:rPr>
      </w:pPr>
      <w:r w:rsidRPr="00A32FC0">
        <w:rPr>
          <w:rFonts w:hint="cs"/>
          <w:rtl/>
          <w:lang w:bidi="ar-LB"/>
        </w:rPr>
        <w:t>ويمكن أن نستنتج من المباحث التي تقدّمت:</w:t>
      </w:r>
    </w:p>
    <w:p w:rsidR="00EA09EB" w:rsidRPr="00EA09EB" w:rsidRDefault="00EA09EB" w:rsidP="007A340E">
      <w:pPr>
        <w:ind w:firstLine="283"/>
        <w:rPr>
          <w:rtl/>
        </w:rPr>
      </w:pPr>
      <w:r w:rsidRPr="007A340E">
        <w:rPr>
          <w:rFonts w:hint="cs"/>
          <w:b/>
          <w:bCs/>
          <w:rtl/>
        </w:rPr>
        <w:t>أولاً</w:t>
      </w:r>
      <w:r w:rsidRPr="00EA09EB">
        <w:rPr>
          <w:rFonts w:hint="cs"/>
          <w:rtl/>
        </w:rPr>
        <w:t xml:space="preserve">: لم ترِدْ كلمة ولاية الفقيه في أيٍّ من الآيات والروايات. كما أن مضمون «ولاية الفقيه في الشؤون العامة» لم يلحظ في الكتاب والسنة. </w:t>
      </w:r>
    </w:p>
    <w:p w:rsidR="00EA09EB" w:rsidRPr="00EA09EB" w:rsidRDefault="00EA09EB" w:rsidP="007A340E">
      <w:pPr>
        <w:ind w:firstLine="283"/>
        <w:rPr>
          <w:rtl/>
        </w:rPr>
      </w:pPr>
      <w:r w:rsidRPr="007A340E">
        <w:rPr>
          <w:rFonts w:hint="cs"/>
          <w:b/>
          <w:bCs/>
          <w:rtl/>
        </w:rPr>
        <w:t>ثانياً</w:t>
      </w:r>
      <w:r w:rsidRPr="00EA09EB">
        <w:rPr>
          <w:rFonts w:hint="cs"/>
          <w:rtl/>
        </w:rPr>
        <w:t xml:space="preserve">: لم ترِدْ ولاية الفقيه في أيٍّ من المؤلفات العرفانية والكلامية، كما أنه لم يتمّ البحث حولها نفياً أو إثباتاً. </w:t>
      </w:r>
    </w:p>
    <w:p w:rsidR="00EA09EB" w:rsidRPr="00EA09EB" w:rsidRDefault="00EA09EB" w:rsidP="007A340E">
      <w:pPr>
        <w:ind w:firstLine="283"/>
        <w:rPr>
          <w:rtl/>
        </w:rPr>
      </w:pPr>
      <w:r w:rsidRPr="007A340E">
        <w:rPr>
          <w:rFonts w:hint="cs"/>
          <w:b/>
          <w:bCs/>
          <w:rtl/>
        </w:rPr>
        <w:t>ثالثاً</w:t>
      </w:r>
      <w:r w:rsidRPr="00EA09EB">
        <w:rPr>
          <w:rFonts w:hint="cs"/>
          <w:rtl/>
        </w:rPr>
        <w:t>: إنّ أوّل من استعمل كلمة «ولاية الفقيه» هم الفقهاء، فلذا تعدّ هذه الكلمة اصطلاحاً متشرِّعياً، لا اصطلاحاً شرعياً.</w:t>
      </w:r>
    </w:p>
    <w:p w:rsidR="007A340E" w:rsidRDefault="00EA09EB" w:rsidP="00B5080E">
      <w:pPr>
        <w:rPr>
          <w:rtl/>
        </w:rPr>
      </w:pPr>
      <w:r w:rsidRPr="00A32FC0">
        <w:rPr>
          <w:rFonts w:hint="cs"/>
          <w:rtl/>
          <w:lang w:bidi="ar-LB"/>
        </w:rPr>
        <w:t>كانت الأسئلة الأساسية في هذا البحث تدور حول: ما هو المراد من الولاية في ولاية الفقيه والحكومة الولائية؟ وبأيّ معنىً استعمل لفظ الولاية عند مبتكري هذا المصطلح ومستعمليه؟ وماذا يمكن أن نفهم من معنى الولاية من خلال أدلّة القائلين بولاية الفقيه؟ وبأيّ معنىً استعمل</w:t>
      </w:r>
      <w:r>
        <w:rPr>
          <w:rFonts w:hint="cs"/>
          <w:rtl/>
          <w:lang w:bidi="ar-LB"/>
        </w:rPr>
        <w:t xml:space="preserve"> السيد</w:t>
      </w:r>
      <w:r w:rsidRPr="00A32FC0">
        <w:rPr>
          <w:rFonts w:hint="cs"/>
          <w:rtl/>
          <w:lang w:bidi="ar-LB"/>
        </w:rPr>
        <w:t xml:space="preserve"> الخميني كلمة الولاية في مؤلَّفاته؟ وما هو المعنى الذي أراده مشرِّعو دستور الجمهورية الإسلامية الإيرانيّة من الولاية؟</w:t>
      </w:r>
      <w:r w:rsidRPr="00EA09EB">
        <w:rPr>
          <w:rtl/>
        </w:rPr>
        <w:br w:type="page"/>
      </w:r>
    </w:p>
    <w:p w:rsidR="007A340E" w:rsidRDefault="007A340E" w:rsidP="007A340E">
      <w:pPr>
        <w:rPr>
          <w:rtl/>
          <w:lang w:bidi="ar-LB"/>
        </w:rPr>
        <w:sectPr w:rsidR="007A340E" w:rsidSect="009003FC">
          <w:headerReference w:type="even" r:id="rId28"/>
          <w:headerReference w:type="first" r:id="rId29"/>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40" w:name="_Toc413658823"/>
      <w:r w:rsidRPr="00E2207F">
        <w:rPr>
          <w:rFonts w:hint="cs"/>
          <w:rtl/>
          <w:lang w:bidi="ar-LB"/>
        </w:rPr>
        <w:t xml:space="preserve">الفصل السابع: الولاية </w:t>
      </w:r>
      <w:r w:rsidRPr="007A340E">
        <w:rPr>
          <w:rFonts w:hint="cs"/>
          <w:rtl/>
        </w:rPr>
        <w:t>الشرعيّة للفقيه</w:t>
      </w:r>
      <w:r w:rsidRPr="00064619">
        <w:rPr>
          <w:rFonts w:cs="Taher"/>
          <w:vertAlign w:val="superscript"/>
          <w:rtl/>
          <w:lang w:bidi="ar-LB"/>
        </w:rPr>
        <w:t>(</w:t>
      </w:r>
      <w:r w:rsidRPr="00064619">
        <w:rPr>
          <w:rStyle w:val="FootnoteReference"/>
          <w:rFonts w:cs="Taher"/>
          <w:sz w:val="32"/>
          <w:rtl/>
          <w:lang w:bidi="ar-LB"/>
        </w:rPr>
        <w:footnoteReference w:id="215"/>
      </w:r>
      <w:r w:rsidRPr="00064619">
        <w:rPr>
          <w:rFonts w:cs="Taher"/>
          <w:vertAlign w:val="superscript"/>
          <w:rtl/>
          <w:lang w:bidi="ar-LB"/>
        </w:rPr>
        <w:t>)</w:t>
      </w:r>
      <w:bookmarkEnd w:id="40"/>
    </w:p>
    <w:p w:rsidR="00EA09EB" w:rsidRPr="00A32FC0" w:rsidRDefault="00EA09EB" w:rsidP="00635BE2">
      <w:pPr>
        <w:pStyle w:val="Normal87"/>
        <w:rPr>
          <w:rtl/>
        </w:rPr>
      </w:pPr>
      <w:r w:rsidRPr="00A32FC0">
        <w:rPr>
          <w:rFonts w:hint="cs"/>
          <w:rtl/>
        </w:rPr>
        <w:t>أوّل من استعمل مصطلح «ولاية الفقيه» هم الفقهاء، وإذا أردنا معرفة المراد من الولاية في «ولاية الفقيه» فمن الطبيعي أن نتوجَّه إليهم بالسؤال عن هذا المراد. ولمعرفة الأبعاد المختلفة للولاية علينا أن نرجع إلى كتبهم ونتتبَّع استعمالاتهم لها.</w:t>
      </w:r>
    </w:p>
    <w:p w:rsidR="00EA09EB" w:rsidRPr="00A32FC0" w:rsidRDefault="00EA09EB" w:rsidP="00635BE2">
      <w:pPr>
        <w:pStyle w:val="Normal84"/>
        <w:rPr>
          <w:rtl/>
        </w:rPr>
      </w:pPr>
      <w:r w:rsidRPr="00A32FC0">
        <w:rPr>
          <w:rFonts w:hint="cs"/>
          <w:rtl/>
        </w:rPr>
        <w:t>1</w:t>
      </w:r>
      <w:r w:rsidRPr="00A32FC0">
        <w:rPr>
          <w:rtl/>
        </w:rPr>
        <w:t>ـ</w:t>
      </w:r>
      <w:r w:rsidRPr="00A32FC0">
        <w:rPr>
          <w:rFonts w:hint="cs"/>
          <w:rtl/>
        </w:rPr>
        <w:t xml:space="preserve"> بالعودة إلى كتب الفقهاء منذ بداية عصر تدوين الفقه الشيعي نلاحظ مضمون ولاية الفقيه في أُطرٍ عدّة، تشمل الأمور الحسبية، والقضاء، والفتاوى، وإجراء الأحكام الجزائية، والمرتبة الأخيرة من مراتب الأمر بالمعروف والنهي عن المنكر، وإقامة بعض العبادات الجماعية، من قبيل: صلاة الجمعة، وصلاة العيد، وجباية وصرف الأموال الشرعيّة، مثل: الزكاة. </w:t>
      </w:r>
    </w:p>
    <w:p w:rsidR="00EA09EB" w:rsidRPr="00EA09EB" w:rsidRDefault="00EA09EB" w:rsidP="00EA09EB">
      <w:pPr>
        <w:rPr>
          <w:rtl/>
        </w:rPr>
      </w:pPr>
      <w:r w:rsidRPr="00EA09EB">
        <w:rPr>
          <w:rFonts w:hint="cs"/>
          <w:rtl/>
        </w:rPr>
        <w:t>لقد تمّ الإجماع، من البداية، على أولويّة الفقهاء وتصدّيهم وتصرّفهم في ثلاثة مجالات: الفتوى، والقضاء، والأمور الحسبيّة. وبعبارة أخرى: إن جواز تصرُّف الفقيه في الأمور الحسبيّة والقضاء والفتوى محلّ إجماع. أما التصدّي للموارد الأخرى فيظهر أنها كانت محل اختلاف شديد بين الفقهاء؛ فمن قائل بجواز تصدي الفقيه لهذه الموارد في عصر الغيبة؛ إلى قائل باختصاصها بعصر حضور المعصوم</w:t>
      </w:r>
      <w:r>
        <w:rPr>
          <w:rFonts w:hint="cs"/>
          <w:rtl/>
        </w:rPr>
        <w:t>×</w:t>
      </w:r>
      <w:r w:rsidRPr="00EA09EB">
        <w:rPr>
          <w:rFonts w:hint="cs"/>
          <w:rtl/>
        </w:rPr>
        <w:t>. ويعتقد بعض الفقهاء، من قبيل: الشيخ المفيد في «المقنعة»، أن الأئمة</w:t>
      </w:r>
      <w:r w:rsidR="007A340E">
        <w:rPr>
          <w:rFonts w:hint="cs"/>
          <w:rtl/>
        </w:rPr>
        <w:t>^</w:t>
      </w:r>
      <w:r w:rsidRPr="00EA09EB">
        <w:rPr>
          <w:rFonts w:hint="cs"/>
          <w:rtl/>
        </w:rPr>
        <w:t xml:space="preserve"> قد فوَّضوا الفقهاء في التصرُّف في جميع الموارد المذكورة في عصر الغيبة</w:t>
      </w:r>
      <w:r w:rsidRPr="00064619">
        <w:rPr>
          <w:rFonts w:cs="Taher"/>
          <w:sz w:val="32"/>
          <w:vertAlign w:val="superscript"/>
          <w:rtl/>
          <w:lang w:bidi="ar-LB"/>
        </w:rPr>
        <w:t>(</w:t>
      </w:r>
      <w:r w:rsidRPr="00064619">
        <w:rPr>
          <w:rStyle w:val="FootnoteReference"/>
          <w:rFonts w:cs="Taher"/>
          <w:sz w:val="32"/>
          <w:rtl/>
          <w:lang w:bidi="ar-LB"/>
        </w:rPr>
        <w:footnoteReference w:id="216"/>
      </w:r>
      <w:r w:rsidRPr="00064619">
        <w:rPr>
          <w:rFonts w:cs="Taher"/>
          <w:sz w:val="32"/>
          <w:vertAlign w:val="superscript"/>
          <w:rtl/>
          <w:lang w:bidi="ar-LB"/>
        </w:rPr>
        <w:t>)</w:t>
      </w:r>
      <w:r w:rsidRPr="00EA09EB">
        <w:rPr>
          <w:rFonts w:hint="cs"/>
          <w:rtl/>
        </w:rPr>
        <w:t>. ويعتقد البعض الآخر، من قبيل: المحقِّق الحلّي، أنه يشترط العصمة في جواز التصرُّف في غير الموارد الثلاث المذكورة (الإفتاء؛ والقضاء؛ والأمور الحسبيّة)، ولذلك لا دليل على جواز تصدّي الفقهاء للموارد المذكورة في عصر الغيبة</w:t>
      </w:r>
      <w:r w:rsidRPr="00064619">
        <w:rPr>
          <w:rFonts w:cs="Taher"/>
          <w:sz w:val="32"/>
          <w:vertAlign w:val="superscript"/>
          <w:rtl/>
          <w:lang w:bidi="ar-LB"/>
        </w:rPr>
        <w:t>(</w:t>
      </w:r>
      <w:r w:rsidRPr="00064619">
        <w:rPr>
          <w:rStyle w:val="FootnoteReference"/>
          <w:rFonts w:cs="Taher"/>
          <w:sz w:val="32"/>
          <w:rtl/>
          <w:lang w:bidi="ar-LB"/>
        </w:rPr>
        <w:footnoteReference w:id="217"/>
      </w:r>
      <w:r w:rsidRPr="00064619">
        <w:rPr>
          <w:rFonts w:cs="Taher"/>
          <w:sz w:val="32"/>
          <w:vertAlign w:val="superscript"/>
          <w:rtl/>
          <w:lang w:bidi="ar-LB"/>
        </w:rPr>
        <w:t>)</w:t>
      </w:r>
      <w:r w:rsidRPr="00EA09EB">
        <w:rPr>
          <w:rFonts w:hint="cs"/>
          <w:rtl/>
        </w:rPr>
        <w:t>. وباستثناء هذين الفقيهين الكبيرين اللذين يمثلان اتجاهين مختلفين: جواز التصدي؛ وعدم جواز التصدّي، فإن الكثير من الفقهاء يرَوْن بأنه يجوز تصدّي الفقيه في بعض الموارد، والبعض الآخر منها منوط بعصر حضور المعصوم</w:t>
      </w:r>
      <w:r w:rsidRPr="00064619">
        <w:rPr>
          <w:rFonts w:cs="Taher"/>
          <w:sz w:val="32"/>
          <w:vertAlign w:val="superscript"/>
          <w:rtl/>
          <w:lang w:bidi="ar-LB"/>
        </w:rPr>
        <w:t>(</w:t>
      </w:r>
      <w:r w:rsidRPr="00064619">
        <w:rPr>
          <w:rStyle w:val="FootnoteReference"/>
          <w:rFonts w:cs="Taher"/>
          <w:sz w:val="32"/>
          <w:rtl/>
          <w:lang w:bidi="ar-LB"/>
        </w:rPr>
        <w:footnoteReference w:id="218"/>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2</w:t>
      </w:r>
      <w:r w:rsidRPr="00A32FC0">
        <w:rPr>
          <w:rtl/>
          <w:lang w:bidi="ar-LB"/>
        </w:rPr>
        <w:t>ـ</w:t>
      </w:r>
      <w:r w:rsidRPr="00A32FC0">
        <w:rPr>
          <w:rFonts w:hint="cs"/>
          <w:rtl/>
          <w:lang w:bidi="ar-LB"/>
        </w:rPr>
        <w:t xml:space="preserve"> لم تكن ولاية الفقيه في الأمور المذكورة تعني زعامة الفقيه السياسية، وإدارته للمجتمع. </w:t>
      </w:r>
    </w:p>
    <w:p w:rsidR="00EA09EB" w:rsidRPr="00A32FC0" w:rsidRDefault="00EA09EB" w:rsidP="00EA09EB">
      <w:pPr>
        <w:rPr>
          <w:rtl/>
          <w:lang w:bidi="ar-LB"/>
        </w:rPr>
      </w:pPr>
      <w:r w:rsidRPr="00A32FC0">
        <w:rPr>
          <w:rFonts w:hint="cs"/>
          <w:rtl/>
          <w:lang w:bidi="ar-LB"/>
        </w:rPr>
        <w:t xml:space="preserve">والدليل على ذلك: </w:t>
      </w:r>
    </w:p>
    <w:p w:rsidR="00EA09EB" w:rsidRPr="00EA09EB" w:rsidRDefault="00EA09EB" w:rsidP="00635BE2">
      <w:pPr>
        <w:pStyle w:val="Normal93"/>
        <w:rPr>
          <w:rtl/>
        </w:rPr>
      </w:pPr>
      <w:r w:rsidRPr="007A340E">
        <w:rPr>
          <w:rFonts w:hint="cs"/>
          <w:b/>
          <w:bCs/>
          <w:rtl/>
        </w:rPr>
        <w:t>أولاً</w:t>
      </w:r>
      <w:r w:rsidRPr="00EA09EB">
        <w:rPr>
          <w:rFonts w:hint="cs"/>
          <w:rtl/>
        </w:rPr>
        <w:t>: في القرون العشرة الأولى من الهجرة لم يكن هناك تلازم بين التصدّي للقضاء وإجراء الحدود الشرعيّة وما شابههما وبين الإمارة والزعامة السياسية. وبعبارة أخرى: إن هذه الأمور لم تُعَدّ من فروع الحاكميّة السياسيّة. واعتقاد بعض فقهاء القرن الرابع عشر بالتلازم، والتفريع، واعتباره أمراً مسلَّماً، لا يُعدّ دليلاً على أن جميع الفقهاء كانوا من المعتقدين بهذا الأمر، فإن الاستنتاجات العلمية والملازمات والتفريعات يجب أن تبحث من خلال ظروفها الزمنية، ولا يجوز الخلط بين مسلَّمات فترةٍ ما ومسلَّمات فترةٍ أخرى.</w:t>
      </w:r>
    </w:p>
    <w:p w:rsidR="00EA09EB" w:rsidRPr="00EA09EB" w:rsidRDefault="00EA09EB" w:rsidP="00635BE2">
      <w:pPr>
        <w:rPr>
          <w:rtl/>
        </w:rPr>
      </w:pPr>
      <w:r w:rsidRPr="007A340E">
        <w:rPr>
          <w:rFonts w:hint="cs"/>
          <w:b/>
          <w:bCs/>
          <w:rtl/>
        </w:rPr>
        <w:t>ثانياً</w:t>
      </w:r>
      <w:r w:rsidRPr="00EA09EB">
        <w:rPr>
          <w:rFonts w:hint="cs"/>
          <w:rtl/>
        </w:rPr>
        <w:t xml:space="preserve">: في القرون العشرة الأولى للهجرة كانت العصمة تُعَدُّ إحدى شرائط الزعامة السياسيّة والإمارة، ولم يكن حينها فصل وتمييز بين الحاكم العادل والحاكم المعصوم. فكلّ حاكم غير معصوم يعدّ غاصباً وظالماً. وقد صرّح العلامة الحليّ </w:t>
      </w:r>
      <w:r w:rsidRPr="00EA09EB">
        <w:rPr>
          <w:rtl/>
        </w:rPr>
        <w:t>ـ</w:t>
      </w:r>
      <w:r w:rsidRPr="00EA09EB">
        <w:rPr>
          <w:rFonts w:hint="cs"/>
          <w:rtl/>
        </w:rPr>
        <w:t xml:space="preserve"> وهو من كبار فقهاء القرن الثامن </w:t>
      </w:r>
      <w:r w:rsidRPr="00EA09EB">
        <w:rPr>
          <w:rtl/>
        </w:rPr>
        <w:t>ـ</w:t>
      </w:r>
      <w:r w:rsidRPr="00EA09EB">
        <w:rPr>
          <w:rFonts w:hint="cs"/>
          <w:rtl/>
        </w:rPr>
        <w:t xml:space="preserve"> باشتراط عصمة إمام المسلمين في بحث الجهاد في كتاب «تذكرة الفقهاء»</w:t>
      </w:r>
      <w:r w:rsidRPr="00064619">
        <w:rPr>
          <w:rFonts w:cs="Taher"/>
          <w:sz w:val="32"/>
          <w:vertAlign w:val="superscript"/>
          <w:rtl/>
        </w:rPr>
        <w:t>(</w:t>
      </w:r>
      <w:r w:rsidRPr="00064619">
        <w:rPr>
          <w:rStyle w:val="FootnoteReference"/>
          <w:rFonts w:cs="Taher"/>
          <w:sz w:val="32"/>
          <w:rtl/>
          <w:lang w:bidi="ar-LB"/>
        </w:rPr>
        <w:footnoteReference w:id="219"/>
      </w:r>
      <w:r w:rsidRPr="00064619">
        <w:rPr>
          <w:rFonts w:cs="Taher"/>
          <w:sz w:val="32"/>
          <w:vertAlign w:val="superscript"/>
          <w:rtl/>
        </w:rPr>
        <w:t>)</w:t>
      </w:r>
      <w:r w:rsidRPr="00EA09EB">
        <w:rPr>
          <w:rFonts w:hint="cs"/>
          <w:rtl/>
        </w:rPr>
        <w:t>. وأمّا قبول زعامة الإمام العادل غير المعصوم فهو مرهونٌ بتوفُّر الشروط الزمنيّة والمكانيّة الخاصّة به، وقد توفّرت هذه الشروط بإرساء الدولة الصفويّة في إيران.</w:t>
      </w:r>
    </w:p>
    <w:p w:rsidR="00EA09EB" w:rsidRPr="00A32FC0" w:rsidRDefault="00EA09EB" w:rsidP="00EA09EB">
      <w:pPr>
        <w:rPr>
          <w:rtl/>
          <w:lang w:bidi="ar-LB"/>
        </w:rPr>
      </w:pPr>
      <w:r w:rsidRPr="00A32FC0">
        <w:rPr>
          <w:rFonts w:hint="cs"/>
          <w:b/>
          <w:bCs/>
          <w:rtl/>
          <w:lang w:bidi="ar-LB"/>
        </w:rPr>
        <w:t>ثالثاً</w:t>
      </w:r>
      <w:r w:rsidRPr="00EA09EB">
        <w:rPr>
          <w:rFonts w:hint="cs"/>
          <w:rtl/>
        </w:rPr>
        <w:t>: في أواخر القرن العاشر وبدايات القرن الحادي عشر قام الفقهاء بالفصل والتفكيك بين الأمور الشرعيّة (الإفتاء، القضاء، الأمور الحسبية، إجراء الحدود والتعزيزات، إقامة الجمعة والجماعة، جباية وصرف الأموال الشرعيّة، و...) وبين الأمور العرفية (إدارة الدولة، تنظيم السياسات الداخلية والخارجية، العمل على إرساء النظام والأمن و...)»</w:t>
      </w:r>
      <w:r w:rsidRPr="00064619">
        <w:rPr>
          <w:rFonts w:cs="Taher"/>
          <w:vertAlign w:val="superscript"/>
          <w:rtl/>
        </w:rPr>
        <w:t>(</w:t>
      </w:r>
      <w:r w:rsidRPr="00064619">
        <w:rPr>
          <w:rStyle w:val="FootnoteReference"/>
          <w:rFonts w:cs="Taher"/>
          <w:sz w:val="32"/>
          <w:rtl/>
        </w:rPr>
        <w:footnoteReference w:id="220"/>
      </w:r>
      <w:r w:rsidRPr="00064619">
        <w:rPr>
          <w:rFonts w:cs="Taher"/>
          <w:vertAlign w:val="superscript"/>
          <w:rtl/>
        </w:rPr>
        <w:t>)</w:t>
      </w:r>
      <w:r w:rsidRPr="00A32FC0">
        <w:rPr>
          <w:rFonts w:hint="cs"/>
          <w:rtl/>
          <w:lang w:bidi="ar-LB"/>
        </w:rPr>
        <w:t>.</w:t>
      </w:r>
    </w:p>
    <w:p w:rsidR="00EA09EB" w:rsidRPr="00A32FC0" w:rsidRDefault="00EA09EB" w:rsidP="00EA09EB">
      <w:pPr>
        <w:rPr>
          <w:rtl/>
          <w:lang w:bidi="ar-LB"/>
        </w:rPr>
      </w:pPr>
      <w:r w:rsidRPr="00A32FC0">
        <w:rPr>
          <w:rFonts w:hint="cs"/>
          <w:rtl/>
          <w:lang w:bidi="ar-LB"/>
        </w:rPr>
        <w:t>هذه الثنائية التي صرّح بها الفقهاء بشكل واضح، كالعلاّمة المجلسي</w:t>
      </w:r>
      <w:r w:rsidRPr="00064619">
        <w:rPr>
          <w:rFonts w:cs="Taher"/>
          <w:vertAlign w:val="superscript"/>
          <w:rtl/>
          <w:lang w:bidi="ar-LB"/>
        </w:rPr>
        <w:t>(</w:t>
      </w:r>
      <w:r w:rsidRPr="00064619">
        <w:rPr>
          <w:rStyle w:val="FootnoteReference"/>
          <w:rFonts w:cs="Taher"/>
          <w:sz w:val="32"/>
          <w:rtl/>
          <w:lang w:bidi="ar-LB"/>
        </w:rPr>
        <w:footnoteReference w:id="221"/>
      </w:r>
      <w:r w:rsidRPr="00064619">
        <w:rPr>
          <w:rFonts w:cs="Taher"/>
          <w:vertAlign w:val="superscript"/>
          <w:rtl/>
          <w:lang w:bidi="ar-LB"/>
        </w:rPr>
        <w:t>)</w:t>
      </w:r>
      <w:r w:rsidRPr="00EA09EB">
        <w:rPr>
          <w:rFonts w:hint="cs"/>
          <w:rtl/>
        </w:rPr>
        <w:t>، والسيد الكشفي</w:t>
      </w:r>
      <w:r w:rsidRPr="00064619">
        <w:rPr>
          <w:rFonts w:cs="Taher"/>
          <w:vertAlign w:val="superscript"/>
          <w:rtl/>
          <w:lang w:bidi="ar-LB"/>
        </w:rPr>
        <w:t>(</w:t>
      </w:r>
      <w:r w:rsidRPr="00064619">
        <w:rPr>
          <w:rStyle w:val="FootnoteReference"/>
          <w:rFonts w:cs="Taher"/>
          <w:sz w:val="32"/>
          <w:rtl/>
          <w:lang w:bidi="ar-LB"/>
        </w:rPr>
        <w:footnoteReference w:id="222"/>
      </w:r>
      <w:r w:rsidRPr="00064619">
        <w:rPr>
          <w:rFonts w:cs="Taher"/>
          <w:vertAlign w:val="superscript"/>
          <w:rtl/>
          <w:lang w:bidi="ar-LB"/>
        </w:rPr>
        <w:t>)</w:t>
      </w:r>
      <w:r w:rsidRPr="00EA09EB">
        <w:rPr>
          <w:rFonts w:hint="cs"/>
          <w:rtl/>
        </w:rPr>
        <w:t>، والمطالبين بمشروعية السلطة والحكم، كالشيخ فضل الله النوري</w:t>
      </w:r>
      <w:r w:rsidRPr="00064619">
        <w:rPr>
          <w:rFonts w:cs="Taher"/>
          <w:vertAlign w:val="superscript"/>
          <w:rtl/>
          <w:lang w:bidi="ar-LB"/>
        </w:rPr>
        <w:t>(</w:t>
      </w:r>
      <w:r w:rsidRPr="00064619">
        <w:rPr>
          <w:rStyle w:val="FootnoteReference"/>
          <w:rFonts w:cs="Taher"/>
          <w:sz w:val="32"/>
          <w:rtl/>
          <w:lang w:bidi="ar-LB"/>
        </w:rPr>
        <w:footnoteReference w:id="223"/>
      </w:r>
      <w:r w:rsidRPr="00064619">
        <w:rPr>
          <w:rFonts w:cs="Taher"/>
          <w:vertAlign w:val="superscript"/>
          <w:rtl/>
          <w:lang w:bidi="ar-LB"/>
        </w:rPr>
        <w:t>)</w:t>
      </w:r>
      <w:r w:rsidRPr="00A32FC0">
        <w:rPr>
          <w:rFonts w:hint="cs"/>
          <w:rtl/>
          <w:lang w:bidi="ar-LB"/>
        </w:rPr>
        <w:t>، أدَّت إلى القول بتفويض الشارع الولاية في الأمور الشرعيّة إلى الفقهاء، والولاية في الأمور العرفيّة إلى السلاطين.</w:t>
      </w:r>
    </w:p>
    <w:p w:rsidR="00EA09EB" w:rsidRPr="00EA09EB" w:rsidRDefault="00EA09EB" w:rsidP="00EA09EB">
      <w:pPr>
        <w:rPr>
          <w:rtl/>
        </w:rPr>
      </w:pPr>
      <w:r w:rsidRPr="00A32FC0">
        <w:rPr>
          <w:rFonts w:hint="cs"/>
          <w:rtl/>
          <w:lang w:bidi="ar-LB"/>
        </w:rPr>
        <w:t>3</w:t>
      </w:r>
      <w:r w:rsidRPr="00A32FC0">
        <w:rPr>
          <w:rtl/>
          <w:lang w:bidi="ar-LB"/>
        </w:rPr>
        <w:t>ـ</w:t>
      </w:r>
      <w:r w:rsidRPr="00A32FC0">
        <w:rPr>
          <w:rFonts w:hint="cs"/>
          <w:rtl/>
          <w:lang w:bidi="ar-LB"/>
        </w:rPr>
        <w:t xml:space="preserve"> أوّل من استعمل اصطلاح </w:t>
      </w:r>
      <w:r w:rsidRPr="00A32FC0">
        <w:rPr>
          <w:rFonts w:hint="cs"/>
          <w:rtl/>
        </w:rPr>
        <w:t>«</w:t>
      </w:r>
      <w:r w:rsidRPr="00A32FC0">
        <w:rPr>
          <w:rFonts w:hint="cs"/>
          <w:rtl/>
          <w:lang w:bidi="ar-LB"/>
        </w:rPr>
        <w:t>ولاية الفقيه</w:t>
      </w:r>
      <w:r w:rsidRPr="00A32FC0">
        <w:rPr>
          <w:rFonts w:hint="cs"/>
          <w:rtl/>
        </w:rPr>
        <w:t>»</w:t>
      </w:r>
      <w:r w:rsidRPr="00A32FC0">
        <w:rPr>
          <w:rFonts w:hint="cs"/>
          <w:rtl/>
          <w:lang w:bidi="ar-LB"/>
        </w:rPr>
        <w:t xml:space="preserve"> في المصادر والعلوم الإسلامية هو الشهيد الثاني(</w:t>
      </w:r>
      <w:r>
        <w:rPr>
          <w:rFonts w:hint="cs"/>
          <w:rtl/>
          <w:lang w:bidi="ar-LB"/>
        </w:rPr>
        <w:t xml:space="preserve">م </w:t>
      </w:r>
      <w:r w:rsidRPr="00A32FC0">
        <w:rPr>
          <w:rFonts w:hint="cs"/>
          <w:rtl/>
          <w:lang w:bidi="ar-LB"/>
        </w:rPr>
        <w:t>955هـ) في بحث القضاء من كتاب «مسالك الإفهام»</w:t>
      </w:r>
      <w:r w:rsidRPr="00064619">
        <w:rPr>
          <w:rFonts w:cs="Taher"/>
          <w:vertAlign w:val="superscript"/>
          <w:rtl/>
          <w:lang w:bidi="ar-LB"/>
        </w:rPr>
        <w:t>(</w:t>
      </w:r>
      <w:r w:rsidRPr="00064619">
        <w:rPr>
          <w:rStyle w:val="FootnoteReference"/>
          <w:rFonts w:cs="Taher"/>
          <w:sz w:val="32"/>
          <w:rtl/>
          <w:lang w:bidi="ar-LB"/>
        </w:rPr>
        <w:footnoteReference w:id="224"/>
      </w:r>
      <w:r w:rsidRPr="00064619">
        <w:rPr>
          <w:rFonts w:cs="Taher"/>
          <w:vertAlign w:val="superscript"/>
          <w:rtl/>
          <w:lang w:bidi="ar-LB"/>
        </w:rPr>
        <w:t>)</w:t>
      </w:r>
      <w:r w:rsidRPr="00EA09EB">
        <w:rPr>
          <w:rFonts w:hint="cs"/>
          <w:rtl/>
        </w:rPr>
        <w:t>. وقبله بعدة سنوات قام المحقِّق الكركيّ(م 940هـ)، وهو أحد كبار فقهاء العصر الصفويّ ـ بتوسيع صلاحيّات الفقهاء في عصر الغيبة، وذلك في «رسالة صلاة الجمعة»، فإنّه وإنْ لم يصرِّح بالتولّي والتدبير السياسي وزعامة المجتمع، ولم يتجاوز الأمور الشرعية في صلاحيات الفقيه، إلا أن هناك عبارة عامّة تتحمَّل ما هو أعمّ من ذلك، حيث يقول: «اتفق أصحابنا رضوان الله عليهم على أن الفقيه، العدل، الإمامي، الجامع لشرائط الفتوى، المعبَّر عنه بالمجتهد في الأحكام الشرعيّة، نائب من قبل أئمة الهدى صلوات الله وسلامه عليهم في حال الغيبة، في جميع ما للنيابة فيه مدخل...»</w:t>
      </w:r>
      <w:r w:rsidRPr="00064619">
        <w:rPr>
          <w:rFonts w:cs="Taher"/>
          <w:vertAlign w:val="superscript"/>
          <w:rtl/>
        </w:rPr>
        <w:t>(</w:t>
      </w:r>
      <w:r w:rsidRPr="00064619">
        <w:rPr>
          <w:rStyle w:val="FootnoteReference"/>
          <w:rFonts w:cs="Taher"/>
          <w:sz w:val="32"/>
          <w:rtl/>
        </w:rPr>
        <w:footnoteReference w:id="225"/>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كانت هذه الإشارة الأولى لولادة نظرية </w:t>
      </w:r>
      <w:r w:rsidRPr="00A32FC0">
        <w:rPr>
          <w:rFonts w:hint="cs"/>
          <w:rtl/>
        </w:rPr>
        <w:t>«</w:t>
      </w:r>
      <w:r w:rsidRPr="00A32FC0">
        <w:rPr>
          <w:rFonts w:hint="cs"/>
          <w:rtl/>
          <w:lang w:bidi="ar-LB"/>
        </w:rPr>
        <w:t>الولاية العاّمة للفقهاء</w:t>
      </w:r>
      <w:r w:rsidRPr="00A32FC0">
        <w:rPr>
          <w:rFonts w:hint="cs"/>
          <w:rtl/>
        </w:rPr>
        <w:t>»</w:t>
      </w:r>
      <w:r w:rsidRPr="00A32FC0">
        <w:rPr>
          <w:rFonts w:hint="cs"/>
          <w:rtl/>
          <w:lang w:bidi="ar-LB"/>
        </w:rPr>
        <w:t xml:space="preserve"> في الفقه الشيعيّ. </w:t>
      </w:r>
    </w:p>
    <w:p w:rsidR="00EA09EB" w:rsidRPr="00A32FC0" w:rsidRDefault="00EA09EB" w:rsidP="00635BE2">
      <w:pPr>
        <w:pStyle w:val="Normal87"/>
        <w:rPr>
          <w:rtl/>
        </w:rPr>
      </w:pPr>
      <w:r w:rsidRPr="00A32FC0">
        <w:rPr>
          <w:rFonts w:hint="cs"/>
          <w:rtl/>
        </w:rPr>
        <w:t>وقبل هذه المرحلة كانت ولاية الفقهاء تقتصر على الأمور الحسبية، وبعض الموارد الخاصة</w:t>
      </w:r>
      <w:r>
        <w:rPr>
          <w:rFonts w:hint="cs"/>
          <w:rtl/>
        </w:rPr>
        <w:t>،</w:t>
      </w:r>
      <w:r w:rsidRPr="00A32FC0">
        <w:rPr>
          <w:rFonts w:hint="cs"/>
          <w:rtl/>
        </w:rPr>
        <w:t xml:space="preserve"> من قبيل: إجراء الحدود، وإقامة الجمعة، و...). أمّا في هذه المرحلة</w:t>
      </w:r>
      <w:r>
        <w:rPr>
          <w:rFonts w:hint="cs"/>
          <w:rtl/>
        </w:rPr>
        <w:t>،</w:t>
      </w:r>
      <w:r w:rsidRPr="00A32FC0">
        <w:rPr>
          <w:rFonts w:hint="cs"/>
          <w:rtl/>
        </w:rPr>
        <w:t xml:space="preserve"> حيث تداخلت مسألة النيابة عن الأئمّة في مسألة ولاية الفقيه مع القبول للولاية العامّة للفقهاء، فإنه عند الشكّ في جواز تصرُّف الفقيه في شأن من الشؤون نستطيع أن نتمسَّك بعمومات أدلة الولاية العامّة للفقيه، ولا نحتاج إلى دليل خاصّ. </w:t>
      </w:r>
    </w:p>
    <w:p w:rsidR="00EA09EB" w:rsidRPr="00A32FC0" w:rsidRDefault="00EA09EB" w:rsidP="00635BE2">
      <w:pPr>
        <w:pStyle w:val="Normal87"/>
        <w:rPr>
          <w:rtl/>
        </w:rPr>
      </w:pPr>
      <w:r w:rsidRPr="00EA09EB">
        <w:rPr>
          <w:rFonts w:hint="cs"/>
          <w:rtl/>
        </w:rPr>
        <w:t>4</w:t>
      </w:r>
      <w:r w:rsidRPr="00EA09EB">
        <w:rPr>
          <w:rtl/>
        </w:rPr>
        <w:t>ـ</w:t>
      </w:r>
      <w:r w:rsidRPr="00EA09EB">
        <w:rPr>
          <w:rFonts w:hint="cs"/>
          <w:rtl/>
        </w:rPr>
        <w:t xml:space="preserve"> بعيداً عن البحث النظريّ للموضوع، وبملاحظة الجانب الواقعيّ والعمليّ حتى القرن الحادي عشر، فقد كان السلاطين؛ بما لهم من سلطة، ينصِّبون الفقهاء في مناصب من قبيل القضاء، شيخ الإسلام، صدر الإسلام، وغيرها من المناصب</w:t>
      </w:r>
      <w:r w:rsidRPr="00064619">
        <w:rPr>
          <w:rFonts w:cs="Taher"/>
          <w:vertAlign w:val="superscript"/>
          <w:rtl/>
        </w:rPr>
        <w:t>(</w:t>
      </w:r>
      <w:r w:rsidRPr="00064619">
        <w:rPr>
          <w:rStyle w:val="FootnoteReference"/>
          <w:rFonts w:cs="Taher"/>
          <w:sz w:val="32"/>
          <w:rtl/>
        </w:rPr>
        <w:footnoteReference w:id="226"/>
      </w:r>
      <w:r w:rsidRPr="00064619">
        <w:rPr>
          <w:rFonts w:cs="Taher"/>
          <w:vertAlign w:val="superscript"/>
          <w:rtl/>
        </w:rPr>
        <w:t>)</w:t>
      </w:r>
      <w:r w:rsidRPr="00EA09EB">
        <w:rPr>
          <w:rFonts w:hint="cs"/>
          <w:rtl/>
        </w:rPr>
        <w:t>. ولكن بعد أن أخذت قدرة السلاطين بالضعف والانهيار، وفي المقابل ازدادت قدرة الفقهاء الاجتماعية تدريجياً، انعكست القضية، أي أصبح السلاطين محتاجين إلى إذن الفقهاء في الحكم، وإجازتهم في الجهاد</w:t>
      </w:r>
      <w:r w:rsidRPr="00064619">
        <w:rPr>
          <w:rFonts w:cs="Taher"/>
          <w:vertAlign w:val="superscript"/>
          <w:rtl/>
        </w:rPr>
        <w:t>(</w:t>
      </w:r>
      <w:r w:rsidRPr="00064619">
        <w:rPr>
          <w:rStyle w:val="FootnoteReference"/>
          <w:rFonts w:cs="Taher"/>
          <w:sz w:val="32"/>
          <w:rtl/>
        </w:rPr>
        <w:footnoteReference w:id="227"/>
      </w:r>
      <w:r w:rsidRPr="00064619">
        <w:rPr>
          <w:rFonts w:cs="Taher"/>
          <w:vertAlign w:val="superscript"/>
          <w:rtl/>
        </w:rPr>
        <w:t>)</w:t>
      </w:r>
      <w:r w:rsidRPr="00EA09EB">
        <w:rPr>
          <w:rFonts w:hint="cs"/>
          <w:rtl/>
        </w:rPr>
        <w:t>. ومن أهمّ فقهاء هذه المرحلة الشيخ جعفر كاشف الغطاء(م 1227هـ)، والميرزا القمي(م 1231هـ)، والسيد محمد المجاهد(م 1242هـ). وعلى أيّ حال فقد تحوَّلت مسألة «ولاية الفقيه» في أواسط القرن الثالث عشر إلى مسألة اجتماعية عامّة البلوى. وكان الملاّ أحمد النراقي(م 1248هـ)؛ بإدراكه لمتطلِّبات عصره، أوّل فقيه من فقهاء الشيعة يفرد بحثاً مستقلاًّ لمسألة ولاية الفقيه في كتابه «عوائد الأيام (العائدة 54 في بيان ولاية الحاكم وما له فيه الولاية)»</w:t>
      </w:r>
      <w:r w:rsidRPr="00064619">
        <w:rPr>
          <w:rFonts w:cs="Taher"/>
          <w:vertAlign w:val="superscript"/>
          <w:rtl/>
        </w:rPr>
        <w:t>(</w:t>
      </w:r>
      <w:r w:rsidRPr="00064619">
        <w:rPr>
          <w:rStyle w:val="FootnoteReference"/>
          <w:rFonts w:cs="Taher"/>
          <w:sz w:val="32"/>
          <w:rtl/>
        </w:rPr>
        <w:footnoteReference w:id="228"/>
      </w:r>
      <w:r w:rsidRPr="00064619">
        <w:rPr>
          <w:rFonts w:cs="Taher"/>
          <w:vertAlign w:val="superscript"/>
          <w:rtl/>
        </w:rPr>
        <w:t>)</w:t>
      </w:r>
      <w:r w:rsidRPr="00EA09EB">
        <w:rPr>
          <w:rFonts w:hint="cs"/>
          <w:rtl/>
        </w:rPr>
        <w:t>. وقد غلب الطابع السياسيّ على بحث النراقيّ في كتابه، وخاصّةً في أوائله. وبعبارة أخرى: يمكن القول إن كلام النراقي كان أوّل تصريح بـ «ولاية الفقهاء السياسيّة على الناس». ولأوّل مرة في الفقه الشيعي تعدّ «نظم الشؤون الدنيوية للناس» من وظائف الفقهاء</w:t>
      </w:r>
      <w:r w:rsidRPr="00064619">
        <w:rPr>
          <w:rFonts w:cs="Taher"/>
          <w:vertAlign w:val="superscript"/>
          <w:rtl/>
        </w:rPr>
        <w:t>(</w:t>
      </w:r>
      <w:r w:rsidRPr="00064619">
        <w:rPr>
          <w:rStyle w:val="FootnoteReference"/>
          <w:rFonts w:cs="Taher"/>
          <w:sz w:val="32"/>
          <w:rtl/>
        </w:rPr>
        <w:footnoteReference w:id="229"/>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lang w:bidi="ar-LB"/>
        </w:rPr>
        <w:t xml:space="preserve">كان هذا بداية عصر جديد لولاية الفقيه، التي تعنى الزعامة السياسية والإدارية والاجتماعية للفقيه. ولذلك فإن عمر نظرية ولاية الفقيه، بمعنى الحكومة والزعامة السياسية للفقيه، يرجع إلى أقلّ من قرنين. ومع أنّ النراقيّ قد أشار بشكل مفصَّل إلى وظائف الفقهاء في عصر الغيبة في بحث استدلالي، إلا أنه مع الأسف لم يُشِرْ في غير المقدّمة إلى وظيفة </w:t>
      </w:r>
      <w:r w:rsidRPr="00A32FC0">
        <w:rPr>
          <w:rFonts w:hint="cs"/>
          <w:rtl/>
        </w:rPr>
        <w:t>«</w:t>
      </w:r>
      <w:r w:rsidRPr="00A32FC0">
        <w:rPr>
          <w:rFonts w:hint="cs"/>
          <w:rtl/>
          <w:lang w:bidi="ar-LB"/>
        </w:rPr>
        <w:t>نظم الشؤون الدنيوية للناس</w:t>
      </w:r>
      <w:r w:rsidRPr="00A32FC0">
        <w:rPr>
          <w:rFonts w:hint="cs"/>
          <w:rtl/>
        </w:rPr>
        <w:t>»</w:t>
      </w:r>
      <w:r w:rsidRPr="00A32FC0">
        <w:rPr>
          <w:rFonts w:hint="cs"/>
          <w:rtl/>
          <w:lang w:bidi="ar-LB"/>
        </w:rPr>
        <w:t xml:space="preserve"> أيّ إشارة تُذكر. وقد أتى بعده الميرزا النائيني(</w:t>
      </w:r>
      <w:r>
        <w:rPr>
          <w:rFonts w:hint="cs"/>
          <w:rtl/>
          <w:lang w:bidi="ar-LB"/>
        </w:rPr>
        <w:t xml:space="preserve">م </w:t>
      </w:r>
      <w:r w:rsidRPr="00A32FC0">
        <w:rPr>
          <w:rFonts w:hint="cs"/>
          <w:rtl/>
          <w:lang w:bidi="ar-LB"/>
        </w:rPr>
        <w:t>1355هـ) ليتولّى توضيح هذه الوظيفة</w:t>
      </w:r>
      <w:r w:rsidRPr="00064619">
        <w:rPr>
          <w:rFonts w:cs="Taher"/>
          <w:vertAlign w:val="superscript"/>
          <w:rtl/>
          <w:lang w:bidi="ar-LB"/>
        </w:rPr>
        <w:t>(</w:t>
      </w:r>
      <w:r w:rsidRPr="00064619">
        <w:rPr>
          <w:rStyle w:val="FootnoteReference"/>
          <w:rFonts w:cs="Taher"/>
          <w:sz w:val="32"/>
          <w:rtl/>
          <w:lang w:bidi="ar-LB"/>
        </w:rPr>
        <w:footnoteReference w:id="230"/>
      </w:r>
      <w:r w:rsidRPr="00064619">
        <w:rPr>
          <w:rFonts w:cs="Taher"/>
          <w:vertAlign w:val="superscript"/>
          <w:rtl/>
          <w:lang w:bidi="ar-LB"/>
        </w:rPr>
        <w:t>)</w:t>
      </w:r>
      <w:r w:rsidRPr="00EA09EB">
        <w:rPr>
          <w:rFonts w:hint="cs"/>
          <w:rtl/>
        </w:rPr>
        <w:t xml:space="preserve">. </w:t>
      </w:r>
    </w:p>
    <w:p w:rsidR="00EA09EB" w:rsidRPr="00A32FC0" w:rsidRDefault="00EA09EB" w:rsidP="00EA09EB">
      <w:pPr>
        <w:rPr>
          <w:rtl/>
          <w:lang w:bidi="ar-LB"/>
        </w:rPr>
      </w:pPr>
      <w:r w:rsidRPr="00A32FC0">
        <w:rPr>
          <w:rFonts w:hint="cs"/>
          <w:rtl/>
          <w:lang w:bidi="ar-LB"/>
        </w:rPr>
        <w:t>ومنذ عصر النراقي انكبّ الفقهاء على بحث مسألة ولاية الفقيه، بمعنى الحكومة والزعامة السياسية. وانقسم الفقهاء في هذه المسألة إلى قسمين:</w:t>
      </w:r>
    </w:p>
    <w:p w:rsidR="00EA09EB" w:rsidRPr="00EA09EB" w:rsidRDefault="00EA09EB" w:rsidP="007A340E">
      <w:pPr>
        <w:ind w:firstLine="283"/>
        <w:rPr>
          <w:rtl/>
        </w:rPr>
      </w:pPr>
      <w:r w:rsidRPr="007A340E">
        <w:rPr>
          <w:rFonts w:hint="cs"/>
          <w:b/>
          <w:bCs/>
          <w:rtl/>
        </w:rPr>
        <w:t>القسم الأوّل</w:t>
      </w:r>
      <w:r w:rsidRPr="00EA09EB">
        <w:rPr>
          <w:rFonts w:hint="cs"/>
          <w:rtl/>
        </w:rPr>
        <w:t>: لم يوافق النراقيّ في الولاية العامّة للفقيه، وأنكروا الزعامة السياسية للفقهاء في عصر الغيبة؛ بدعوى أنّ الأدلة الفقهية قاصرة عن إثبات هذه الوظائف للفقيه. ومن هؤلاء الفقهاء، الشيخ الأنصاري في كتاب «المكاسب»</w:t>
      </w:r>
      <w:r w:rsidRPr="00064619">
        <w:rPr>
          <w:rFonts w:cs="Taher"/>
          <w:sz w:val="32"/>
          <w:vertAlign w:val="superscript"/>
          <w:rtl/>
          <w:lang w:bidi="ar-LB"/>
        </w:rPr>
        <w:t>(</w:t>
      </w:r>
      <w:r w:rsidRPr="00064619">
        <w:rPr>
          <w:rStyle w:val="FootnoteReference"/>
          <w:rFonts w:cs="Taher"/>
          <w:sz w:val="32"/>
          <w:rtl/>
          <w:lang w:bidi="ar-LB"/>
        </w:rPr>
        <w:footnoteReference w:id="231"/>
      </w:r>
      <w:r w:rsidRPr="00064619">
        <w:rPr>
          <w:rFonts w:cs="Taher"/>
          <w:sz w:val="32"/>
          <w:vertAlign w:val="superscript"/>
          <w:rtl/>
          <w:lang w:bidi="ar-LB"/>
        </w:rPr>
        <w:t>)</w:t>
      </w:r>
      <w:r w:rsidRPr="00EA09EB">
        <w:rPr>
          <w:rFonts w:hint="cs"/>
          <w:rtl/>
        </w:rPr>
        <w:t>، والآخوند الخراساني في «حاشية المكاسب»</w:t>
      </w:r>
      <w:r w:rsidRPr="00064619">
        <w:rPr>
          <w:rFonts w:cs="Taher"/>
          <w:sz w:val="32"/>
          <w:vertAlign w:val="superscript"/>
          <w:rtl/>
          <w:lang w:bidi="ar-LB"/>
        </w:rPr>
        <w:t>(</w:t>
      </w:r>
      <w:r w:rsidRPr="00064619">
        <w:rPr>
          <w:rStyle w:val="FootnoteReference"/>
          <w:rFonts w:cs="Taher"/>
          <w:sz w:val="32"/>
          <w:rtl/>
          <w:lang w:bidi="ar-LB"/>
        </w:rPr>
        <w:footnoteReference w:id="232"/>
      </w:r>
      <w:r w:rsidRPr="00064619">
        <w:rPr>
          <w:rFonts w:cs="Taher"/>
          <w:sz w:val="32"/>
          <w:vertAlign w:val="superscript"/>
          <w:rtl/>
          <w:lang w:bidi="ar-LB"/>
        </w:rPr>
        <w:t>)</w:t>
      </w:r>
      <w:r w:rsidRPr="00EA09EB">
        <w:rPr>
          <w:rFonts w:hint="cs"/>
          <w:rtl/>
        </w:rPr>
        <w:t>، والسيد محسن الحكيم</w:t>
      </w:r>
      <w:r w:rsidRPr="00064619">
        <w:rPr>
          <w:rFonts w:cs="Taher"/>
          <w:sz w:val="32"/>
          <w:vertAlign w:val="superscript"/>
          <w:rtl/>
          <w:lang w:bidi="ar-LB"/>
        </w:rPr>
        <w:t>(</w:t>
      </w:r>
      <w:r w:rsidRPr="00064619">
        <w:rPr>
          <w:rStyle w:val="FootnoteReference"/>
          <w:rFonts w:cs="Taher"/>
          <w:sz w:val="32"/>
          <w:rtl/>
          <w:lang w:bidi="ar-LB"/>
        </w:rPr>
        <w:footnoteReference w:id="233"/>
      </w:r>
      <w:r w:rsidRPr="00064619">
        <w:rPr>
          <w:rFonts w:cs="Taher"/>
          <w:sz w:val="32"/>
          <w:vertAlign w:val="superscript"/>
          <w:rtl/>
          <w:lang w:bidi="ar-LB"/>
        </w:rPr>
        <w:t>)</w:t>
      </w:r>
      <w:r w:rsidRPr="00EA09EB">
        <w:rPr>
          <w:rFonts w:hint="cs"/>
          <w:rtl/>
        </w:rPr>
        <w:t>، والسيد أحمد الخوانساري</w:t>
      </w:r>
      <w:r w:rsidRPr="00064619">
        <w:rPr>
          <w:rFonts w:cs="Taher"/>
          <w:sz w:val="32"/>
          <w:vertAlign w:val="superscript"/>
          <w:rtl/>
          <w:lang w:bidi="ar-LB"/>
        </w:rPr>
        <w:t>(</w:t>
      </w:r>
      <w:r w:rsidRPr="00064619">
        <w:rPr>
          <w:rStyle w:val="FootnoteReference"/>
          <w:rFonts w:cs="Taher"/>
          <w:sz w:val="32"/>
          <w:rtl/>
          <w:lang w:bidi="ar-LB"/>
        </w:rPr>
        <w:footnoteReference w:id="234"/>
      </w:r>
      <w:r w:rsidRPr="00064619">
        <w:rPr>
          <w:rFonts w:cs="Taher"/>
          <w:sz w:val="32"/>
          <w:vertAlign w:val="superscript"/>
          <w:rtl/>
          <w:lang w:bidi="ar-LB"/>
        </w:rPr>
        <w:t>)</w:t>
      </w:r>
      <w:r w:rsidRPr="00EA09EB">
        <w:rPr>
          <w:rFonts w:hint="cs"/>
          <w:rtl/>
        </w:rPr>
        <w:t>، والسيد أبو القاسم الخوئي</w:t>
      </w:r>
      <w:r w:rsidRPr="00064619">
        <w:rPr>
          <w:rFonts w:cs="Taher"/>
          <w:sz w:val="32"/>
          <w:vertAlign w:val="superscript"/>
          <w:rtl/>
          <w:lang w:bidi="ar-LB"/>
        </w:rPr>
        <w:t>(</w:t>
      </w:r>
      <w:r w:rsidRPr="00064619">
        <w:rPr>
          <w:rStyle w:val="FootnoteReference"/>
          <w:rFonts w:cs="Taher"/>
          <w:sz w:val="32"/>
          <w:rtl/>
          <w:lang w:bidi="ar-LB"/>
        </w:rPr>
        <w:footnoteReference w:id="235"/>
      </w:r>
      <w:r w:rsidRPr="00064619">
        <w:rPr>
          <w:rFonts w:cs="Taher"/>
          <w:sz w:val="32"/>
          <w:vertAlign w:val="superscript"/>
          <w:rtl/>
          <w:lang w:bidi="ar-LB"/>
        </w:rPr>
        <w:t>)</w:t>
      </w:r>
      <w:r w:rsidRPr="00EA09EB">
        <w:rPr>
          <w:rFonts w:hint="cs"/>
          <w:rtl/>
        </w:rPr>
        <w:t xml:space="preserve">. </w:t>
      </w:r>
    </w:p>
    <w:p w:rsidR="00EA09EB" w:rsidRPr="00A32FC0" w:rsidRDefault="00EA09EB" w:rsidP="00EA09EB">
      <w:pPr>
        <w:rPr>
          <w:rtl/>
          <w:lang w:bidi="ar-LB"/>
        </w:rPr>
      </w:pPr>
      <w:r w:rsidRPr="00AF328A">
        <w:rPr>
          <w:rFonts w:hint="cs"/>
          <w:b/>
          <w:bCs/>
          <w:rtl/>
          <w:lang w:bidi="ar-LB"/>
        </w:rPr>
        <w:t>القسم الثاني</w:t>
      </w:r>
      <w:r w:rsidRPr="00EA09EB">
        <w:rPr>
          <w:rFonts w:hint="cs"/>
          <w:rtl/>
        </w:rPr>
        <w:t>: الفقهاء الذين عملوا على تعميق وبسط وجهة نظر النراقي، القائلة بالزعامة السياسية للفقيه في عصر الغيبة، ومن أهم هؤلاء الفقهاء: الشيخ محمد حسن النجفي صاحب «الجواهر»</w:t>
      </w:r>
      <w:r w:rsidRPr="00064619">
        <w:rPr>
          <w:rFonts w:cs="Taher"/>
          <w:vertAlign w:val="superscript"/>
          <w:rtl/>
          <w:lang w:bidi="ar-LB"/>
        </w:rPr>
        <w:t>(</w:t>
      </w:r>
      <w:r w:rsidRPr="00064619">
        <w:rPr>
          <w:rStyle w:val="FootnoteReference"/>
          <w:rFonts w:cs="Taher"/>
          <w:sz w:val="32"/>
          <w:rtl/>
          <w:lang w:bidi="ar-LB"/>
        </w:rPr>
        <w:footnoteReference w:id="236"/>
      </w:r>
      <w:r w:rsidRPr="00064619">
        <w:rPr>
          <w:rFonts w:cs="Taher"/>
          <w:vertAlign w:val="superscript"/>
          <w:rtl/>
          <w:lang w:bidi="ar-LB"/>
        </w:rPr>
        <w:t>)</w:t>
      </w:r>
      <w:r w:rsidRPr="00EA09EB">
        <w:rPr>
          <w:rFonts w:hint="cs"/>
          <w:rtl/>
        </w:rPr>
        <w:t>، والسيد محمد حسين البروجردي</w:t>
      </w:r>
      <w:r w:rsidRPr="00064619">
        <w:rPr>
          <w:rFonts w:cs="Taher"/>
          <w:vertAlign w:val="superscript"/>
          <w:rtl/>
          <w:lang w:bidi="ar-LB"/>
        </w:rPr>
        <w:t>(</w:t>
      </w:r>
      <w:r w:rsidRPr="00064619">
        <w:rPr>
          <w:rStyle w:val="FootnoteReference"/>
          <w:rFonts w:cs="Taher"/>
          <w:sz w:val="32"/>
          <w:rtl/>
          <w:lang w:bidi="ar-LB"/>
        </w:rPr>
        <w:footnoteReference w:id="237"/>
      </w:r>
      <w:r w:rsidRPr="00064619">
        <w:rPr>
          <w:rFonts w:cs="Taher"/>
          <w:vertAlign w:val="superscript"/>
          <w:rtl/>
          <w:lang w:bidi="ar-LB"/>
        </w:rPr>
        <w:t>)</w:t>
      </w:r>
      <w:r w:rsidRPr="00EA09EB">
        <w:rPr>
          <w:rFonts w:hint="cs"/>
          <w:rtl/>
        </w:rPr>
        <w:t>، والسيد الگلپايگاني</w:t>
      </w:r>
      <w:r w:rsidRPr="00064619">
        <w:rPr>
          <w:rFonts w:cs="Taher"/>
          <w:vertAlign w:val="superscript"/>
          <w:rtl/>
          <w:lang w:bidi="ar-LB"/>
        </w:rPr>
        <w:t>(</w:t>
      </w:r>
      <w:r w:rsidRPr="00064619">
        <w:rPr>
          <w:rStyle w:val="FootnoteReference"/>
          <w:rFonts w:cs="Taher"/>
          <w:sz w:val="32"/>
          <w:rtl/>
          <w:lang w:bidi="ar-LB"/>
        </w:rPr>
        <w:footnoteReference w:id="238"/>
      </w:r>
      <w:r w:rsidRPr="00064619">
        <w:rPr>
          <w:rFonts w:cs="Taher"/>
          <w:vertAlign w:val="superscript"/>
          <w:rtl/>
          <w:lang w:bidi="ar-LB"/>
        </w:rPr>
        <w:t>)</w:t>
      </w:r>
      <w:r w:rsidRPr="00EA09EB">
        <w:rPr>
          <w:rFonts w:hint="cs"/>
          <w:rtl/>
        </w:rPr>
        <w:t xml:space="preserve"> والسيد الخميني</w:t>
      </w:r>
      <w:r w:rsidRPr="00064619">
        <w:rPr>
          <w:rFonts w:cs="Taher"/>
          <w:vertAlign w:val="superscript"/>
          <w:rtl/>
          <w:lang w:bidi="ar-LB"/>
        </w:rPr>
        <w:t>(</w:t>
      </w:r>
      <w:r w:rsidRPr="00064619">
        <w:rPr>
          <w:rStyle w:val="FootnoteReference"/>
          <w:rFonts w:cs="Taher"/>
          <w:sz w:val="32"/>
          <w:rtl/>
          <w:lang w:bidi="ar-LB"/>
        </w:rPr>
        <w:footnoteReference w:id="239"/>
      </w:r>
      <w:r w:rsidRPr="00064619">
        <w:rPr>
          <w:rFonts w:cs="Taher"/>
          <w:vertAlign w:val="superscript"/>
          <w:rtl/>
          <w:lang w:bidi="ar-LB"/>
        </w:rPr>
        <w:t>)</w:t>
      </w:r>
      <w:r w:rsidRPr="00A32FC0">
        <w:rPr>
          <w:rFonts w:hint="cs"/>
          <w:rtl/>
          <w:lang w:bidi="ar-LB"/>
        </w:rPr>
        <w:t>.</w:t>
      </w:r>
    </w:p>
    <w:p w:rsidR="00EA09EB" w:rsidRPr="00EA09EB" w:rsidRDefault="00EA09EB" w:rsidP="00EA09EB">
      <w:pPr>
        <w:rPr>
          <w:rtl/>
        </w:rPr>
      </w:pPr>
      <w:r w:rsidRPr="00A32FC0">
        <w:rPr>
          <w:rFonts w:hint="cs"/>
          <w:rtl/>
          <w:lang w:bidi="ar-LB"/>
        </w:rPr>
        <w:t>وبالنسبة ل</w:t>
      </w:r>
      <w:r>
        <w:rPr>
          <w:rFonts w:hint="cs"/>
          <w:rtl/>
          <w:lang w:bidi="ar-LB"/>
        </w:rPr>
        <w:t>لسيد</w:t>
      </w:r>
      <w:r w:rsidRPr="00A32FC0">
        <w:rPr>
          <w:rFonts w:hint="cs"/>
          <w:rtl/>
          <w:lang w:bidi="ar-LB"/>
        </w:rPr>
        <w:t xml:space="preserve"> الخميني فإنه، سواء من الناحية النظرية أم من الناحية العملية، كان من المبدعين في هذا المجال. فأمّا الناحية النظرية فقد ارتقى بالزعامة السياسية للفقهاء من القول بالولاية العامة للفقيه إلى القول بالولاية المطلقة للفقيه</w:t>
      </w:r>
      <w:r w:rsidRPr="00064619">
        <w:rPr>
          <w:rFonts w:cs="Taher"/>
          <w:vertAlign w:val="superscript"/>
          <w:rtl/>
          <w:lang w:bidi="ar-LB"/>
        </w:rPr>
        <w:t>(</w:t>
      </w:r>
      <w:r w:rsidRPr="00064619">
        <w:rPr>
          <w:rStyle w:val="FootnoteReference"/>
          <w:rFonts w:cs="Taher"/>
          <w:sz w:val="32"/>
          <w:rtl/>
          <w:lang w:bidi="ar-LB"/>
        </w:rPr>
        <w:footnoteReference w:id="240"/>
      </w:r>
      <w:r w:rsidRPr="00064619">
        <w:rPr>
          <w:rFonts w:cs="Taher"/>
          <w:vertAlign w:val="superscript"/>
          <w:rtl/>
          <w:lang w:bidi="ar-LB"/>
        </w:rPr>
        <w:t>)</w:t>
      </w:r>
      <w:r w:rsidRPr="00EA09EB">
        <w:rPr>
          <w:rFonts w:hint="cs"/>
          <w:rtl/>
        </w:rPr>
        <w:t>. وأمّا من الناحية العملية فكان أوّل فقيه قام بتشكيل حكومة، وانخرط عملياً في قيادتها السياسية، وإدارة الحكم فيها، والولاية على شؤونها. وسوف نتعرض بشكل تفصيليّ لهذا الموضوع لاحقاً.</w:t>
      </w:r>
    </w:p>
    <w:p w:rsidR="00EA09EB" w:rsidRPr="00A32FC0" w:rsidRDefault="00EA09EB" w:rsidP="00C03247">
      <w:pPr>
        <w:pStyle w:val="Normal93"/>
        <w:rPr>
          <w:rtl/>
        </w:rPr>
      </w:pPr>
      <w:r w:rsidRPr="00A32FC0">
        <w:rPr>
          <w:rFonts w:hint="cs"/>
          <w:rtl/>
        </w:rPr>
        <w:t>5</w:t>
      </w:r>
      <w:r w:rsidRPr="00A32FC0">
        <w:rPr>
          <w:rtl/>
        </w:rPr>
        <w:t>ـ</w:t>
      </w:r>
      <w:r w:rsidRPr="00A32FC0">
        <w:rPr>
          <w:rFonts w:hint="cs"/>
          <w:rtl/>
        </w:rPr>
        <w:t xml:space="preserve"> مع أن ولاية الفقيه في الفقه الشيعي قد تطوّرت وتوسَّعت بشكل تدريجيّ من جهة دائرة صلاحيات الفقيه وولايته، من الولاية في الأمور الحسبية إلى الولاية العامّة، ومن ثم إلى الولاية المطلقة، إلا أنّه لم يطرأ أيّ تغيير على معنى الولاية. فمن بدايات الفقه الشيعي كان معنى ولاية الفقيه هو أولويّة تصرُّف وتصدّي الفقيه وقيامه بشؤون الغير. فاتّساع دائرة الولاية واختلاف متعلِّقات الأولويّة والتصدّي لا يؤدّي إلى تغيير في معنى ولاية الفقيه. وولاية الفقيه في الأمور الحسبية تعني أولويّته في التصرُّف، وتدبير الأمور الحسبيّة، وولاية الفقيه في الأمور العامة تعني أيضاً أولويّة الفقيه في التصرُّف في الأمور العامة، التي تشمل الأولوية في الإدارة السياسية والزعامة الاجتماعية. وبعبارة أخرى: إن الولاية ليس لها سوى معنى واحد في الفقه، وهو الأولوية، والتصرُّف، والتصدي، والسلطة، والإمارة، والسيطرة على شؤون الغير. والأدلة على وحدة معنى ولاية الفقيه هي: </w:t>
      </w:r>
    </w:p>
    <w:p w:rsidR="00EA09EB" w:rsidRPr="00EA09EB" w:rsidRDefault="00EA09EB" w:rsidP="007A340E">
      <w:pPr>
        <w:ind w:firstLine="283"/>
        <w:rPr>
          <w:rtl/>
        </w:rPr>
      </w:pPr>
      <w:r w:rsidRPr="007A340E">
        <w:rPr>
          <w:rFonts w:hint="cs"/>
          <w:b/>
          <w:bCs/>
          <w:rtl/>
        </w:rPr>
        <w:t>الأول</w:t>
      </w:r>
      <w:r w:rsidRPr="00EA09EB">
        <w:rPr>
          <w:rFonts w:hint="cs"/>
          <w:rtl/>
        </w:rPr>
        <w:t>: لقد ذكر في جميع كتب اللغة هذا المعنى كأحد المعاني اللغويّة للولاية (المأخوذ من المعنى الأصلي: القرب)، ولم يتمّ تقسيمه إلى معنيين مختلفين.</w:t>
      </w:r>
    </w:p>
    <w:p w:rsidR="00EA09EB" w:rsidRPr="00EA09EB" w:rsidRDefault="00EA09EB" w:rsidP="007A340E">
      <w:pPr>
        <w:ind w:firstLine="283"/>
        <w:rPr>
          <w:rtl/>
        </w:rPr>
      </w:pPr>
      <w:r w:rsidRPr="007A340E">
        <w:rPr>
          <w:rFonts w:hint="cs"/>
          <w:b/>
          <w:bCs/>
          <w:rtl/>
        </w:rPr>
        <w:t>الثاني</w:t>
      </w:r>
      <w:r w:rsidRPr="00EA09EB">
        <w:rPr>
          <w:rFonts w:hint="cs"/>
          <w:rtl/>
        </w:rPr>
        <w:t>: أصالة عدم الولاية</w:t>
      </w:r>
      <w:r w:rsidRPr="00064619">
        <w:rPr>
          <w:rFonts w:cs="Taher"/>
          <w:sz w:val="32"/>
          <w:vertAlign w:val="superscript"/>
          <w:rtl/>
          <w:lang w:bidi="ar-LB"/>
        </w:rPr>
        <w:t>(</w:t>
      </w:r>
      <w:r w:rsidRPr="00064619">
        <w:rPr>
          <w:rStyle w:val="FootnoteReference"/>
          <w:rFonts w:cs="Taher"/>
          <w:sz w:val="32"/>
          <w:rtl/>
          <w:lang w:bidi="ar-LB"/>
        </w:rPr>
        <w:footnoteReference w:id="241"/>
      </w:r>
      <w:r w:rsidRPr="00064619">
        <w:rPr>
          <w:rFonts w:cs="Taher"/>
          <w:sz w:val="32"/>
          <w:vertAlign w:val="superscript"/>
          <w:rtl/>
          <w:lang w:bidi="ar-LB"/>
        </w:rPr>
        <w:t>)</w:t>
      </w:r>
      <w:r w:rsidRPr="00EA09EB">
        <w:rPr>
          <w:rFonts w:hint="cs"/>
          <w:rtl/>
        </w:rPr>
        <w:t>. وهذه الولاية تحتاج إلى دليل معتبر للخروج على هذا الأصل. وولاية الفقيه، سواء أكانت في الأمور الحسبية أم عامة أم مطلقة، تحتاج إلى دليل فقهيّ معتبر للخروج من تحت هذا الأصل. ووحدة أصل عدم الولاية هو دليل آخر على وحدة معنى الولاية بأقسامها الثلاثة.</w:t>
      </w:r>
    </w:p>
    <w:p w:rsidR="00EA09EB" w:rsidRPr="00EA09EB" w:rsidRDefault="00EA09EB" w:rsidP="007A340E">
      <w:pPr>
        <w:ind w:firstLine="283"/>
        <w:rPr>
          <w:rtl/>
        </w:rPr>
      </w:pPr>
      <w:r w:rsidRPr="007A340E">
        <w:rPr>
          <w:rFonts w:hint="cs"/>
          <w:b/>
          <w:bCs/>
          <w:rtl/>
        </w:rPr>
        <w:t>الثالث</w:t>
      </w:r>
      <w:r w:rsidRPr="00EA09EB">
        <w:rPr>
          <w:rFonts w:hint="cs"/>
          <w:rtl/>
        </w:rPr>
        <w:t>: كلّ مرتبة من مراتب ولاية الفقيه تشتمل على المرتبة الأولى منها، بمعنى أن الولاية العامّة للفقيه تشتمل على ولاية الفقيه في الأمور الحسبيّة، والولاية المطلقة للفقيه تشمل ولايته العامّة، والولاية في الأمور الحسبية. ولا يوجد دليل على أن ولاية الفقيه في كل مرتبة من مراتبها لها معنىً يختلف عنها في المراتب الأخرى.</w:t>
      </w:r>
    </w:p>
    <w:p w:rsidR="00EA09EB" w:rsidRPr="00EA09EB" w:rsidRDefault="00EA09EB" w:rsidP="007A340E">
      <w:pPr>
        <w:ind w:firstLine="283"/>
        <w:rPr>
          <w:rtl/>
        </w:rPr>
      </w:pPr>
      <w:r w:rsidRPr="007A340E">
        <w:rPr>
          <w:rFonts w:hint="cs"/>
          <w:b/>
          <w:bCs/>
          <w:rtl/>
        </w:rPr>
        <w:t>الرابع</w:t>
      </w:r>
      <w:r w:rsidRPr="00EA09EB">
        <w:rPr>
          <w:rFonts w:hint="cs"/>
          <w:rtl/>
        </w:rPr>
        <w:t>: ذكر الفقهاء مَقْسَماً واحداً في ولاية الفقيه على القاصرين والولاية الفقهية الأخرى في معرض حديثهم عن ولاية الفقيه على الناس، وتكلَّموا في تقسيم واحد على الولايات الفقهيّة المختلفة</w:t>
      </w:r>
      <w:r w:rsidRPr="00064619">
        <w:rPr>
          <w:rFonts w:cs="Taher"/>
          <w:sz w:val="32"/>
          <w:vertAlign w:val="superscript"/>
          <w:rtl/>
          <w:lang w:bidi="ar-LB"/>
        </w:rPr>
        <w:t>(</w:t>
      </w:r>
      <w:r w:rsidRPr="00064619">
        <w:rPr>
          <w:rStyle w:val="FootnoteReference"/>
          <w:rFonts w:cs="Taher"/>
          <w:sz w:val="32"/>
          <w:rtl/>
          <w:lang w:bidi="ar-LB"/>
        </w:rPr>
        <w:footnoteReference w:id="242"/>
      </w:r>
      <w:r w:rsidRPr="00064619">
        <w:rPr>
          <w:rFonts w:cs="Taher"/>
          <w:sz w:val="32"/>
          <w:vertAlign w:val="superscript"/>
          <w:rtl/>
          <w:lang w:bidi="ar-LB"/>
        </w:rPr>
        <w:t>)</w:t>
      </w:r>
      <w:r w:rsidRPr="00EA09EB">
        <w:rPr>
          <w:rFonts w:hint="cs"/>
          <w:rtl/>
        </w:rPr>
        <w:t>. فوحدة التقسيم ووحدة المَقْسَم دليلٌ آخر على إرادة معنىً واحد من الولاية في مواضع مختلفة من الفقه.</w:t>
      </w:r>
    </w:p>
    <w:p w:rsidR="00EA09EB" w:rsidRPr="00EA09EB" w:rsidRDefault="00EA09EB" w:rsidP="007A340E">
      <w:pPr>
        <w:ind w:firstLine="283"/>
        <w:rPr>
          <w:rtl/>
        </w:rPr>
      </w:pPr>
      <w:r w:rsidRPr="007A340E">
        <w:rPr>
          <w:rFonts w:hint="cs"/>
          <w:b/>
          <w:bCs/>
          <w:rtl/>
        </w:rPr>
        <w:t>الخامس</w:t>
      </w:r>
      <w:r w:rsidRPr="00EA09EB">
        <w:rPr>
          <w:rFonts w:hint="cs"/>
          <w:rtl/>
        </w:rPr>
        <w:t>: استدلّ في كثير من الموارد بدليل واحد على الولاية العامة للفقيه على الناس، وولاية الفقيه في الأمور الحسبية ـ ومن جملتها: الولاية على الغائب والقاصر ـ، من قبيل: «مجاري الأمور»، و«السلطان وليّ من لا وليّ له»</w:t>
      </w:r>
      <w:r w:rsidRPr="00064619">
        <w:rPr>
          <w:rFonts w:cs="Taher"/>
          <w:sz w:val="32"/>
          <w:vertAlign w:val="superscript"/>
          <w:rtl/>
        </w:rPr>
        <w:t>(</w:t>
      </w:r>
      <w:r w:rsidRPr="00064619">
        <w:rPr>
          <w:rStyle w:val="FootnoteReference"/>
          <w:rFonts w:cs="Taher"/>
          <w:sz w:val="32"/>
          <w:rtl/>
        </w:rPr>
        <w:footnoteReference w:id="243"/>
      </w:r>
      <w:r w:rsidRPr="00064619">
        <w:rPr>
          <w:rFonts w:cs="Taher"/>
          <w:sz w:val="32"/>
          <w:vertAlign w:val="superscript"/>
          <w:rtl/>
        </w:rPr>
        <w:t>)</w:t>
      </w:r>
      <w:r w:rsidRPr="00EA09EB">
        <w:rPr>
          <w:rFonts w:hint="cs"/>
          <w:rtl/>
        </w:rPr>
        <w:t>، فهل يمكن أن يوصلنا دليل واحد إلى معنيين مختلفين من ولاية الفقيه؟ فوحدة الدليل هي من أهمّ أدلّة وحدة المعنى في الاستعمالات المختلفة لولاية الفقيه.</w:t>
      </w:r>
    </w:p>
    <w:p w:rsidR="00EA09EB" w:rsidRPr="00EA09EB" w:rsidRDefault="00EA09EB" w:rsidP="007A340E">
      <w:pPr>
        <w:ind w:firstLine="283"/>
        <w:rPr>
          <w:rtl/>
        </w:rPr>
      </w:pPr>
      <w:r w:rsidRPr="007A340E">
        <w:rPr>
          <w:rFonts w:hint="cs"/>
          <w:b/>
          <w:bCs/>
          <w:rtl/>
        </w:rPr>
        <w:t>السادس</w:t>
      </w:r>
      <w:r w:rsidRPr="00EA09EB">
        <w:rPr>
          <w:rFonts w:hint="cs"/>
          <w:rtl/>
        </w:rPr>
        <w:t>: طُرحت ولاية الفقيه في الكتب الفقهية فقط، دون غيرها من كتب العرفان والكلام والتفسير والرواية. وقد طُرحت مسألة ولاية الفقيه ـ لأوّل مرّة ـ بشكل مستقلّ ومنسجم في الكتب الفقهية القديمة في زمن الشيخ الأنصاري في كتابه «المكاسب»، في ذيل بحث أولياء العقد، أي بعد ولاية الأب والجدّ للأب على الولد الصغير أو السفيه والمجنون</w:t>
      </w:r>
      <w:r w:rsidRPr="00064619">
        <w:rPr>
          <w:rFonts w:cs="Taher"/>
          <w:sz w:val="32"/>
          <w:vertAlign w:val="superscript"/>
          <w:rtl/>
          <w:lang w:bidi="ar-LB"/>
        </w:rPr>
        <w:t>(</w:t>
      </w:r>
      <w:r w:rsidRPr="00064619">
        <w:rPr>
          <w:rStyle w:val="FootnoteReference"/>
          <w:rFonts w:cs="Taher"/>
          <w:sz w:val="32"/>
          <w:rtl/>
          <w:lang w:bidi="ar-LB"/>
        </w:rPr>
        <w:footnoteReference w:id="244"/>
      </w:r>
      <w:r w:rsidRPr="00064619">
        <w:rPr>
          <w:rFonts w:cs="Taher"/>
          <w:sz w:val="32"/>
          <w:vertAlign w:val="superscript"/>
          <w:rtl/>
          <w:lang w:bidi="ar-LB"/>
        </w:rPr>
        <w:t>)</w:t>
      </w:r>
      <w:r w:rsidRPr="00EA09EB">
        <w:rPr>
          <w:rFonts w:hint="cs"/>
          <w:rtl/>
        </w:rPr>
        <w:t>. وقد عدّ فقهاء الشيعة، ومنهم: السيد الخميني، في هذا البحث الحكومة والزعامة السياسية من جملة مصاديق ولاية الفقيه</w:t>
      </w:r>
      <w:r w:rsidRPr="00064619">
        <w:rPr>
          <w:rFonts w:cs="Taher"/>
          <w:sz w:val="32"/>
          <w:vertAlign w:val="superscript"/>
          <w:rtl/>
          <w:lang w:bidi="ar-LB"/>
        </w:rPr>
        <w:t>(</w:t>
      </w:r>
      <w:r w:rsidRPr="00064619">
        <w:rPr>
          <w:rStyle w:val="FootnoteReference"/>
          <w:rFonts w:cs="Taher"/>
          <w:sz w:val="32"/>
          <w:rtl/>
          <w:lang w:bidi="ar-LB"/>
        </w:rPr>
        <w:footnoteReference w:id="245"/>
      </w:r>
      <w:r w:rsidRPr="00064619">
        <w:rPr>
          <w:rFonts w:cs="Taher"/>
          <w:sz w:val="32"/>
          <w:vertAlign w:val="superscript"/>
          <w:rtl/>
          <w:lang w:bidi="ar-LB"/>
        </w:rPr>
        <w:t>)</w:t>
      </w:r>
      <w:r w:rsidRPr="00EA09EB">
        <w:rPr>
          <w:rFonts w:hint="cs"/>
          <w:rtl/>
        </w:rPr>
        <w:t>. وفي كتب القواعد الفقهية، من قبيل: «عوائد النراقي»، و«عناوين المراغي»، و«خزائن الدربندي»، و«بلغة الفقيه»، لبحر العلوم، تم طرح بحث ولاية الفقيه على الناس إلى جانب بحث ولاية الفقيه على الغائب والقاصر</w:t>
      </w:r>
      <w:r w:rsidRPr="00064619">
        <w:rPr>
          <w:rFonts w:cs="Taher"/>
          <w:sz w:val="32"/>
          <w:vertAlign w:val="superscript"/>
          <w:rtl/>
          <w:lang w:bidi="ar-LB"/>
        </w:rPr>
        <w:t>(</w:t>
      </w:r>
      <w:r w:rsidRPr="00064619">
        <w:rPr>
          <w:rStyle w:val="FootnoteReference"/>
          <w:rFonts w:cs="Taher"/>
          <w:sz w:val="32"/>
          <w:rtl/>
          <w:lang w:bidi="ar-LB"/>
        </w:rPr>
        <w:footnoteReference w:id="246"/>
      </w:r>
      <w:r w:rsidRPr="00064619">
        <w:rPr>
          <w:rFonts w:cs="Taher"/>
          <w:sz w:val="32"/>
          <w:vertAlign w:val="superscript"/>
          <w:rtl/>
          <w:lang w:bidi="ar-LB"/>
        </w:rPr>
        <w:t>)</w:t>
      </w:r>
      <w:r w:rsidRPr="00EA09EB">
        <w:rPr>
          <w:rFonts w:hint="cs"/>
          <w:rtl/>
        </w:rPr>
        <w:t>. ولم يُشِرْ أيُّ فقيه من الفقهاء في الكتب الفقهية القديمة، أو في كتب القواعد الفقهية، إلى أدنى اختلاف في معنى الولاية في ولاية الفقيه على الناس، وولاية الفقيه على الغائب والقاصر.</w:t>
      </w:r>
    </w:p>
    <w:p w:rsidR="00EA09EB" w:rsidRPr="00A32FC0" w:rsidRDefault="00EA09EB" w:rsidP="00635BE2">
      <w:pPr>
        <w:pStyle w:val="Normal87"/>
        <w:rPr>
          <w:rtl/>
        </w:rPr>
      </w:pPr>
      <w:r w:rsidRPr="00A32FC0">
        <w:rPr>
          <w:rFonts w:hint="cs"/>
          <w:rtl/>
        </w:rPr>
        <w:t>والحال أنه لو كان هناك أيّ اختلاف بين هذين الموضعين لكان لازماً على الفقهاء الإشارة إلى هذا الاختلاف؛ لرفع التوهّم. وعدم إشارتهم لهذا الاختلاف دليلٌ على وحدة معنى الولاية في الموضعين.</w:t>
      </w:r>
    </w:p>
    <w:p w:rsidR="00EA09EB" w:rsidRPr="00EA09EB" w:rsidRDefault="00EA09EB" w:rsidP="00C03247">
      <w:pPr>
        <w:pStyle w:val="Normal84"/>
        <w:rPr>
          <w:rtl/>
        </w:rPr>
      </w:pPr>
      <w:r w:rsidRPr="007A340E">
        <w:rPr>
          <w:rFonts w:hint="cs"/>
          <w:b/>
          <w:bCs/>
          <w:rtl/>
        </w:rPr>
        <w:t>السابع</w:t>
      </w:r>
      <w:r w:rsidRPr="00EA09EB">
        <w:rPr>
          <w:rFonts w:hint="cs"/>
          <w:rtl/>
        </w:rPr>
        <w:t>: إن إضافة الولاية إلى الفقيه، دون العارف والمتكلِّم والسياسيّ، يدلّ على أن المراد من الولاية هو الولاية الفقهية، لا العرفانية، ولا الكلامية، ولا السياسية (أي من غير ملاحظة نوع خاصّ من الولاية، أي الولاية الشرعية). وإذا كان تعليق الحكم على الوصف مشعراً بعلّيّته فمن الواضح أن للفقيه، من حيث هو فقيه</w:t>
      </w:r>
      <w:r w:rsidRPr="00C03247">
        <w:rPr>
          <w:rFonts w:hint="cs"/>
          <w:sz w:val="26"/>
          <w:szCs w:val="28"/>
          <w:rtl/>
        </w:rPr>
        <w:t>، صلاحيّة التصدّي لمنصب الولاية على الناس، لا من حيثية أخرى.</w:t>
      </w:r>
    </w:p>
    <w:p w:rsidR="00EA09EB" w:rsidRPr="00A32FC0" w:rsidRDefault="00EA09EB" w:rsidP="00C03247">
      <w:pPr>
        <w:pStyle w:val="Normal84"/>
        <w:rPr>
          <w:rtl/>
        </w:rPr>
      </w:pPr>
      <w:r w:rsidRPr="00A32FC0">
        <w:rPr>
          <w:rFonts w:hint="cs"/>
          <w:rtl/>
        </w:rPr>
        <w:t>وما يتناسب مع الفقيه هو الولاية الفقهية، لا الولاية العرفانية، ولا الولاية الكلامية، ولا الولاية بمعنى الحاكميّة (بدون اعتبار القيود الخاصّة للولاية الشرعية)؛ فإنه لو كان المراد من ولاية الفقيه ولاية أخرى غير الولاية الفقهية فإن ذلك يؤدّي إلى توهُّم جدّي في الولاية الفقهية. ولدفع دخل التوهُّم المقدَّر كان من اللازم على الفقهاء التصريح بأنْ ليس المراد من هذا الاصطلاح الولاية الفقهية. وعدم إشارتهم إلى هذا الأمر يجعلنا نطمئن بأنّ المراد من الولاية في ولاية الفقيه على الناس هو الولاية الفقهية.</w:t>
      </w:r>
    </w:p>
    <w:p w:rsidR="00EA09EB" w:rsidRPr="00A32FC0" w:rsidRDefault="00EA09EB" w:rsidP="00C03247">
      <w:pPr>
        <w:pStyle w:val="Normal84"/>
        <w:rPr>
          <w:rtl/>
        </w:rPr>
      </w:pPr>
      <w:r w:rsidRPr="00A32FC0">
        <w:rPr>
          <w:rFonts w:hint="cs"/>
          <w:rtl/>
        </w:rPr>
        <w:t>6</w:t>
      </w:r>
      <w:r w:rsidRPr="00A32FC0">
        <w:rPr>
          <w:rtl/>
        </w:rPr>
        <w:t>ـ</w:t>
      </w:r>
      <w:r w:rsidRPr="00A32FC0">
        <w:rPr>
          <w:rFonts w:hint="cs"/>
          <w:rtl/>
        </w:rPr>
        <w:t xml:space="preserve"> بعيداً عن الولاية الفقهيّة للفقيه على الناس فإن مسألة ولاية الفقيه مسألة فقهية، لا كلامية؛ وذلك:</w:t>
      </w:r>
    </w:p>
    <w:p w:rsidR="00EA09EB" w:rsidRPr="00EA09EB" w:rsidRDefault="00EA09EB" w:rsidP="007A340E">
      <w:pPr>
        <w:ind w:firstLine="283"/>
        <w:rPr>
          <w:rtl/>
        </w:rPr>
      </w:pPr>
      <w:r w:rsidRPr="007A340E">
        <w:rPr>
          <w:rFonts w:hint="cs"/>
          <w:b/>
          <w:bCs/>
          <w:rtl/>
        </w:rPr>
        <w:t>أولاً</w:t>
      </w:r>
      <w:r w:rsidRPr="00EA09EB">
        <w:rPr>
          <w:rFonts w:hint="cs"/>
          <w:rtl/>
        </w:rPr>
        <w:t>: من وجهة نظر مطَّلعة خبيرة فإنه منذ البدايات وحتى استقرار ولاية الفقيه في إيران لم نجد متكلِّماً واحداً من المتكلِّمين يعتبر أن ولاية الفقيه على الناس هي فعل من أفعال الله، حتى يُعَدّ تعيين الفقيه من باب قاعدة اللطف الواجب على الله</w:t>
      </w:r>
      <w:r w:rsidRPr="00064619">
        <w:rPr>
          <w:rFonts w:cs="Taher"/>
          <w:sz w:val="32"/>
          <w:vertAlign w:val="superscript"/>
          <w:rtl/>
          <w:lang w:bidi="ar-LB"/>
        </w:rPr>
        <w:t>(</w:t>
      </w:r>
      <w:r w:rsidRPr="00064619">
        <w:rPr>
          <w:rStyle w:val="FootnoteReference"/>
          <w:rFonts w:cs="Taher"/>
          <w:sz w:val="32"/>
          <w:rtl/>
          <w:lang w:bidi="ar-LB"/>
        </w:rPr>
        <w:footnoteReference w:id="247"/>
      </w:r>
      <w:r w:rsidRPr="00064619">
        <w:rPr>
          <w:rFonts w:cs="Taher"/>
          <w:sz w:val="32"/>
          <w:vertAlign w:val="superscript"/>
          <w:rtl/>
          <w:lang w:bidi="ar-LB"/>
        </w:rPr>
        <w:t>)</w:t>
      </w:r>
      <w:r w:rsidRPr="00EA09EB">
        <w:rPr>
          <w:rFonts w:hint="cs"/>
          <w:rtl/>
        </w:rPr>
        <w:t>.</w:t>
      </w:r>
    </w:p>
    <w:p w:rsidR="00EA09EB" w:rsidRPr="00EA09EB" w:rsidRDefault="00EA09EB" w:rsidP="00C03247">
      <w:pPr>
        <w:pStyle w:val="Normal93"/>
        <w:rPr>
          <w:rtl/>
        </w:rPr>
      </w:pPr>
      <w:r w:rsidRPr="007A340E">
        <w:rPr>
          <w:rFonts w:hint="cs"/>
          <w:b/>
          <w:bCs/>
          <w:rtl/>
        </w:rPr>
        <w:t>ثانياً</w:t>
      </w:r>
      <w:r w:rsidRPr="00EA09EB">
        <w:rPr>
          <w:rFonts w:hint="cs"/>
          <w:rtl/>
        </w:rPr>
        <w:t>: بعد قيام الفقهاء بطرح بحث ولاية الفقيه في كتبهم الفقهية</w:t>
      </w:r>
      <w:r w:rsidR="0043005B">
        <w:rPr>
          <w:rFonts w:hint="cs"/>
          <w:rtl/>
        </w:rPr>
        <w:t>،</w:t>
      </w:r>
      <w:r w:rsidRPr="00EA09EB">
        <w:rPr>
          <w:rFonts w:hint="cs"/>
          <w:rtl/>
        </w:rPr>
        <w:t xml:space="preserve"> فإنهم منذ أواسط القرن الثالث عشر الهجريّ قد عَدّوا مسألة ولاية الفقيه على الناس من المسائل الفقهية</w:t>
      </w:r>
      <w:r w:rsidRPr="00064619">
        <w:rPr>
          <w:rFonts w:cs="Taher"/>
          <w:sz w:val="32"/>
          <w:vertAlign w:val="superscript"/>
          <w:rtl/>
        </w:rPr>
        <w:t>(</w:t>
      </w:r>
      <w:r w:rsidRPr="00064619">
        <w:rPr>
          <w:rStyle w:val="FootnoteReference"/>
          <w:rFonts w:cs="Taher"/>
          <w:sz w:val="32"/>
          <w:rtl/>
        </w:rPr>
        <w:footnoteReference w:id="248"/>
      </w:r>
      <w:r w:rsidRPr="00064619">
        <w:rPr>
          <w:rFonts w:cs="Taher"/>
          <w:sz w:val="32"/>
          <w:vertAlign w:val="superscript"/>
          <w:rtl/>
        </w:rPr>
        <w:t>)</w:t>
      </w:r>
      <w:r w:rsidRPr="00EA09EB">
        <w:rPr>
          <w:rFonts w:hint="cs"/>
          <w:rtl/>
        </w:rPr>
        <w:t xml:space="preserve">. </w:t>
      </w:r>
    </w:p>
    <w:p w:rsidR="00EA09EB" w:rsidRPr="00A32FC0" w:rsidRDefault="00EA09EB" w:rsidP="00C03247">
      <w:pPr>
        <w:pStyle w:val="Normal93"/>
        <w:rPr>
          <w:rtl/>
        </w:rPr>
      </w:pPr>
      <w:r w:rsidRPr="00A32FC0">
        <w:rPr>
          <w:rFonts w:hint="cs"/>
          <w:b/>
          <w:bCs/>
          <w:rtl/>
        </w:rPr>
        <w:t>ثالثاً</w:t>
      </w:r>
      <w:r w:rsidRPr="00EA09EB">
        <w:rPr>
          <w:rFonts w:hint="cs"/>
          <w:rtl/>
        </w:rPr>
        <w:t>: صرَّح الفقهاء بفقهيّة مسألة ولاية الفقيه على الناس وعدم كلاميتها: «وينبغي أن يعلم أن البحث في ولاية الفقيه بمعنى نفوذ تصرُّفه في مال الغير، أو في وجوب اتّباع حكمه، بحث فقهيّ.... وولاية النبيّ بالتصرُّف في أموال الناس، ووجوب طاعته فيما إذا كان أمره ونهيه بعنوان الولاية على الرعية، أيضاً حكم شرعيّ عمليّ. ولكن بما أن معرفة النبي</w:t>
      </w:r>
      <w:r w:rsidRPr="00EA09EB">
        <w:rPr>
          <w:rFonts w:hint="cs"/>
          <w:rtl/>
        </w:rPr>
        <w:sym w:font="Roumouz" w:char="F02D"/>
      </w:r>
      <w:r w:rsidRPr="00EA09EB">
        <w:rPr>
          <w:rFonts w:hint="cs"/>
          <w:rtl/>
        </w:rPr>
        <w:t xml:space="preserve"> والإمام</w:t>
      </w:r>
      <w:r>
        <w:rPr>
          <w:rFonts w:hint="cs"/>
          <w:rtl/>
        </w:rPr>
        <w:t>×</w:t>
      </w:r>
      <w:r w:rsidRPr="00EA09EB">
        <w:rPr>
          <w:rFonts w:hint="cs"/>
          <w:rtl/>
        </w:rPr>
        <w:t>، والاعتقاد بهما بما لهما من الشؤون، مطلوبٌ نفسيٌّ أيضاً...، ومقوِّم للإسلام والإيمان.... وهذا الوجوب النفسيّ للمعرفة والاعتقاد لا يجري في غير النبي</w:t>
      </w:r>
      <w:r w:rsidRPr="00EA09EB">
        <w:rPr>
          <w:rFonts w:hint="cs"/>
          <w:rtl/>
        </w:rPr>
        <w:sym w:font="Roumouz" w:char="F02D"/>
      </w:r>
      <w:r w:rsidRPr="00EA09EB">
        <w:rPr>
          <w:rFonts w:hint="cs"/>
          <w:rtl/>
        </w:rPr>
        <w:t xml:space="preserve"> والإمام المعصوم، كما لا يخفى»</w:t>
      </w:r>
      <w:r w:rsidRPr="00064619">
        <w:rPr>
          <w:rFonts w:cs="Taher"/>
          <w:vertAlign w:val="superscript"/>
          <w:rtl/>
        </w:rPr>
        <w:t>(</w:t>
      </w:r>
      <w:r w:rsidRPr="00064619">
        <w:rPr>
          <w:rStyle w:val="FootnoteReference"/>
          <w:rFonts w:cs="Taher"/>
          <w:sz w:val="32"/>
          <w:rtl/>
        </w:rPr>
        <w:footnoteReference w:id="249"/>
      </w:r>
      <w:r w:rsidRPr="00064619">
        <w:rPr>
          <w:rFonts w:cs="Taher"/>
          <w:vertAlign w:val="superscript"/>
          <w:rtl/>
        </w:rPr>
        <w:t>)</w:t>
      </w:r>
      <w:r w:rsidRPr="00A32FC0">
        <w:rPr>
          <w:rFonts w:hint="cs"/>
          <w:rtl/>
        </w:rPr>
        <w:t>.</w:t>
      </w:r>
    </w:p>
    <w:p w:rsidR="00EA09EB" w:rsidRPr="00EA09EB" w:rsidRDefault="00EA09EB" w:rsidP="0043005B">
      <w:pPr>
        <w:rPr>
          <w:rtl/>
        </w:rPr>
      </w:pPr>
      <w:r w:rsidRPr="00A32FC0">
        <w:rPr>
          <w:rFonts w:hint="cs"/>
          <w:rtl/>
          <w:lang w:bidi="ar-LB"/>
        </w:rPr>
        <w:t xml:space="preserve">سئل </w:t>
      </w:r>
      <w:r>
        <w:rPr>
          <w:rFonts w:hint="cs"/>
          <w:rtl/>
          <w:lang w:bidi="ar-LB"/>
        </w:rPr>
        <w:t>السيد</w:t>
      </w:r>
      <w:r w:rsidRPr="00A32FC0">
        <w:rPr>
          <w:rFonts w:hint="cs"/>
          <w:rtl/>
          <w:lang w:bidi="ar-LB"/>
        </w:rPr>
        <w:t xml:space="preserve"> الخمينيّ</w:t>
      </w:r>
      <w:r w:rsidR="0043005B">
        <w:rPr>
          <w:rFonts w:hint="cs"/>
          <w:rtl/>
          <w:lang w:bidi="ar-LB"/>
        </w:rPr>
        <w:t xml:space="preserve"> </w:t>
      </w:r>
      <w:r w:rsidRPr="00A32FC0">
        <w:rPr>
          <w:rFonts w:hint="cs"/>
          <w:rtl/>
          <w:lang w:bidi="ar-LB"/>
        </w:rPr>
        <w:t>في كتابه «كشف الأسرار»</w:t>
      </w:r>
      <w:r w:rsidRPr="00064619">
        <w:rPr>
          <w:rFonts w:cs="Taher"/>
          <w:vertAlign w:val="superscript"/>
          <w:rtl/>
          <w:lang w:bidi="ar-LB"/>
        </w:rPr>
        <w:t>(</w:t>
      </w:r>
      <w:r w:rsidRPr="00064619">
        <w:rPr>
          <w:rStyle w:val="FootnoteReference"/>
          <w:rFonts w:cs="Taher"/>
          <w:sz w:val="32"/>
          <w:rtl/>
          <w:lang w:bidi="ar-LB"/>
        </w:rPr>
        <w:footnoteReference w:id="250"/>
      </w:r>
      <w:r w:rsidRPr="00064619">
        <w:rPr>
          <w:rFonts w:cs="Taher"/>
          <w:vertAlign w:val="superscript"/>
          <w:rtl/>
          <w:lang w:bidi="ar-LB"/>
        </w:rPr>
        <w:t>)</w:t>
      </w:r>
      <w:r w:rsidRPr="00EA09EB">
        <w:rPr>
          <w:rFonts w:hint="cs"/>
          <w:rtl/>
        </w:rPr>
        <w:t>: هل ما يقولونه من أن المجتهد في زمان الغيبة نائب الإمام صحيحٌ أم لا؟ وإذا كان ذلك صحيحاً فما هي حدوده؟ وهل تشمل هذه الحدود الولاية والحكومة؟</w:t>
      </w:r>
      <w:r w:rsidRPr="00064619">
        <w:rPr>
          <w:rFonts w:cs="Taher"/>
          <w:vertAlign w:val="superscript"/>
          <w:rtl/>
          <w:lang w:bidi="ar-LB"/>
        </w:rPr>
        <w:t>(</w:t>
      </w:r>
      <w:r w:rsidRPr="00064619">
        <w:rPr>
          <w:rStyle w:val="FootnoteReference"/>
          <w:rFonts w:cs="Taher"/>
          <w:sz w:val="32"/>
          <w:rtl/>
          <w:lang w:bidi="ar-LB"/>
        </w:rPr>
        <w:footnoteReference w:id="251"/>
      </w:r>
      <w:r w:rsidRPr="00064619">
        <w:rPr>
          <w:rFonts w:cs="Taher"/>
          <w:vertAlign w:val="superscript"/>
          <w:rtl/>
          <w:lang w:bidi="ar-LB"/>
        </w:rPr>
        <w:t>)</w:t>
      </w:r>
      <w:r w:rsidRPr="00EA09EB">
        <w:rPr>
          <w:rFonts w:hint="cs"/>
          <w:rtl/>
        </w:rPr>
        <w:t>.</w:t>
      </w:r>
    </w:p>
    <w:p w:rsidR="00EA09EB" w:rsidRPr="00A32FC0" w:rsidRDefault="00EA09EB" w:rsidP="00C03247">
      <w:pPr>
        <w:pStyle w:val="Normal84"/>
        <w:rPr>
          <w:rtl/>
        </w:rPr>
      </w:pPr>
      <w:r w:rsidRPr="00A32FC0">
        <w:rPr>
          <w:rFonts w:hint="cs"/>
          <w:rtl/>
        </w:rPr>
        <w:t>فأجاب: «ولاية المجتهد، والتي هي مورد السؤال، كانت من البداية محلّ بحث المجتهدين، فإنّهم بحثوا في أصل ثبوت وعدم ثبوت الولاية للمجتهد. وكذلك بحثوا في حدود ولايته ودائرة حكومته. وهذا البحث هو أحد الفروع الفقهيّة التي استدلّ عليها الفريقين بأدلّة عمدتها أحاديث رُويت عن النبيّ</w:t>
      </w:r>
      <w:r w:rsidRPr="00A32FC0">
        <w:rPr>
          <w:rFonts w:hint="cs"/>
          <w:rtl/>
        </w:rPr>
        <w:sym w:font="Roumouz" w:char="F02D"/>
      </w:r>
      <w:r w:rsidRPr="00A32FC0">
        <w:rPr>
          <w:rFonts w:hint="cs"/>
          <w:rtl/>
        </w:rPr>
        <w:t xml:space="preserve"> والإمام</w:t>
      </w:r>
      <w:r>
        <w:rPr>
          <w:rFonts w:hint="cs"/>
          <w:rtl/>
        </w:rPr>
        <w:t>×</w:t>
      </w:r>
      <w:r w:rsidRPr="00A32FC0">
        <w:rPr>
          <w:rFonts w:hint="cs"/>
          <w:rtl/>
        </w:rPr>
        <w:t>.</w:t>
      </w:r>
    </w:p>
    <w:p w:rsidR="00EA09EB" w:rsidRPr="00A32FC0" w:rsidRDefault="00EA09EB" w:rsidP="00C03247">
      <w:pPr>
        <w:pStyle w:val="Normal87"/>
        <w:rPr>
          <w:rtl/>
        </w:rPr>
      </w:pPr>
      <w:r w:rsidRPr="00A32FC0">
        <w:rPr>
          <w:rFonts w:hint="cs"/>
          <w:rtl/>
        </w:rPr>
        <w:t>ومن هذه العبارة يمكن أن نستنتج النقاط التالية:</w:t>
      </w:r>
    </w:p>
    <w:p w:rsidR="00EA09EB" w:rsidRPr="00EA09EB" w:rsidRDefault="00EA09EB" w:rsidP="007A340E">
      <w:pPr>
        <w:ind w:firstLine="283"/>
        <w:rPr>
          <w:rtl/>
        </w:rPr>
      </w:pPr>
      <w:r w:rsidRPr="007A340E">
        <w:rPr>
          <w:rFonts w:hint="cs"/>
          <w:b/>
          <w:bCs/>
          <w:rtl/>
        </w:rPr>
        <w:t>الأولى</w:t>
      </w:r>
      <w:r w:rsidRPr="00EA09EB">
        <w:rPr>
          <w:rFonts w:hint="cs"/>
          <w:rtl/>
        </w:rPr>
        <w:t>: إنّ الحكومة هي من مصاديق ولاية الفقيه.</w:t>
      </w:r>
    </w:p>
    <w:p w:rsidR="00EA09EB" w:rsidRPr="00EA09EB" w:rsidRDefault="00EA09EB" w:rsidP="00C03247">
      <w:pPr>
        <w:pStyle w:val="Normal87"/>
        <w:rPr>
          <w:rtl/>
        </w:rPr>
      </w:pPr>
      <w:r w:rsidRPr="007A340E">
        <w:rPr>
          <w:rFonts w:hint="cs"/>
          <w:b/>
          <w:bCs/>
          <w:rtl/>
        </w:rPr>
        <w:t>الثانية</w:t>
      </w:r>
      <w:r w:rsidRPr="00EA09EB">
        <w:rPr>
          <w:rFonts w:hint="cs"/>
          <w:rtl/>
        </w:rPr>
        <w:t xml:space="preserve">: إنّ ولاية الفقيه ليست من ضروريّات فقه الشيعة؛ وذلك لأنه وقع الاختلاف فيها من جهتين: </w:t>
      </w:r>
      <w:r w:rsidRPr="007A340E">
        <w:rPr>
          <w:rFonts w:hint="cs"/>
          <w:b/>
          <w:bCs/>
          <w:rtl/>
        </w:rPr>
        <w:t>الأولى</w:t>
      </w:r>
      <w:r w:rsidRPr="00EA09EB">
        <w:rPr>
          <w:rFonts w:hint="cs"/>
          <w:rtl/>
        </w:rPr>
        <w:t xml:space="preserve">: في أصل ولاية الفقيه؛ </w:t>
      </w:r>
      <w:r w:rsidRPr="007A340E">
        <w:rPr>
          <w:rFonts w:hint="cs"/>
          <w:b/>
          <w:bCs/>
          <w:rtl/>
        </w:rPr>
        <w:t>والثانية</w:t>
      </w:r>
      <w:r w:rsidRPr="00EA09EB">
        <w:rPr>
          <w:rFonts w:hint="cs"/>
          <w:rtl/>
        </w:rPr>
        <w:t>: في دائرة صلاحيات الوليّ الفقيه.</w:t>
      </w:r>
    </w:p>
    <w:p w:rsidR="00EA09EB" w:rsidRPr="00EA09EB" w:rsidRDefault="00EA09EB" w:rsidP="007A340E">
      <w:pPr>
        <w:ind w:firstLine="283"/>
        <w:rPr>
          <w:rtl/>
        </w:rPr>
      </w:pPr>
      <w:r w:rsidRPr="007A340E">
        <w:rPr>
          <w:rFonts w:hint="cs"/>
          <w:b/>
          <w:bCs/>
          <w:rtl/>
        </w:rPr>
        <w:t>الثالثة</w:t>
      </w:r>
      <w:r w:rsidRPr="00EA09EB">
        <w:rPr>
          <w:rFonts w:hint="cs"/>
          <w:rtl/>
        </w:rPr>
        <w:t xml:space="preserve">: إنّ مسألة ولاية الفقيه فرعٌ من فروع الفقه، وليست أصلاً عقائدياً، أو مسألة كلامية. </w:t>
      </w:r>
    </w:p>
    <w:p w:rsidR="00EA09EB" w:rsidRPr="00A32FC0" w:rsidRDefault="00EA09EB" w:rsidP="00EA09EB">
      <w:pPr>
        <w:rPr>
          <w:rtl/>
          <w:lang w:bidi="ar-LB"/>
        </w:rPr>
      </w:pPr>
      <w:r w:rsidRPr="00A32FC0">
        <w:rPr>
          <w:rFonts w:hint="cs"/>
          <w:rtl/>
          <w:lang w:bidi="ar-LB"/>
        </w:rPr>
        <w:t>أمّا التمسُّك بقاعدة اللطف في بعض الأدلة العقليّة لولاية الفقيه على الناس فسوف نقوم ببحثه وتحليله في القسم الثاني من هذا الكتاب (المباني التصديقيّة للولاية).</w:t>
      </w:r>
    </w:p>
    <w:p w:rsidR="00EA09EB" w:rsidRPr="00A32FC0" w:rsidRDefault="00EA09EB" w:rsidP="00C03247">
      <w:pPr>
        <w:pStyle w:val="Normal93"/>
        <w:rPr>
          <w:rtl/>
        </w:rPr>
      </w:pPr>
      <w:r w:rsidRPr="00EA09EB">
        <w:rPr>
          <w:rFonts w:hint="cs"/>
          <w:rtl/>
        </w:rPr>
        <w:t>وأمّا الرأي الذي يَعُدّ مسألة جواز تصرُّف الفقيه، ووجوب إطاعته، وغير ذلك من الأحكام الفقهية في مسألة ولاية الفقيه، فرعاً من مسألة كلامية هي تعيين الفقيه من قِبَل الله سبحانه وتعالى</w:t>
      </w:r>
      <w:r w:rsidRPr="00064619">
        <w:rPr>
          <w:rFonts w:cs="Taher"/>
          <w:vertAlign w:val="superscript"/>
          <w:rtl/>
        </w:rPr>
        <w:t>(</w:t>
      </w:r>
      <w:r w:rsidRPr="00064619">
        <w:rPr>
          <w:rStyle w:val="FootnoteReference"/>
          <w:rFonts w:cs="Taher"/>
          <w:sz w:val="32"/>
          <w:rtl/>
        </w:rPr>
        <w:footnoteReference w:id="252"/>
      </w:r>
      <w:r w:rsidRPr="00064619">
        <w:rPr>
          <w:rFonts w:cs="Taher"/>
          <w:vertAlign w:val="superscript"/>
          <w:rtl/>
        </w:rPr>
        <w:t>)</w:t>
      </w:r>
      <w:r w:rsidRPr="00A32FC0">
        <w:rPr>
          <w:rFonts w:hint="cs"/>
          <w:rtl/>
        </w:rPr>
        <w:t>، فيردّه أنّ هذه النقطة لا تنحصر بمسألة ولاية الفقيه على الناس، فإن جميع المباحث الفقهية طالما لم تُجْعل من قِبَل الله سبحانه وتعالى فإنها علمياً غير ملزِمة شرعاً. ومن الواضح أن وضعَ جميع الأحكام الشرعية التي تكون على هذا المنوال واجبٌ على الله من باب قاعدة اللطف. وفي هذا السياق ألا يمكننا أن نحوّل جميع المسائل الفقهيّة إلى مسائل كلاميّة؟!</w:t>
      </w:r>
    </w:p>
    <w:p w:rsidR="00EA09EB" w:rsidRPr="00EA09EB" w:rsidRDefault="00EA09EB" w:rsidP="00C03247">
      <w:pPr>
        <w:pStyle w:val="Normal84"/>
        <w:rPr>
          <w:rtl/>
        </w:rPr>
      </w:pPr>
      <w:r w:rsidRPr="00C03247">
        <w:rPr>
          <w:rFonts w:hint="cs"/>
          <w:sz w:val="26"/>
          <w:szCs w:val="28"/>
          <w:rtl/>
        </w:rPr>
        <w:t>7</w:t>
      </w:r>
      <w:r w:rsidRPr="00C03247">
        <w:rPr>
          <w:sz w:val="26"/>
          <w:szCs w:val="28"/>
          <w:rtl/>
        </w:rPr>
        <w:t>ـ</w:t>
      </w:r>
      <w:r w:rsidRPr="00C03247">
        <w:rPr>
          <w:rFonts w:hint="cs"/>
          <w:sz w:val="26"/>
          <w:szCs w:val="28"/>
          <w:rtl/>
        </w:rPr>
        <w:t xml:space="preserve"> إنّ أركان المسألة الفقهية «الولاية الشرعيّة للفقيه </w:t>
      </w:r>
      <w:r w:rsidRPr="00A32FC0">
        <w:rPr>
          <w:rFonts w:hint="cs"/>
          <w:rtl/>
        </w:rPr>
        <w:t>على الناس»</w:t>
      </w:r>
      <w:r w:rsidRPr="00064619">
        <w:rPr>
          <w:rFonts w:cs="Taher"/>
          <w:vertAlign w:val="superscript"/>
          <w:rtl/>
        </w:rPr>
        <w:t>(</w:t>
      </w:r>
      <w:r w:rsidRPr="00064619">
        <w:rPr>
          <w:rStyle w:val="FootnoteReference"/>
          <w:rFonts w:cs="Taher"/>
          <w:sz w:val="32"/>
          <w:rtl/>
        </w:rPr>
        <w:footnoteReference w:id="253"/>
      </w:r>
      <w:r w:rsidRPr="00064619">
        <w:rPr>
          <w:rFonts w:cs="Taher"/>
          <w:vertAlign w:val="superscript"/>
          <w:rtl/>
        </w:rPr>
        <w:t>)</w:t>
      </w:r>
      <w:r w:rsidRPr="00EA09EB">
        <w:rPr>
          <w:rFonts w:hint="cs"/>
          <w:rtl/>
        </w:rPr>
        <w:t xml:space="preserve"> عبارة عن:</w:t>
      </w:r>
    </w:p>
    <w:p w:rsidR="00EA09EB" w:rsidRPr="00EA09EB" w:rsidRDefault="00EA09EB" w:rsidP="007A340E">
      <w:pPr>
        <w:ind w:firstLine="283"/>
        <w:rPr>
          <w:rtl/>
        </w:rPr>
      </w:pPr>
      <w:r w:rsidRPr="007A340E">
        <w:rPr>
          <w:rFonts w:hint="cs"/>
          <w:b/>
          <w:bCs/>
          <w:rtl/>
        </w:rPr>
        <w:t>الأول</w:t>
      </w:r>
      <w:r w:rsidRPr="00EA09EB">
        <w:rPr>
          <w:rFonts w:hint="cs"/>
          <w:rtl/>
        </w:rPr>
        <w:t>: إنّ الله هو جاعل الولاية. والولاية بمعنى الأولوية، التصرُّف، الملك، الإمارة والقيام بشؤون الغير، هي حكم وضعيّ، والحكم ـ الأعمّ من الوضعيّ والتكليفيّ ـ يحتاج إلى جاعلٍ.</w:t>
      </w:r>
    </w:p>
    <w:p w:rsidR="00EA09EB" w:rsidRPr="00EA09EB" w:rsidRDefault="00EA09EB" w:rsidP="007A340E">
      <w:pPr>
        <w:ind w:firstLine="283"/>
        <w:rPr>
          <w:rtl/>
        </w:rPr>
      </w:pPr>
      <w:r w:rsidRPr="007A340E">
        <w:rPr>
          <w:rFonts w:hint="cs"/>
          <w:b/>
          <w:bCs/>
          <w:rtl/>
        </w:rPr>
        <w:t>الثاني</w:t>
      </w:r>
      <w:r w:rsidRPr="00EA09EB">
        <w:rPr>
          <w:rFonts w:hint="cs"/>
          <w:rtl/>
        </w:rPr>
        <w:t>: إن الله قد عيّن جميع الفقهاء العدول بنحو العموم الاستغراقيّ أولياءً بالولاية الفعلية على الناس. ولا فرق بين الفقهاء العدول من جهة التعيين للولاية</w:t>
      </w:r>
      <w:r w:rsidRPr="00064619">
        <w:rPr>
          <w:rFonts w:cs="Taher"/>
          <w:sz w:val="32"/>
          <w:vertAlign w:val="superscript"/>
          <w:rtl/>
          <w:lang w:bidi="ar-LB"/>
        </w:rPr>
        <w:t>(</w:t>
      </w:r>
      <w:r w:rsidRPr="00064619">
        <w:rPr>
          <w:rStyle w:val="FootnoteReference"/>
          <w:rFonts w:cs="Taher"/>
          <w:sz w:val="32"/>
          <w:rtl/>
          <w:lang w:bidi="ar-LB"/>
        </w:rPr>
        <w:footnoteReference w:id="254"/>
      </w:r>
      <w:r w:rsidRPr="00064619">
        <w:rPr>
          <w:rFonts w:cs="Taher"/>
          <w:sz w:val="32"/>
          <w:vertAlign w:val="superscript"/>
          <w:rtl/>
          <w:lang w:bidi="ar-LB"/>
        </w:rPr>
        <w:t>)</w:t>
      </w:r>
      <w:r w:rsidRPr="00EA09EB">
        <w:rPr>
          <w:rFonts w:hint="cs"/>
          <w:rtl/>
        </w:rPr>
        <w:t>.</w:t>
      </w:r>
    </w:p>
    <w:p w:rsidR="00EA09EB" w:rsidRPr="00EA09EB" w:rsidRDefault="00EA09EB" w:rsidP="00C03247">
      <w:pPr>
        <w:pStyle w:val="Normal84"/>
        <w:rPr>
          <w:rtl/>
        </w:rPr>
      </w:pPr>
      <w:r w:rsidRPr="007A340E">
        <w:rPr>
          <w:rFonts w:hint="cs"/>
          <w:b/>
          <w:bCs/>
          <w:rtl/>
        </w:rPr>
        <w:t>الثالث</w:t>
      </w:r>
      <w:r w:rsidRPr="00EA09EB">
        <w:rPr>
          <w:rFonts w:hint="cs"/>
          <w:rtl/>
        </w:rPr>
        <w:t xml:space="preserve">: إنّ المولّى عليهم </w:t>
      </w:r>
      <w:r w:rsidRPr="00EA09EB">
        <w:rPr>
          <w:rtl/>
        </w:rPr>
        <w:t>ـ</w:t>
      </w:r>
      <w:r w:rsidRPr="00EA09EB">
        <w:rPr>
          <w:rFonts w:hint="cs"/>
          <w:rtl/>
        </w:rPr>
        <w:t xml:space="preserve"> أي جميع الناس الذين لم يُحرِزوا ملكة الاجتهاد (العوامّ) </w:t>
      </w:r>
      <w:r w:rsidRPr="00EA09EB">
        <w:rPr>
          <w:rtl/>
        </w:rPr>
        <w:t>ـ</w:t>
      </w:r>
      <w:r w:rsidRPr="00EA09EB">
        <w:rPr>
          <w:rFonts w:hint="cs"/>
          <w:rtl/>
        </w:rPr>
        <w:t xml:space="preserve"> هم تحت الولاية الشرعية للفقهاء العدول، ويُصطلح عليهم بـ (المولّى عليهم)</w:t>
      </w:r>
      <w:r w:rsidRPr="00064619">
        <w:rPr>
          <w:rFonts w:cs="Taher"/>
          <w:sz w:val="32"/>
          <w:vertAlign w:val="superscript"/>
          <w:rtl/>
        </w:rPr>
        <w:t>(</w:t>
      </w:r>
      <w:r w:rsidRPr="00064619">
        <w:rPr>
          <w:rStyle w:val="FootnoteReference"/>
          <w:rFonts w:cs="Taher"/>
          <w:sz w:val="32"/>
          <w:rtl/>
        </w:rPr>
        <w:footnoteReference w:id="255"/>
      </w:r>
      <w:r w:rsidRPr="00064619">
        <w:rPr>
          <w:rFonts w:cs="Taher"/>
          <w:sz w:val="32"/>
          <w:vertAlign w:val="superscript"/>
          <w:rtl/>
        </w:rPr>
        <w:t>)</w:t>
      </w:r>
      <w:r w:rsidRPr="00EA09EB">
        <w:rPr>
          <w:rFonts w:hint="cs"/>
          <w:rtl/>
        </w:rPr>
        <w:t>.</w:t>
      </w:r>
    </w:p>
    <w:p w:rsidR="00EA09EB" w:rsidRPr="00EA09EB" w:rsidRDefault="00EA09EB" w:rsidP="00C03247">
      <w:pPr>
        <w:pStyle w:val="Normal84"/>
        <w:rPr>
          <w:rtl/>
        </w:rPr>
      </w:pPr>
      <w:r w:rsidRPr="007A340E">
        <w:rPr>
          <w:rFonts w:hint="cs"/>
          <w:b/>
          <w:bCs/>
          <w:rtl/>
        </w:rPr>
        <w:t>الرابع</w:t>
      </w:r>
      <w:r w:rsidRPr="00EA09EB">
        <w:rPr>
          <w:rFonts w:hint="cs"/>
          <w:rtl/>
        </w:rPr>
        <w:t>: إنّ دائرة الولاية تشمل الشؤون العامّة (غير الشخصية، وغير الخاصّة)، وكل الأمور المتعلِّقة بإدارة المجتمع، وشؤونه السياسيّة، والقضايا المتعلِّقة بالحكم، وكل ما يرجع فيه الناس إلى حكّامهم</w:t>
      </w:r>
      <w:r w:rsidRPr="00064619">
        <w:rPr>
          <w:rFonts w:cs="Taher"/>
          <w:sz w:val="32"/>
          <w:vertAlign w:val="superscript"/>
          <w:rtl/>
        </w:rPr>
        <w:t>(</w:t>
      </w:r>
      <w:r w:rsidRPr="00064619">
        <w:rPr>
          <w:rStyle w:val="FootnoteReference"/>
          <w:rFonts w:cs="Taher"/>
          <w:sz w:val="32"/>
          <w:rtl/>
        </w:rPr>
        <w:footnoteReference w:id="256"/>
      </w:r>
      <w:r w:rsidRPr="00064619">
        <w:rPr>
          <w:rFonts w:cs="Taher"/>
          <w:sz w:val="32"/>
          <w:vertAlign w:val="superscript"/>
          <w:rtl/>
        </w:rPr>
        <w:t>)</w:t>
      </w:r>
      <w:r w:rsidRPr="00EA09EB">
        <w:rPr>
          <w:rFonts w:hint="cs"/>
          <w:rtl/>
        </w:rPr>
        <w:t>. وهذه الدائرة تعادل دائرة الأمور العامّة في علم الحقوق. وبعبارة أخرى: إن جميع شؤون الناس، باستثناء دائرة حياتهم الخاصّة، هي تحت الولاية الشرعية للفقهاء.</w:t>
      </w:r>
    </w:p>
    <w:p w:rsidR="00EA09EB" w:rsidRPr="00A32FC0" w:rsidRDefault="00EA09EB" w:rsidP="00C03247">
      <w:pPr>
        <w:pStyle w:val="Normal84"/>
        <w:rPr>
          <w:rtl/>
        </w:rPr>
      </w:pPr>
      <w:r w:rsidRPr="00A32FC0">
        <w:rPr>
          <w:rFonts w:hint="cs"/>
          <w:rtl/>
        </w:rPr>
        <w:t>8</w:t>
      </w:r>
      <w:r w:rsidRPr="00A32FC0">
        <w:rPr>
          <w:rtl/>
        </w:rPr>
        <w:t>ـ</w:t>
      </w:r>
      <w:r w:rsidRPr="00A32FC0">
        <w:rPr>
          <w:rFonts w:hint="cs"/>
          <w:rtl/>
        </w:rPr>
        <w:t xml:space="preserve"> من لوازم الولاية الشرعية للفقهاء على الناس ما يلي:</w:t>
      </w:r>
    </w:p>
    <w:p w:rsidR="00EA09EB" w:rsidRPr="00EA09EB" w:rsidRDefault="00EA09EB" w:rsidP="00C03247">
      <w:pPr>
        <w:pStyle w:val="Normal84"/>
        <w:rPr>
          <w:rtl/>
        </w:rPr>
      </w:pPr>
      <w:r w:rsidRPr="007A340E">
        <w:rPr>
          <w:rFonts w:hint="cs"/>
          <w:b/>
          <w:bCs/>
          <w:rtl/>
        </w:rPr>
        <w:t>أولاً</w:t>
      </w:r>
      <w:r w:rsidRPr="00EA09EB">
        <w:rPr>
          <w:rFonts w:hint="cs"/>
          <w:rtl/>
        </w:rPr>
        <w:t>: إن مبدأ عدم التساوي هو الحاكم في دائرة الولاية، أي في الأمور العامة للمجتمع، والمسائل المرتبطة بالسياسة. فإنّ الناس (العوامّ) والفقهاء العدول لا يتساوون في الأمور التي تتعلَّق بالإدارة السياسية، وبتدبير شؤون المجتمع، طبقاً للأحكام الشرعيّة.</w:t>
      </w:r>
    </w:p>
    <w:p w:rsidR="00EA09EB" w:rsidRPr="00EA09EB" w:rsidRDefault="00EA09EB" w:rsidP="00C03247">
      <w:pPr>
        <w:pStyle w:val="Normal84"/>
        <w:rPr>
          <w:rtl/>
        </w:rPr>
      </w:pPr>
      <w:r w:rsidRPr="007A340E">
        <w:rPr>
          <w:rFonts w:hint="cs"/>
          <w:b/>
          <w:bCs/>
          <w:rtl/>
        </w:rPr>
        <w:t>ثانياً</w:t>
      </w:r>
      <w:r w:rsidRPr="00EA09EB">
        <w:rPr>
          <w:rFonts w:hint="cs"/>
          <w:rtl/>
        </w:rPr>
        <w:t xml:space="preserve">: إنّ الفقهاء العدول (الأولياء الشرعيين على الناس) يتمتَّعون بامتيازات وقدرات وصلاحيات شرعيّة في إدارة الشؤون السياسيّة والاجتماعية في المجتمع الإسلامي. وما أَهَّلَهم لذلك هو تخصُّصُهم، وسعة اطّلاعهم على أبعاد الشريعة، وحيازتهم ملكة الاجتهاد والفقاهة، ما جعلهم قادرين على التصدّي لشؤون الناس، علاوة على تصدّيهم لشؤونهم الخاصّة. </w:t>
      </w:r>
    </w:p>
    <w:p w:rsidR="00EA09EB" w:rsidRPr="00EA09EB" w:rsidRDefault="00EA09EB" w:rsidP="00C03247">
      <w:pPr>
        <w:pStyle w:val="Normal84"/>
        <w:rPr>
          <w:rtl/>
        </w:rPr>
      </w:pPr>
      <w:r w:rsidRPr="007A340E">
        <w:rPr>
          <w:rFonts w:hint="cs"/>
          <w:b/>
          <w:bCs/>
          <w:rtl/>
        </w:rPr>
        <w:t>ثالثاً</w:t>
      </w:r>
      <w:r w:rsidRPr="00EA09EB">
        <w:rPr>
          <w:rFonts w:hint="cs"/>
          <w:rtl/>
        </w:rPr>
        <w:t>: إنّ الناس؛ باعتبار أنهم مولّى عليهم، يعتبرون فاقدين لأهلية الإدارة، وبحاجة إلى قيّم شرعي يتولّى جميع شؤونهم السياسية العامّة، وما يتعلَّق بإدارة المجتمع، وخاصّة الأمور الحسّاسة منها. والناس وإنْ كانوا مكلَّفين وراشدين في ما يتعلق بشؤونهم الخاصّة وأمورهم الشخصية، إلاّ أنهم في ما يتعلَّق بالأمور العامة محجورٌ عليهم، وإنّ أيَّ تصرّف منهم له علاقة بشؤون العامّة يحتاج إلى إجازة مسبقة، أو إمضاءٍ لاحِق من الوليّ الفقيه.</w:t>
      </w:r>
    </w:p>
    <w:p w:rsidR="00EA09EB" w:rsidRPr="00A32FC0" w:rsidRDefault="00EA09EB" w:rsidP="00C03247">
      <w:pPr>
        <w:pStyle w:val="Normal84"/>
        <w:rPr>
          <w:rtl/>
        </w:rPr>
      </w:pPr>
      <w:r w:rsidRPr="00A32FC0">
        <w:rPr>
          <w:rFonts w:hint="cs"/>
          <w:rtl/>
        </w:rPr>
        <w:t>9</w:t>
      </w:r>
      <w:r w:rsidRPr="00A32FC0">
        <w:rPr>
          <w:rtl/>
        </w:rPr>
        <w:t>ـ</w:t>
      </w:r>
      <w:r w:rsidRPr="00A32FC0">
        <w:rPr>
          <w:rFonts w:hint="cs"/>
          <w:rtl/>
        </w:rPr>
        <w:t xml:space="preserve"> ما هي فلسفة تشريع الولاية الشرعية للفقيه على الناس؟</w:t>
      </w:r>
    </w:p>
    <w:p w:rsidR="00EA09EB" w:rsidRPr="00A32FC0" w:rsidRDefault="00EA09EB" w:rsidP="00C03247">
      <w:pPr>
        <w:pStyle w:val="Normal87"/>
        <w:rPr>
          <w:rtl/>
        </w:rPr>
      </w:pPr>
      <w:r w:rsidRPr="00A32FC0">
        <w:rPr>
          <w:rFonts w:hint="cs"/>
          <w:rtl/>
        </w:rPr>
        <w:t xml:space="preserve">إن الحكمة من جعل الولاية في جميع هذه الموارد هي جبران نقص المولّى عليهم. فبما أن الناس قد يتعرَّضون للانحراف إذا لم يكن هناك فقيه عادل يرشدهم ويدبّر شؤونهم العامة، وربما اتَّخذوا بعض القرارات التي تعارض مصالحهم، وتلقي بهم إلى التهلكة، اقتضت الحكمة واللطف </w:t>
      </w:r>
      <w:r w:rsidR="0043005B">
        <w:rPr>
          <w:rFonts w:hint="cs"/>
          <w:rtl/>
        </w:rPr>
        <w:t>الإلهيان</w:t>
      </w:r>
      <w:r w:rsidRPr="00A32FC0">
        <w:rPr>
          <w:rFonts w:hint="cs"/>
          <w:rtl/>
        </w:rPr>
        <w:t xml:space="preserve"> أن ينضوي الناس تحت قيادة وولاية الفقهاء العدول؛ جَبْراً لضعفهم وعدم قدرتهم. ومن الواضح أنْ ليس المراد من محجوريّة العوامّ في أمورهم العامّة عدم أهليتهم في جميع الشؤون، فقد صرّح الفقهاء أن الناس في إطار شؤونهم الخاصة وحياتهم الشخصية يتمتَّعون بالرشد والاستقلاليّة في قراراتهم. فهذه الولاية والقيمومة مقتصرة على دائرة شؤونهم العامة. ومن المناسب هنا أن نورد ما صرّح به بعض الفقهاء في هذا المجال:</w:t>
      </w:r>
    </w:p>
    <w:p w:rsidR="00EA09EB" w:rsidRPr="00A32FC0" w:rsidRDefault="00EA09EB" w:rsidP="00C03247">
      <w:pPr>
        <w:pStyle w:val="Normal87"/>
        <w:rPr>
          <w:rtl/>
        </w:rPr>
      </w:pPr>
      <w:r w:rsidRPr="00EA09EB">
        <w:rPr>
          <w:rFonts w:hint="cs"/>
          <w:rtl/>
        </w:rPr>
        <w:t>في مقام بيان الأولياء الشرعيّين عَدّ المحقق النراقي «الفقهاء العدول» أولياء على الدوام</w:t>
      </w:r>
      <w:r w:rsidRPr="00064619">
        <w:rPr>
          <w:rFonts w:cs="Taher"/>
          <w:vertAlign w:val="superscript"/>
          <w:rtl/>
        </w:rPr>
        <w:t>(</w:t>
      </w:r>
      <w:r w:rsidRPr="00064619">
        <w:rPr>
          <w:rStyle w:val="FootnoteReference"/>
          <w:rFonts w:cs="Taher"/>
          <w:sz w:val="32"/>
          <w:rtl/>
        </w:rPr>
        <w:footnoteReference w:id="257"/>
      </w:r>
      <w:r w:rsidRPr="00064619">
        <w:rPr>
          <w:rFonts w:cs="Taher"/>
          <w:vertAlign w:val="superscript"/>
          <w:rtl/>
        </w:rPr>
        <w:t>)</w:t>
      </w:r>
      <w:r w:rsidRPr="00A32FC0">
        <w:rPr>
          <w:rFonts w:hint="cs"/>
          <w:rtl/>
        </w:rPr>
        <w:t>.</w:t>
      </w:r>
    </w:p>
    <w:p w:rsidR="00EA09EB" w:rsidRPr="00A32FC0" w:rsidRDefault="00EA09EB" w:rsidP="00EA09EB">
      <w:pPr>
        <w:rPr>
          <w:rtl/>
          <w:lang w:bidi="ar-LB"/>
        </w:rPr>
      </w:pPr>
      <w:r w:rsidRPr="00A32FC0">
        <w:rPr>
          <w:rFonts w:hint="cs"/>
          <w:rtl/>
          <w:lang w:bidi="ar-LB"/>
        </w:rPr>
        <w:t xml:space="preserve">وفي مقام توضيح الفرق بين الحقّ والولاية ذكر السيد محمد آل بحر العلوم في كتابه «بلغة الفقيه»، في رسالة الولايات: </w:t>
      </w:r>
      <w:r w:rsidRPr="00A32FC0">
        <w:rPr>
          <w:rFonts w:hint="cs"/>
          <w:rtl/>
        </w:rPr>
        <w:t>«</w:t>
      </w:r>
      <w:r w:rsidRPr="00A32FC0">
        <w:rPr>
          <w:rFonts w:hint="cs"/>
          <w:rtl/>
          <w:lang w:bidi="ar-LB"/>
        </w:rPr>
        <w:t xml:space="preserve">فأثرها [الولاية] في الأوّل </w:t>
      </w:r>
      <w:r w:rsidRPr="00A32FC0">
        <w:rPr>
          <w:rtl/>
          <w:lang w:bidi="ar-LB"/>
        </w:rPr>
        <w:t>ـ</w:t>
      </w:r>
      <w:r w:rsidRPr="00A32FC0">
        <w:rPr>
          <w:rFonts w:hint="cs"/>
          <w:rtl/>
          <w:lang w:bidi="ar-LB"/>
        </w:rPr>
        <w:t xml:space="preserve"> وهو التصرُّف من صاحبها </w:t>
      </w:r>
      <w:r w:rsidRPr="00A32FC0">
        <w:rPr>
          <w:rtl/>
          <w:lang w:bidi="ar-LB"/>
        </w:rPr>
        <w:t>ـ</w:t>
      </w:r>
      <w:r w:rsidRPr="00A32FC0">
        <w:rPr>
          <w:rFonts w:hint="cs"/>
          <w:rtl/>
          <w:lang w:bidi="ar-LB"/>
        </w:rPr>
        <w:t xml:space="preserve"> إنما هو غالباً لاستيفاء ما هو له ولمصلحته [المكلَّف]، والثاني إنما هو لنقص في المولّى عليه، ورجوع مصلحته إليه؛ إتقاناً للنظام</w:t>
      </w:r>
      <w:r w:rsidRPr="00A32FC0">
        <w:rPr>
          <w:rFonts w:hint="cs"/>
          <w:rtl/>
        </w:rPr>
        <w:t>»</w:t>
      </w:r>
      <w:r w:rsidRPr="00064619">
        <w:rPr>
          <w:rFonts w:cs="Taher"/>
          <w:vertAlign w:val="superscript"/>
          <w:rtl/>
        </w:rPr>
        <w:t>(</w:t>
      </w:r>
      <w:r w:rsidRPr="00064619">
        <w:rPr>
          <w:rStyle w:val="FootnoteReference"/>
          <w:rFonts w:cs="Taher"/>
          <w:sz w:val="32"/>
          <w:rtl/>
        </w:rPr>
        <w:footnoteReference w:id="258"/>
      </w:r>
      <w:r w:rsidRPr="00064619">
        <w:rPr>
          <w:rFonts w:cs="Taher"/>
          <w:vertAlign w:val="superscript"/>
          <w:rtl/>
        </w:rPr>
        <w:t>)</w:t>
      </w:r>
      <w:r w:rsidRPr="00A32FC0">
        <w:rPr>
          <w:rFonts w:hint="cs"/>
          <w:rtl/>
          <w:lang w:bidi="ar-LB"/>
        </w:rPr>
        <w:t xml:space="preserve">. </w:t>
      </w:r>
    </w:p>
    <w:p w:rsidR="00EA09EB" w:rsidRDefault="00EA09EB" w:rsidP="00C03247">
      <w:pPr>
        <w:pStyle w:val="Normal87"/>
        <w:rPr>
          <w:rtl/>
        </w:rPr>
      </w:pPr>
      <w:r w:rsidRPr="00A32FC0">
        <w:rPr>
          <w:rFonts w:hint="cs"/>
          <w:rtl/>
        </w:rPr>
        <w:t>وفي كتابه «ولاية الفقيه» (دروس الخارج في الفقه في حوزة النجف الأشرف في سنة 1348</w:t>
      </w:r>
      <w:r w:rsidR="00C03247">
        <w:rPr>
          <w:rFonts w:hint="cs"/>
          <w:rtl/>
        </w:rPr>
        <w:t>هـ.ش / 1969</w:t>
      </w:r>
      <w:r>
        <w:rPr>
          <w:rFonts w:hint="cs"/>
          <w:rtl/>
        </w:rPr>
        <w:t>م</w:t>
      </w:r>
      <w:r w:rsidRPr="00A32FC0">
        <w:rPr>
          <w:rFonts w:hint="cs"/>
          <w:rtl/>
        </w:rPr>
        <w:t>) يقول</w:t>
      </w:r>
      <w:r>
        <w:rPr>
          <w:rFonts w:hint="cs"/>
          <w:rtl/>
        </w:rPr>
        <w:t xml:space="preserve"> السيد</w:t>
      </w:r>
      <w:r w:rsidRPr="00A32FC0">
        <w:rPr>
          <w:rFonts w:hint="cs"/>
          <w:rtl/>
        </w:rPr>
        <w:t xml:space="preserve"> الخميني: «ولاية الفقيه من الأمور الاعتبارية العقلائية، وليس لها واقع سوى الجعل، وذلك كجعل القيِّم للصغار. فالقيّم على الأمّة لا يختلف عن القيّم على الصغار من ناحية الوظيفة والدور»</w:t>
      </w:r>
      <w:r w:rsidRPr="00064619">
        <w:rPr>
          <w:rFonts w:cs="Taher"/>
          <w:vertAlign w:val="superscript"/>
          <w:rtl/>
        </w:rPr>
        <w:t>(</w:t>
      </w:r>
      <w:r w:rsidRPr="00064619">
        <w:rPr>
          <w:rStyle w:val="FootnoteReference"/>
          <w:rFonts w:cs="Taher"/>
          <w:sz w:val="32"/>
          <w:rtl/>
        </w:rPr>
        <w:footnoteReference w:id="259"/>
      </w:r>
      <w:r w:rsidRPr="00064619">
        <w:rPr>
          <w:rFonts w:cs="Taher"/>
          <w:vertAlign w:val="superscript"/>
          <w:rtl/>
        </w:rPr>
        <w:t>)</w:t>
      </w:r>
      <w:r>
        <w:rPr>
          <w:rFonts w:hint="cs"/>
          <w:rtl/>
        </w:rPr>
        <w:t>.</w:t>
      </w:r>
    </w:p>
    <w:p w:rsidR="00EA09EB" w:rsidRPr="002925AC" w:rsidRDefault="00EA09EB" w:rsidP="00EA09EB">
      <w:pPr>
        <w:rPr>
          <w:rtl/>
          <w:lang w:bidi="ar-LB"/>
        </w:rPr>
      </w:pPr>
      <w:r w:rsidRPr="002925AC">
        <w:rPr>
          <w:rFonts w:hint="cs"/>
          <w:rtl/>
          <w:lang w:bidi="ar-LB"/>
        </w:rPr>
        <w:t xml:space="preserve">وفي أواخر كتاب </w:t>
      </w:r>
      <w:r w:rsidRPr="002925AC">
        <w:rPr>
          <w:rFonts w:hint="cs"/>
          <w:rtl/>
        </w:rPr>
        <w:t>«</w:t>
      </w:r>
      <w:r w:rsidRPr="002925AC">
        <w:rPr>
          <w:rFonts w:hint="cs"/>
          <w:rtl/>
          <w:lang w:bidi="ar-LB"/>
        </w:rPr>
        <w:t>حول الجمهورية الإسلامية</w:t>
      </w:r>
      <w:r w:rsidRPr="002925AC">
        <w:rPr>
          <w:rFonts w:hint="cs"/>
          <w:rtl/>
        </w:rPr>
        <w:t>»،</w:t>
      </w:r>
      <w:r w:rsidRPr="002925AC">
        <w:rPr>
          <w:rFonts w:hint="cs"/>
          <w:rtl/>
          <w:lang w:bidi="ar-LB"/>
        </w:rPr>
        <w:t xml:space="preserve"> وفي معرض تعداده لحقوق الحاكمية، عَدّ الشيخ مرتضى مطهري الحقّ الإلهيّ النوع الثاني من أنواع هذا الحقّ، وكتب قائلاً: </w:t>
      </w:r>
      <w:r w:rsidRPr="002925AC">
        <w:rPr>
          <w:rFonts w:hint="cs"/>
          <w:rtl/>
        </w:rPr>
        <w:t>«</w:t>
      </w:r>
      <w:r w:rsidRPr="002925AC">
        <w:rPr>
          <w:rFonts w:hint="cs"/>
          <w:rtl/>
          <w:lang w:bidi="ar-LB"/>
        </w:rPr>
        <w:t>إنّ ماهيّة الحكومة في هذه الصورة هي قهراً الولاية على الناس، لا النيابة والوكالة عن الناس، وقد طُرحت في الفقه بعنوان (ولاية الحاكم)، وهي من نوع الولاية على القُصَّر والغُيّاب</w:t>
      </w:r>
      <w:r w:rsidRPr="002925AC">
        <w:rPr>
          <w:rFonts w:hint="cs"/>
          <w:rtl/>
        </w:rPr>
        <w:t>»</w:t>
      </w:r>
      <w:r w:rsidRPr="00064619">
        <w:rPr>
          <w:rFonts w:cs="Taher"/>
          <w:vertAlign w:val="superscript"/>
          <w:rtl/>
          <w:lang w:bidi="ar-LB"/>
        </w:rPr>
        <w:t>(</w:t>
      </w:r>
      <w:r w:rsidRPr="00064619">
        <w:rPr>
          <w:rStyle w:val="FootnoteReference"/>
          <w:rFonts w:cs="Taher"/>
          <w:sz w:val="32"/>
          <w:rtl/>
          <w:lang w:bidi="ar-LB"/>
        </w:rPr>
        <w:footnoteReference w:id="260"/>
      </w:r>
      <w:r w:rsidRPr="00064619">
        <w:rPr>
          <w:rFonts w:cs="Taher"/>
          <w:vertAlign w:val="superscript"/>
          <w:rtl/>
          <w:lang w:bidi="ar-LB"/>
        </w:rPr>
        <w:t>)</w:t>
      </w:r>
      <w:r w:rsidRPr="002925AC">
        <w:rPr>
          <w:rFonts w:hint="cs"/>
          <w:rtl/>
          <w:lang w:bidi="ar-LB"/>
        </w:rPr>
        <w:t>.</w:t>
      </w:r>
    </w:p>
    <w:p w:rsidR="00EA09EB" w:rsidRPr="00A32FC0" w:rsidRDefault="00EA09EB" w:rsidP="00EA09EB">
      <w:pPr>
        <w:rPr>
          <w:rtl/>
          <w:lang w:bidi="ar-LB"/>
        </w:rPr>
      </w:pPr>
      <w:r w:rsidRPr="00A32FC0">
        <w:rPr>
          <w:rFonts w:hint="cs"/>
          <w:rtl/>
          <w:lang w:bidi="ar-LB"/>
        </w:rPr>
        <w:t xml:space="preserve">وكتب السيد كاظم الحائري في كتاب </w:t>
      </w:r>
      <w:r w:rsidRPr="00A32FC0">
        <w:rPr>
          <w:rFonts w:hint="cs"/>
          <w:rtl/>
        </w:rPr>
        <w:t>«</w:t>
      </w:r>
      <w:r w:rsidRPr="00A32FC0">
        <w:rPr>
          <w:rFonts w:hint="cs"/>
          <w:rtl/>
          <w:lang w:bidi="ar-LB"/>
        </w:rPr>
        <w:t>أساس الحكومة الإسلامية</w:t>
      </w:r>
      <w:r w:rsidRPr="00A32FC0">
        <w:rPr>
          <w:rFonts w:hint="cs"/>
          <w:rtl/>
        </w:rPr>
        <w:t>»</w:t>
      </w:r>
      <w:r w:rsidRPr="00A32FC0">
        <w:rPr>
          <w:rFonts w:hint="cs"/>
          <w:rtl/>
          <w:lang w:bidi="ar-LB"/>
        </w:rPr>
        <w:t xml:space="preserve">: </w:t>
      </w:r>
      <w:r w:rsidRPr="00A32FC0">
        <w:rPr>
          <w:rFonts w:hint="cs"/>
          <w:rtl/>
        </w:rPr>
        <w:t>«</w:t>
      </w:r>
      <w:r w:rsidRPr="00A32FC0">
        <w:rPr>
          <w:rFonts w:hint="cs"/>
          <w:rtl/>
          <w:lang w:bidi="ar-LB"/>
        </w:rPr>
        <w:t xml:space="preserve">وليس المقصود من ثبوت الولاية العامّة للفقهاء كونهم، كالنبيّ والإمام، أولى بالمؤمنين من أنفسهم. فالولاية بمعنى الأولويّة من النفس إنما ثبتت للنبيّ والإمام بالنصّ الصريح، أما المنصرف إلى الذهن عرفاً </w:t>
      </w:r>
      <w:r w:rsidRPr="00A32FC0">
        <w:rPr>
          <w:rtl/>
          <w:lang w:bidi="ar-LB"/>
        </w:rPr>
        <w:t>ـ</w:t>
      </w:r>
      <w:r w:rsidRPr="00A32FC0">
        <w:rPr>
          <w:rFonts w:hint="cs"/>
          <w:rtl/>
          <w:lang w:bidi="ar-LB"/>
        </w:rPr>
        <w:t xml:space="preserve"> سواء في ولاية الأب على الأولاد، أو في ولاية الفقيه على المجتمع، أو في غير ذلك </w:t>
      </w:r>
      <w:r w:rsidRPr="00A32FC0">
        <w:rPr>
          <w:rtl/>
          <w:lang w:bidi="ar-LB"/>
        </w:rPr>
        <w:t>ـ</w:t>
      </w:r>
      <w:r w:rsidRPr="00A32FC0">
        <w:rPr>
          <w:rFonts w:hint="cs"/>
          <w:rtl/>
          <w:lang w:bidi="ar-LB"/>
        </w:rPr>
        <w:t xml:space="preserve"> فهو الولاية في حدود تكميل نقص المولّى عليه، وعلاج قصوره</w:t>
      </w:r>
      <w:r w:rsidRPr="00A32FC0">
        <w:rPr>
          <w:rFonts w:hint="cs"/>
          <w:rtl/>
        </w:rPr>
        <w:t>»</w:t>
      </w:r>
      <w:r w:rsidRPr="00064619">
        <w:rPr>
          <w:rFonts w:cs="Taher"/>
          <w:vertAlign w:val="superscript"/>
          <w:rtl/>
        </w:rPr>
        <w:t>(</w:t>
      </w:r>
      <w:r w:rsidRPr="00064619">
        <w:rPr>
          <w:rStyle w:val="FootnoteReference"/>
          <w:rFonts w:cs="Taher"/>
          <w:sz w:val="32"/>
          <w:rtl/>
        </w:rPr>
        <w:footnoteReference w:id="261"/>
      </w:r>
      <w:r w:rsidRPr="00064619">
        <w:rPr>
          <w:rFonts w:cs="Taher"/>
          <w:vertAlign w:val="superscript"/>
          <w:rtl/>
        </w:rPr>
        <w:t>)</w:t>
      </w:r>
      <w:r w:rsidRPr="00A32FC0">
        <w:rPr>
          <w:rFonts w:hint="cs"/>
          <w:rtl/>
          <w:lang w:bidi="ar-LB"/>
        </w:rPr>
        <w:t>.</w:t>
      </w:r>
    </w:p>
    <w:p w:rsidR="00EA09EB" w:rsidRPr="00A32FC0" w:rsidRDefault="00EA09EB" w:rsidP="00C03247">
      <w:pPr>
        <w:pStyle w:val="Normal87"/>
        <w:rPr>
          <w:rtl/>
        </w:rPr>
      </w:pPr>
      <w:r w:rsidRPr="00A32FC0">
        <w:rPr>
          <w:rFonts w:hint="cs"/>
          <w:rtl/>
        </w:rPr>
        <w:t xml:space="preserve">كما قال في كتابه «الإمامة وقيادة المجتمع»: «إن الدليل الذي دلّ على ولاية الفقيه لا يعدو أن يكون من سنخ سائر أدلّة الولايات الاعتيادية. فمثلاً: ولاية الأب على طفله لا تجعله أولى بالطفل من نفسه، وإنما هي رعاية مصلحة الطفل، وسدّ نقصه باعتباره طفلاً. وهذا المعنى هو نفسه الذي تفهمه من ولاية الفقيه؛ إذ لا نفهم أن الفقيه يصبح أولى بالمؤمنين من أنفسهم، كما هي ولاية النبيّ والمعصومين، وإنما نفهم </w:t>
      </w:r>
      <w:r w:rsidRPr="00A32FC0">
        <w:rPr>
          <w:rtl/>
        </w:rPr>
        <w:t>ـ</w:t>
      </w:r>
      <w:r w:rsidRPr="00A32FC0">
        <w:rPr>
          <w:rFonts w:hint="cs"/>
          <w:rtl/>
        </w:rPr>
        <w:t xml:space="preserve"> على حدّ تعبير الأصوليّين (بمناسبات الحكم والموضوع) </w:t>
      </w:r>
      <w:r w:rsidRPr="00A32FC0">
        <w:rPr>
          <w:rtl/>
        </w:rPr>
        <w:t>ـ</w:t>
      </w:r>
      <w:r w:rsidRPr="00A32FC0">
        <w:rPr>
          <w:rFonts w:hint="cs"/>
          <w:rtl/>
        </w:rPr>
        <w:t xml:space="preserve"> أن المقصود بولاية الفقيه على الناس والمجتمع هو سدّ النقص والقصور الحاصل لديهما، ويكون أمره نافذاً»</w:t>
      </w:r>
      <w:r w:rsidRPr="00064619">
        <w:rPr>
          <w:rFonts w:cs="Taher"/>
          <w:vertAlign w:val="superscript"/>
          <w:rtl/>
        </w:rPr>
        <w:t>(</w:t>
      </w:r>
      <w:r w:rsidRPr="00064619">
        <w:rPr>
          <w:rStyle w:val="FootnoteReference"/>
          <w:rFonts w:cs="Taher"/>
          <w:sz w:val="32"/>
          <w:rtl/>
        </w:rPr>
        <w:footnoteReference w:id="262"/>
      </w:r>
      <w:r w:rsidRPr="00064619">
        <w:rPr>
          <w:rFonts w:cs="Taher"/>
          <w:vertAlign w:val="superscript"/>
          <w:rtl/>
        </w:rPr>
        <w:t>)</w:t>
      </w:r>
      <w:r w:rsidRPr="00A32FC0">
        <w:rPr>
          <w:rFonts w:hint="cs"/>
          <w:rtl/>
        </w:rPr>
        <w:t>.</w:t>
      </w:r>
    </w:p>
    <w:p w:rsidR="00EA09EB" w:rsidRPr="00A32FC0" w:rsidRDefault="00EA09EB" w:rsidP="00C03247">
      <w:pPr>
        <w:pStyle w:val="Normal87"/>
        <w:rPr>
          <w:rtl/>
        </w:rPr>
      </w:pPr>
      <w:r w:rsidRPr="00A32FC0">
        <w:rPr>
          <w:rFonts w:hint="cs"/>
          <w:rtl/>
        </w:rPr>
        <w:t>وذكر الشيخ محمد مؤمن القمّيّ في كتابه «كلمات سديدة في مسائل جديدة»، في مقالة «كلمة في مزاحمة أقدام الحكومة الإسلامية لحقّ الأشخاص»: «إنّ مقام الإمام بالنسبة إلى الأمة مقام الولي والقيّم بالنسبة إلى المولَى عليه... إن لازم كون أحد وليّاً على آخر، واحداً كان هذا الآخر أو جماعة، أن يكون إدارة المولّى عليه إلى وليّه، فإنه مقتضى الولاية... فكل ما يرجع إلى مصالح الأمّة بما أنها أمّة فهو [أي الوليّ الشرعي، رئيس الدولة] وليّهم فيه، ولا أمر لهم معه، ولا اعتبار برضاهم وكراهتهم فيه... فإذا جعل الله تعالى وليّاً على هذه الأمّة كانت تصميماته نافذةً في حقّهم، وإرادته ورضاه حاكمين عليهم، ولا أمر لهم معه أصلاً... إن مقتضى الولاية إلغاء اختيار المولّى عليه [في دائرة الشؤون العامّة]... إذا كان المولّى عليه الأمة فملازمها إلغاء اختيارات كلٍّ منهم في ما يرجع إلى مصالح المجتمع والأمّة»</w:t>
      </w:r>
      <w:r w:rsidRPr="00064619">
        <w:rPr>
          <w:rFonts w:cs="Taher"/>
          <w:vertAlign w:val="superscript"/>
          <w:rtl/>
        </w:rPr>
        <w:t>(</w:t>
      </w:r>
      <w:r w:rsidRPr="00064619">
        <w:rPr>
          <w:rStyle w:val="FootnoteReference"/>
          <w:rFonts w:cs="Taher"/>
          <w:sz w:val="32"/>
          <w:rtl/>
        </w:rPr>
        <w:footnoteReference w:id="263"/>
      </w:r>
      <w:r w:rsidRPr="00064619">
        <w:rPr>
          <w:rFonts w:cs="Taher"/>
          <w:vertAlign w:val="superscript"/>
          <w:rtl/>
        </w:rPr>
        <w:t>)</w:t>
      </w:r>
      <w:r w:rsidRPr="00A32FC0">
        <w:rPr>
          <w:rFonts w:hint="cs"/>
          <w:rtl/>
        </w:rPr>
        <w:t>.</w:t>
      </w:r>
    </w:p>
    <w:p w:rsidR="00EA09EB" w:rsidRPr="00EA09EB" w:rsidRDefault="00EA09EB" w:rsidP="00C03247">
      <w:pPr>
        <w:pStyle w:val="Normal87"/>
        <w:rPr>
          <w:rtl/>
        </w:rPr>
      </w:pPr>
      <w:r w:rsidRPr="008C3B26">
        <w:rPr>
          <w:rFonts w:hint="cs"/>
          <w:rtl/>
        </w:rPr>
        <w:t>وفي كتابه «حول الوحي والقيادة»، في مقالة «الإمامة والولاية»، ذكر الشيخ جوادي الآملي أنّ «الناس، بما لهم من حيثيّة القابليّة للحكومة، لا الفاعليّة لها، ليس لهم أيّ اختيار فيها، حتّى تكون لهم الكلمة الفصل أو المشورة حولها»</w:t>
      </w:r>
      <w:r w:rsidRPr="00064619">
        <w:rPr>
          <w:rFonts w:cs="Taher"/>
          <w:vertAlign w:val="superscript"/>
          <w:rtl/>
        </w:rPr>
        <w:t>(</w:t>
      </w:r>
      <w:r w:rsidRPr="00064619">
        <w:rPr>
          <w:rStyle w:val="FootnoteReference"/>
          <w:rFonts w:cs="Taher"/>
          <w:sz w:val="32"/>
          <w:rtl/>
        </w:rPr>
        <w:footnoteReference w:id="264"/>
      </w:r>
      <w:r w:rsidRPr="00064619">
        <w:rPr>
          <w:rFonts w:cs="Taher"/>
          <w:vertAlign w:val="superscript"/>
          <w:rtl/>
        </w:rPr>
        <w:t>)</w:t>
      </w:r>
      <w:r w:rsidRPr="00EA09EB">
        <w:rPr>
          <w:rFonts w:hint="cs"/>
          <w:rtl/>
        </w:rPr>
        <w:t>.</w:t>
      </w:r>
    </w:p>
    <w:p w:rsidR="00EA09EB" w:rsidRPr="00A32FC0" w:rsidRDefault="00EA09EB" w:rsidP="00C03247">
      <w:pPr>
        <w:pStyle w:val="Normal87"/>
        <w:rPr>
          <w:rtl/>
        </w:rPr>
      </w:pPr>
      <w:r w:rsidRPr="00A32FC0">
        <w:rPr>
          <w:rFonts w:hint="cs"/>
          <w:rtl/>
        </w:rPr>
        <w:t>10</w:t>
      </w:r>
      <w:r w:rsidRPr="00A32FC0">
        <w:rPr>
          <w:rtl/>
        </w:rPr>
        <w:t>ـ</w:t>
      </w:r>
      <w:r w:rsidRPr="00A32FC0">
        <w:rPr>
          <w:rFonts w:hint="cs"/>
          <w:rtl/>
        </w:rPr>
        <w:t xml:space="preserve"> ما ذكرناه كان مجرّد نموذج لأدلّة البحث. وليس هناك أدنى شكّ في أن المراد من الولاية في ولاية الفقيه هو الولاية الشرعية والفقهية. ومن أحكام الولاية الشرعيّة للفقهاء على الناس:</w:t>
      </w:r>
    </w:p>
    <w:p w:rsidR="00EA09EB" w:rsidRPr="00EA09EB" w:rsidRDefault="00EA09EB" w:rsidP="00C03247">
      <w:pPr>
        <w:pStyle w:val="Normal87"/>
        <w:rPr>
          <w:rtl/>
        </w:rPr>
      </w:pPr>
      <w:r w:rsidRPr="007A340E">
        <w:rPr>
          <w:rFonts w:hint="cs"/>
          <w:b/>
          <w:bCs/>
          <w:rtl/>
        </w:rPr>
        <w:t>الحكم الأوّل</w:t>
      </w:r>
      <w:r w:rsidRPr="00EA09EB">
        <w:rPr>
          <w:rFonts w:hint="cs"/>
          <w:rtl/>
        </w:rPr>
        <w:t xml:space="preserve">: ليس للناس </w:t>
      </w:r>
      <w:r w:rsidRPr="00EA09EB">
        <w:rPr>
          <w:rtl/>
        </w:rPr>
        <w:t>ـ</w:t>
      </w:r>
      <w:r w:rsidRPr="00EA09EB">
        <w:rPr>
          <w:rFonts w:hint="cs"/>
          <w:rtl/>
        </w:rPr>
        <w:t xml:space="preserve"> بعنوان كونهم مولّى عليهم </w:t>
      </w:r>
      <w:r w:rsidRPr="00EA09EB">
        <w:rPr>
          <w:rtl/>
        </w:rPr>
        <w:t>ـ</w:t>
      </w:r>
      <w:r w:rsidRPr="00EA09EB">
        <w:rPr>
          <w:rFonts w:hint="cs"/>
          <w:rtl/>
        </w:rPr>
        <w:t xml:space="preserve"> أيّ دخل في تعيين وعزل الوليّ الفقيه. فالفقهاء العدول معيّنون من قبل الله، وبفقدانهم لأيّ صفةٍ من صفات العدالة أو الفقاهة فإنهم ينعزلون تلقائياً. وحتى الفقهاء العدول لا يملكون صلاحية تعيين وعزل بعضهم البعض. ورأي الفقيه العادل في العزل بصفته مختصّاً بالأمور الشرعية يعدّ كاشفاً عن العزل الإلهيّ عن منصب الولاية في بعض المصاديق، لا أكثر، وذلك بإسقاط صفة العدالة أو الفقاهة. </w:t>
      </w:r>
    </w:p>
    <w:p w:rsidR="00EA09EB" w:rsidRPr="00EA09EB" w:rsidRDefault="00EA09EB" w:rsidP="00C03247">
      <w:pPr>
        <w:pStyle w:val="Normal93"/>
        <w:rPr>
          <w:rtl/>
        </w:rPr>
      </w:pPr>
      <w:r w:rsidRPr="007A340E">
        <w:rPr>
          <w:rFonts w:hint="cs"/>
          <w:b/>
          <w:bCs/>
          <w:rtl/>
        </w:rPr>
        <w:t>الحكم الثاني</w:t>
      </w:r>
      <w:r w:rsidRPr="00EA09EB">
        <w:rPr>
          <w:rFonts w:hint="cs"/>
          <w:rtl/>
        </w:rPr>
        <w:t>: إنّ الناس في دائرة شؤونهم العامّة، إمّا أنهم ليسوا أصحاب حقّ، وإمّا أنهم لا يمتلكون أهليّة استيفاء حقوقهم في حال كان لهم حقّ</w:t>
      </w:r>
      <w:r w:rsidRPr="00064619">
        <w:rPr>
          <w:rFonts w:cs="Taher"/>
          <w:sz w:val="32"/>
          <w:vertAlign w:val="superscript"/>
          <w:rtl/>
        </w:rPr>
        <w:t>(</w:t>
      </w:r>
      <w:r w:rsidRPr="00064619">
        <w:rPr>
          <w:rStyle w:val="FootnoteReference"/>
          <w:rFonts w:cs="Taher"/>
          <w:sz w:val="32"/>
          <w:rtl/>
        </w:rPr>
        <w:footnoteReference w:id="265"/>
      </w:r>
      <w:r w:rsidRPr="00064619">
        <w:rPr>
          <w:rFonts w:cs="Taher"/>
          <w:sz w:val="32"/>
          <w:vertAlign w:val="superscript"/>
          <w:rtl/>
        </w:rPr>
        <w:t>)</w:t>
      </w:r>
      <w:r w:rsidRPr="00EA09EB">
        <w:rPr>
          <w:rFonts w:hint="cs"/>
          <w:rtl/>
        </w:rPr>
        <w:t>. فالأولياء الشرعيّون على الناس، أي الفقهاء العدول، أخذوا على عاتقهم مهمة الدفاع عن حقوق ومصالح الناس بشكل أفضل ممّا يقومون به أنفسهم</w:t>
      </w:r>
      <w:r w:rsidRPr="00064619">
        <w:rPr>
          <w:rFonts w:cs="Taher"/>
          <w:sz w:val="32"/>
          <w:vertAlign w:val="superscript"/>
          <w:rtl/>
        </w:rPr>
        <w:t>(</w:t>
      </w:r>
      <w:r w:rsidRPr="00064619">
        <w:rPr>
          <w:rStyle w:val="FootnoteReference"/>
          <w:rFonts w:cs="Taher"/>
          <w:sz w:val="32"/>
          <w:rtl/>
        </w:rPr>
        <w:footnoteReference w:id="266"/>
      </w:r>
      <w:r w:rsidRPr="00064619">
        <w:rPr>
          <w:rFonts w:cs="Taher"/>
          <w:sz w:val="32"/>
          <w:vertAlign w:val="superscript"/>
          <w:rtl/>
        </w:rPr>
        <w:t>)</w:t>
      </w:r>
      <w:r w:rsidRPr="00EA09EB">
        <w:rPr>
          <w:rFonts w:hint="cs"/>
          <w:rtl/>
        </w:rPr>
        <w:t>.</w:t>
      </w:r>
    </w:p>
    <w:p w:rsidR="00EA09EB" w:rsidRPr="00EA09EB" w:rsidRDefault="00EA09EB" w:rsidP="00C03247">
      <w:pPr>
        <w:pStyle w:val="Normal93"/>
        <w:rPr>
          <w:rtl/>
        </w:rPr>
      </w:pPr>
      <w:r w:rsidRPr="007A340E">
        <w:rPr>
          <w:rFonts w:hint="cs"/>
          <w:b/>
          <w:bCs/>
          <w:rtl/>
        </w:rPr>
        <w:t>الحكم الثالث</w:t>
      </w:r>
      <w:r w:rsidRPr="00EA09EB">
        <w:rPr>
          <w:rFonts w:hint="cs"/>
          <w:rtl/>
        </w:rPr>
        <w:t>: الناس، بعنوان كونهم مولّى عليهم، لا يملكون حقّ التدخّل في إجراءات الولاية، أو الإشراف ـ سواء أكان استطلاعيّاً أم استصوابيّاً ـ على أعمال الولي في الشؤون العامة. ومحاولة إثبات مثل هذا الحق للناس هو بمنزلة نفي الولاية، وخروجٌ للناس على عنوان المولّى عليهم الشرعيّ</w:t>
      </w:r>
      <w:r w:rsidRPr="00064619">
        <w:rPr>
          <w:rFonts w:cs="Taher"/>
          <w:sz w:val="32"/>
          <w:vertAlign w:val="superscript"/>
          <w:rtl/>
        </w:rPr>
        <w:t>(</w:t>
      </w:r>
      <w:r w:rsidRPr="00064619">
        <w:rPr>
          <w:rStyle w:val="FootnoteReference"/>
          <w:rFonts w:cs="Taher"/>
          <w:sz w:val="32"/>
          <w:rtl/>
        </w:rPr>
        <w:footnoteReference w:id="267"/>
      </w:r>
      <w:r w:rsidRPr="00064619">
        <w:rPr>
          <w:rFonts w:cs="Taher"/>
          <w:sz w:val="32"/>
          <w:vertAlign w:val="superscript"/>
          <w:rtl/>
        </w:rPr>
        <w:t>)</w:t>
      </w:r>
      <w:r w:rsidRPr="00EA09EB">
        <w:rPr>
          <w:rFonts w:hint="cs"/>
          <w:rtl/>
        </w:rPr>
        <w:t>.</w:t>
      </w:r>
    </w:p>
    <w:p w:rsidR="00EA09EB" w:rsidRPr="00EA09EB" w:rsidRDefault="00EA09EB" w:rsidP="00C03247">
      <w:pPr>
        <w:pStyle w:val="Normal84"/>
        <w:rPr>
          <w:rtl/>
        </w:rPr>
      </w:pPr>
      <w:r w:rsidRPr="007A340E">
        <w:rPr>
          <w:rFonts w:hint="cs"/>
          <w:b/>
          <w:bCs/>
          <w:rtl/>
        </w:rPr>
        <w:t>الحكم الرابع</w:t>
      </w:r>
      <w:r w:rsidRPr="00EA09EB">
        <w:rPr>
          <w:rFonts w:hint="cs"/>
          <w:rtl/>
        </w:rPr>
        <w:t>: إنّ رأي الولي الفقيه هو المرجع في اتخاذ القرارات في الشؤون العامة. الفقيه وليّ على الناس، لا وكيلاً عنهم، لذلك فهو غير ملزم باستشارة الناس في إدارة المجتمع، كما يفعل الوكيل مع موكِّليه. والناس هم الملزمون بتنسيق أعمالهم بما يتلاءم مع رأي الولي الفقيه، وليس العكس.</w:t>
      </w:r>
    </w:p>
    <w:p w:rsidR="00EA09EB" w:rsidRPr="00EA09EB" w:rsidRDefault="00EA09EB" w:rsidP="00C03247">
      <w:pPr>
        <w:pStyle w:val="Normal84"/>
        <w:rPr>
          <w:rtl/>
        </w:rPr>
      </w:pPr>
      <w:r w:rsidRPr="007A340E">
        <w:rPr>
          <w:rFonts w:hint="cs"/>
          <w:b/>
          <w:bCs/>
          <w:rtl/>
        </w:rPr>
        <w:t>الحكم الخامس</w:t>
      </w:r>
      <w:r w:rsidRPr="00EA09EB">
        <w:rPr>
          <w:rFonts w:hint="cs"/>
          <w:rtl/>
        </w:rPr>
        <w:t>: إن أيّ تصرّف للناس في الشؤون العامة لا يكون شرعيّاً إلاّ إذا حاز على إذن مسبق من الوليّ الفقيه، أو إمضاءٍ لاحِق منه</w:t>
      </w:r>
      <w:r w:rsidRPr="00064619">
        <w:rPr>
          <w:rFonts w:cs="Taher"/>
          <w:sz w:val="32"/>
          <w:vertAlign w:val="superscript"/>
          <w:rtl/>
        </w:rPr>
        <w:t>(</w:t>
      </w:r>
      <w:r w:rsidRPr="00064619">
        <w:rPr>
          <w:rStyle w:val="FootnoteReference"/>
          <w:rFonts w:cs="Taher"/>
          <w:sz w:val="32"/>
          <w:rtl/>
        </w:rPr>
        <w:footnoteReference w:id="268"/>
      </w:r>
      <w:r w:rsidRPr="00064619">
        <w:rPr>
          <w:rFonts w:cs="Taher"/>
          <w:sz w:val="32"/>
          <w:vertAlign w:val="superscript"/>
          <w:rtl/>
        </w:rPr>
        <w:t>)</w:t>
      </w:r>
      <w:r w:rsidRPr="00EA09EB">
        <w:rPr>
          <w:rFonts w:hint="cs"/>
          <w:rtl/>
        </w:rPr>
        <w:t>. وعلى هذا الأساس فإن الوليّ الفقيه قَدْ يرى من المصلحة تفويض بعض الأمور السياسية والاجتماعية، الجزئية وغير الأساسيّة، المرتبطة به، إلى الناس. إلاّ أن الرأي النهائيّ والأخير في هذه الأمور يبقى في عهدة ولي الأمر، حيث إنه يستطيع أن يقوم في أيّ مرحلة من المراحل بإصلاح ما يراه مناسباً من آراء الناس، أو ممثِّليهم، ومَنْ انتخبوه</w:t>
      </w:r>
      <w:r w:rsidRPr="00064619">
        <w:rPr>
          <w:rFonts w:cs="Taher"/>
          <w:sz w:val="32"/>
          <w:vertAlign w:val="superscript"/>
          <w:rtl/>
        </w:rPr>
        <w:t>(</w:t>
      </w:r>
      <w:r w:rsidRPr="00064619">
        <w:rPr>
          <w:rStyle w:val="FootnoteReference"/>
          <w:rFonts w:cs="Taher"/>
          <w:sz w:val="32"/>
          <w:rtl/>
        </w:rPr>
        <w:footnoteReference w:id="269"/>
      </w:r>
      <w:r w:rsidRPr="00064619">
        <w:rPr>
          <w:rFonts w:cs="Taher"/>
          <w:sz w:val="32"/>
          <w:vertAlign w:val="superscript"/>
          <w:rtl/>
        </w:rPr>
        <w:t>)</w:t>
      </w:r>
      <w:r w:rsidRPr="00EA09EB">
        <w:rPr>
          <w:rFonts w:hint="cs"/>
          <w:rtl/>
        </w:rPr>
        <w:t xml:space="preserve">. </w:t>
      </w:r>
    </w:p>
    <w:p w:rsidR="00EA09EB" w:rsidRPr="00EA09EB" w:rsidRDefault="00EA09EB" w:rsidP="007A340E">
      <w:pPr>
        <w:ind w:firstLine="283"/>
        <w:rPr>
          <w:rtl/>
        </w:rPr>
      </w:pPr>
      <w:r w:rsidRPr="007A340E">
        <w:rPr>
          <w:rFonts w:hint="cs"/>
          <w:b/>
          <w:bCs/>
          <w:rtl/>
        </w:rPr>
        <w:t>الحكم السادس</w:t>
      </w:r>
      <w:r w:rsidRPr="00EA09EB">
        <w:rPr>
          <w:rFonts w:hint="cs"/>
          <w:rtl/>
        </w:rPr>
        <w:t>: إن التعقيدات المتزايدة في المجتمع البشريّ تَفْرض تركيباً خاصّاً من المؤسسات والإدارات العامة لإدارة هذا المجتمع. وشرعية جميع هذه المؤسسات متوقِّفة على انتسابها إلى الولي الفقيه</w:t>
      </w:r>
      <w:r w:rsidRPr="00064619">
        <w:rPr>
          <w:rFonts w:cs="Taher"/>
          <w:sz w:val="32"/>
          <w:vertAlign w:val="superscript"/>
          <w:rtl/>
          <w:lang w:bidi="ar-LB"/>
        </w:rPr>
        <w:t>(</w:t>
      </w:r>
      <w:r w:rsidRPr="00064619">
        <w:rPr>
          <w:rStyle w:val="FootnoteReference"/>
          <w:rFonts w:cs="Taher"/>
          <w:sz w:val="32"/>
          <w:rtl/>
          <w:lang w:bidi="ar-LB"/>
        </w:rPr>
        <w:footnoteReference w:id="270"/>
      </w:r>
      <w:r w:rsidRPr="00064619">
        <w:rPr>
          <w:rFonts w:cs="Taher"/>
          <w:sz w:val="32"/>
          <w:vertAlign w:val="superscript"/>
          <w:rtl/>
          <w:lang w:bidi="ar-LB"/>
        </w:rPr>
        <w:t>)</w:t>
      </w:r>
      <w:r w:rsidRPr="00EA09EB">
        <w:rPr>
          <w:rFonts w:hint="cs"/>
          <w:rtl/>
        </w:rPr>
        <w:t>. ويحصل هذا الانتساب عن طريقين:</w:t>
      </w:r>
    </w:p>
    <w:p w:rsidR="00EA09EB" w:rsidRPr="00EA09EB" w:rsidRDefault="00EA09EB" w:rsidP="00C03247">
      <w:pPr>
        <w:pStyle w:val="Normal84"/>
        <w:rPr>
          <w:rtl/>
        </w:rPr>
      </w:pPr>
      <w:r w:rsidRPr="007A340E">
        <w:rPr>
          <w:rFonts w:hint="cs"/>
          <w:b/>
          <w:bCs/>
          <w:rtl/>
        </w:rPr>
        <w:t>الأول</w:t>
      </w:r>
      <w:r w:rsidRPr="00EA09EB">
        <w:rPr>
          <w:rFonts w:hint="cs"/>
          <w:rtl/>
        </w:rPr>
        <w:t xml:space="preserve">: أن يكون المسؤولون عن هذه المؤسسات معيَّنين مباشرة من قِبَل الوليّ الفقيه. </w:t>
      </w:r>
    </w:p>
    <w:p w:rsidR="00EA09EB" w:rsidRPr="00A32FC0" w:rsidRDefault="00EA09EB" w:rsidP="00C03247">
      <w:pPr>
        <w:pStyle w:val="Normal93"/>
        <w:rPr>
          <w:rtl/>
        </w:rPr>
      </w:pPr>
      <w:r w:rsidRPr="00A32FC0">
        <w:rPr>
          <w:rFonts w:hint="cs"/>
          <w:rtl/>
        </w:rPr>
        <w:t>الثاني: أن يكون هناك ممثِّلون للوليّ الفقيه يشرفون على المؤسَّسات العامة التي لا يكون مسؤولوها معينين من قِبَل الولي الفقيه إشرافاً استصوابياً. وهذا الإشراف يُعَدّ شرطاً لشرعيّة هذه المؤسَّسات.</w:t>
      </w:r>
    </w:p>
    <w:p w:rsidR="00EA09EB" w:rsidRPr="00EA09EB" w:rsidRDefault="00EA09EB" w:rsidP="00C03247">
      <w:pPr>
        <w:pStyle w:val="Normal93"/>
        <w:rPr>
          <w:rtl/>
        </w:rPr>
      </w:pPr>
      <w:r w:rsidRPr="007A340E">
        <w:rPr>
          <w:rFonts w:hint="cs"/>
          <w:b/>
          <w:bCs/>
          <w:rtl/>
        </w:rPr>
        <w:t>الحكم السابع</w:t>
      </w:r>
      <w:r w:rsidRPr="00EA09EB">
        <w:rPr>
          <w:rFonts w:hint="cs"/>
          <w:rtl/>
        </w:rPr>
        <w:t>: إن الوظيفة الشرعيّة الأهمّ للناس تجاه الوليّ الفقيه هي التبعية وإطاعة أوامره ونواهيه. ونصرة الولي الفقيه، ودعمه في إدارة الشؤون العامة، هي أيضاً من وظائف الناس. كما أن على الناس في حال اطّلاعهم على أمرٍ له علاقة بالشأن العامّ أن يُطْلِعُوا الوليّ الفقيه عليه بشكل سرّيّ، بحيث لا يكون في متناول أعداء الإسلام، ولا بُدَّ لهم حينها أن يكونوا مطمئنّين بأنّ الوليّ الفقيه سوف يقوم بتشخيص مصلحتهم أفضل منهم.</w:t>
      </w:r>
    </w:p>
    <w:p w:rsidR="00EA09EB" w:rsidRPr="00A32FC0" w:rsidRDefault="00EA09EB" w:rsidP="00C03247">
      <w:pPr>
        <w:pStyle w:val="Normal93"/>
        <w:rPr>
          <w:rtl/>
        </w:rPr>
      </w:pPr>
      <w:r w:rsidRPr="00A32FC0">
        <w:rPr>
          <w:rFonts w:hint="cs"/>
          <w:b/>
          <w:bCs/>
          <w:rtl/>
        </w:rPr>
        <w:t>الحكم الثامن</w:t>
      </w:r>
      <w:r w:rsidRPr="00EA09EB">
        <w:rPr>
          <w:rFonts w:hint="cs"/>
          <w:rtl/>
        </w:rPr>
        <w:t>: إنّ الولاية الشرعية للفقهاء على الناس ولاية قهريّة، لا اختيارية. والفقهاء العدول، شاؤوا أم أبوا، معيّنون من قبل الشارع للولاية على الناس. وفي حال تهيأت الظروف فإنّ عليهم التصدي للشأن السياسي وباقي شؤون المجتمع العامة؛ وذلك لأنهم إن لم يتصدّوا لهذه المهمة فسيكون المجتمع في معرض الانحراف</w:t>
      </w:r>
      <w:r w:rsidRPr="00064619">
        <w:rPr>
          <w:rFonts w:cs="Taher"/>
          <w:vertAlign w:val="superscript"/>
          <w:rtl/>
        </w:rPr>
        <w:t>(</w:t>
      </w:r>
      <w:r w:rsidRPr="00064619">
        <w:rPr>
          <w:rStyle w:val="FootnoteReference"/>
          <w:rFonts w:cs="Taher"/>
          <w:sz w:val="32"/>
          <w:rtl/>
        </w:rPr>
        <w:footnoteReference w:id="271"/>
      </w:r>
      <w:r w:rsidRPr="00064619">
        <w:rPr>
          <w:rFonts w:cs="Taher"/>
          <w:vertAlign w:val="superscript"/>
          <w:rtl/>
        </w:rPr>
        <w:t>)</w:t>
      </w:r>
      <w:r w:rsidRPr="00A32FC0">
        <w:rPr>
          <w:rFonts w:hint="cs"/>
          <w:rtl/>
        </w:rPr>
        <w:t>.</w:t>
      </w:r>
    </w:p>
    <w:p w:rsidR="00EA09EB" w:rsidRPr="00EA09EB" w:rsidRDefault="00EA09EB" w:rsidP="00C03247">
      <w:pPr>
        <w:pStyle w:val="Normal87"/>
        <w:rPr>
          <w:rtl/>
        </w:rPr>
      </w:pPr>
      <w:r w:rsidRPr="00A32FC0">
        <w:rPr>
          <w:rFonts w:hint="cs"/>
          <w:rtl/>
        </w:rPr>
        <w:t xml:space="preserve">والناس أيضاً مطالبون بقبول الولاية الشرعيّة للفقيه، ومبايعته. ومبايعة الولي الفقيه </w:t>
      </w:r>
      <w:r w:rsidRPr="00A32FC0">
        <w:rPr>
          <w:rtl/>
        </w:rPr>
        <w:t>ـ</w:t>
      </w:r>
      <w:r w:rsidRPr="00A32FC0">
        <w:rPr>
          <w:rFonts w:hint="cs"/>
          <w:rtl/>
        </w:rPr>
        <w:t xml:space="preserve"> أي التولّي </w:t>
      </w:r>
      <w:r w:rsidRPr="00A32FC0">
        <w:rPr>
          <w:rtl/>
        </w:rPr>
        <w:t>ـ</w:t>
      </w:r>
      <w:r w:rsidRPr="00A32FC0">
        <w:rPr>
          <w:rFonts w:hint="cs"/>
          <w:rtl/>
        </w:rPr>
        <w:t xml:space="preserve"> تعني قبول الولاية، مع العلم أن قبولهم لها أو عدم قبولهم لا تأثير له في أصل ثبوت الولاية</w:t>
      </w:r>
      <w:r w:rsidRPr="00064619">
        <w:rPr>
          <w:rFonts w:cs="Taher"/>
          <w:vertAlign w:val="superscript"/>
          <w:rtl/>
        </w:rPr>
        <w:t>(</w:t>
      </w:r>
      <w:r w:rsidRPr="00064619">
        <w:rPr>
          <w:rStyle w:val="FootnoteReference"/>
          <w:rFonts w:cs="Taher"/>
          <w:sz w:val="32"/>
          <w:rtl/>
        </w:rPr>
        <w:footnoteReference w:id="272"/>
      </w:r>
      <w:r w:rsidRPr="00064619">
        <w:rPr>
          <w:rFonts w:cs="Taher"/>
          <w:vertAlign w:val="superscript"/>
          <w:rtl/>
        </w:rPr>
        <w:t>)</w:t>
      </w:r>
      <w:r w:rsidRPr="00EA09EB">
        <w:rPr>
          <w:rFonts w:hint="cs"/>
          <w:rtl/>
        </w:rPr>
        <w:t>. ومن الواضح أن قبول الناس للولاية ونصرتهم لها سوف يساعد الوليّ الفقيه على إدارة شؤونهم العامة طبقاً لأحكام الشريعة، وأمّا في حال عدم قبولهم للولاية فسوف يَحْرِمون المجتمع من نعمة إدارة شؤونه طبقاً لأحكام الشرع</w:t>
      </w:r>
      <w:r w:rsidRPr="00064619">
        <w:rPr>
          <w:rFonts w:cs="Taher"/>
          <w:vertAlign w:val="superscript"/>
          <w:rtl/>
        </w:rPr>
        <w:t>(</w:t>
      </w:r>
      <w:r w:rsidRPr="00064619">
        <w:rPr>
          <w:rStyle w:val="FootnoteReference"/>
          <w:rFonts w:cs="Taher"/>
          <w:sz w:val="32"/>
          <w:rtl/>
        </w:rPr>
        <w:footnoteReference w:id="273"/>
      </w:r>
      <w:r w:rsidRPr="00064619">
        <w:rPr>
          <w:rFonts w:cs="Taher"/>
          <w:vertAlign w:val="superscript"/>
          <w:rtl/>
        </w:rPr>
        <w:t>)</w:t>
      </w:r>
      <w:r w:rsidRPr="00EA09EB">
        <w:rPr>
          <w:rFonts w:hint="cs"/>
          <w:rtl/>
        </w:rPr>
        <w:t>. وحرمان المجتمع من هذه النعمة يقع على عاتق الناس الذين أعرضوا عن التولّي. وواجب التولّي والقبول يختلف عن حقّ الانتخاب. ففي حقّ الانتخاب يمكن للناس انتخاب مَنْ يشاؤون، أمّا في وجوب التولّي والقبول فعلى الناس أن يقبلوا بولاية الفقيه العادل، وعدم قبولهم بها معصية</w:t>
      </w:r>
      <w:r w:rsidRPr="00064619">
        <w:rPr>
          <w:rFonts w:cs="Taher"/>
          <w:vertAlign w:val="superscript"/>
          <w:rtl/>
        </w:rPr>
        <w:t>(</w:t>
      </w:r>
      <w:r w:rsidRPr="00064619">
        <w:rPr>
          <w:rStyle w:val="FootnoteReference"/>
          <w:rFonts w:cs="Taher"/>
          <w:sz w:val="32"/>
          <w:rtl/>
        </w:rPr>
        <w:footnoteReference w:id="274"/>
      </w:r>
      <w:r w:rsidRPr="00064619">
        <w:rPr>
          <w:rFonts w:cs="Taher"/>
          <w:vertAlign w:val="superscript"/>
          <w:rtl/>
        </w:rPr>
        <w:t>)</w:t>
      </w:r>
      <w:r w:rsidRPr="00EA09EB">
        <w:rPr>
          <w:rFonts w:hint="cs"/>
          <w:rtl/>
        </w:rPr>
        <w:t>.</w:t>
      </w:r>
    </w:p>
    <w:p w:rsidR="00EA09EB" w:rsidRPr="00EA09EB" w:rsidRDefault="00EA09EB" w:rsidP="00C03247">
      <w:pPr>
        <w:pStyle w:val="Normal84"/>
        <w:rPr>
          <w:rtl/>
        </w:rPr>
      </w:pPr>
      <w:r w:rsidRPr="007A340E">
        <w:rPr>
          <w:rFonts w:hint="cs"/>
          <w:b/>
          <w:bCs/>
          <w:rtl/>
        </w:rPr>
        <w:t>الحكم التاسع</w:t>
      </w:r>
      <w:r w:rsidRPr="00EA09EB">
        <w:rPr>
          <w:rFonts w:hint="cs"/>
          <w:rtl/>
        </w:rPr>
        <w:t xml:space="preserve">: إنّ ولاية الفقيه العادل على الناس ولاية دائمة </w:t>
      </w:r>
      <w:r w:rsidRPr="00EA09EB">
        <w:rPr>
          <w:rtl/>
        </w:rPr>
        <w:t>ـ</w:t>
      </w:r>
      <w:r w:rsidRPr="00EA09EB">
        <w:rPr>
          <w:rFonts w:hint="cs"/>
          <w:rtl/>
        </w:rPr>
        <w:t xml:space="preserve"> مدى الحياة </w:t>
      </w:r>
      <w:r w:rsidRPr="00EA09EB">
        <w:rPr>
          <w:rtl/>
        </w:rPr>
        <w:t>ـ</w:t>
      </w:r>
      <w:r w:rsidRPr="00EA09EB">
        <w:rPr>
          <w:rFonts w:hint="cs"/>
          <w:rtl/>
        </w:rPr>
        <w:t>، غير مؤقَّتة. وهي مستمرة ما بقي عنوانا الفقاهة والعدالة. ولذلك لا يجوز توقيت الولاية الشرعية، أي تحديد زمانها بفترة معينة، كعشر سنوات مثلاً، فإن كان هناك شخص له ولاية فولايته دائمة، وإلاّ فلا ولاية له</w:t>
      </w:r>
      <w:r w:rsidRPr="00064619">
        <w:rPr>
          <w:rFonts w:cs="Taher"/>
          <w:sz w:val="32"/>
          <w:vertAlign w:val="superscript"/>
          <w:rtl/>
        </w:rPr>
        <w:t>(</w:t>
      </w:r>
      <w:r w:rsidRPr="00064619">
        <w:rPr>
          <w:rStyle w:val="FootnoteReference"/>
          <w:rFonts w:cs="Taher"/>
          <w:sz w:val="32"/>
          <w:rtl/>
        </w:rPr>
        <w:footnoteReference w:id="275"/>
      </w:r>
      <w:r w:rsidRPr="00064619">
        <w:rPr>
          <w:rFonts w:cs="Taher"/>
          <w:sz w:val="32"/>
          <w:vertAlign w:val="superscript"/>
          <w:rtl/>
        </w:rPr>
        <w:t>)</w:t>
      </w:r>
      <w:r w:rsidRPr="00EA09EB">
        <w:rPr>
          <w:rFonts w:hint="cs"/>
          <w:rtl/>
        </w:rPr>
        <w:t>. ومن جهة أخرى فإن الناس ما لم يحرزوا درجة الاجتهاد والفقاهة فهم يُعَدّون مولّى عليهم، ولذلك فإن الحجر عليهم في الأمور العامّة دائم.</w:t>
      </w:r>
    </w:p>
    <w:p w:rsidR="00EA09EB" w:rsidRPr="00EA09EB" w:rsidRDefault="00EA09EB" w:rsidP="007A340E">
      <w:pPr>
        <w:ind w:firstLine="283"/>
        <w:rPr>
          <w:rtl/>
        </w:rPr>
      </w:pPr>
      <w:r w:rsidRPr="007A340E">
        <w:rPr>
          <w:rFonts w:hint="cs"/>
          <w:b/>
          <w:bCs/>
          <w:rtl/>
        </w:rPr>
        <w:t>الحكم العاشر</w:t>
      </w:r>
      <w:r w:rsidRPr="00EA09EB">
        <w:rPr>
          <w:rFonts w:hint="cs"/>
          <w:rtl/>
        </w:rPr>
        <w:t>: إنّ الولاية الشرعية للفقهاء العدول «عامّة»، أي إنّها تشمل جميع الناس، مهما كان جنسهم، أو لونهم، أو عرقهم، أو قوميّتهم، أو دينهم، أو مذهبهم. وهذه الولاية لا تحدّها حدود جغرافيّة. وجميع أهل الأرض مكلَّفون ـ وليس المسلمون أو الشيعة فقط ـ بإطاعة الوليّ</w:t>
      </w:r>
      <w:r w:rsidRPr="00064619">
        <w:rPr>
          <w:rFonts w:cs="Taher"/>
          <w:sz w:val="32"/>
          <w:vertAlign w:val="superscript"/>
          <w:rtl/>
          <w:lang w:bidi="ar-LB"/>
        </w:rPr>
        <w:t>(</w:t>
      </w:r>
      <w:r w:rsidRPr="00064619">
        <w:rPr>
          <w:rStyle w:val="FootnoteReference"/>
          <w:rFonts w:cs="Taher"/>
          <w:sz w:val="32"/>
          <w:rtl/>
          <w:lang w:bidi="ar-LB"/>
        </w:rPr>
        <w:footnoteReference w:id="276"/>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الحكم الحادي عشر</w:t>
      </w:r>
      <w:r w:rsidRPr="00EA09EB">
        <w:rPr>
          <w:rFonts w:hint="cs"/>
          <w:rtl/>
        </w:rPr>
        <w:t>: يتمتَّع الفقهاء العدول بالاستقلاليّة التامّة في إجراء الولاية، دون الحاجة إلى إذن أحدٍ من الناس</w:t>
      </w:r>
      <w:r w:rsidRPr="00064619">
        <w:rPr>
          <w:rFonts w:cs="Taher"/>
          <w:sz w:val="32"/>
          <w:vertAlign w:val="superscript"/>
          <w:rtl/>
          <w:lang w:bidi="ar-LB"/>
        </w:rPr>
        <w:t>(</w:t>
      </w:r>
      <w:r w:rsidRPr="00064619">
        <w:rPr>
          <w:rStyle w:val="FootnoteReference"/>
          <w:rFonts w:cs="Taher"/>
          <w:sz w:val="32"/>
          <w:rtl/>
          <w:lang w:bidi="ar-LB"/>
        </w:rPr>
        <w:footnoteReference w:id="277"/>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الحكم الثاني عشر</w:t>
      </w:r>
      <w:r w:rsidRPr="00EA09EB">
        <w:rPr>
          <w:rFonts w:hint="cs"/>
          <w:rtl/>
        </w:rPr>
        <w:t>: ليست ولاية الفقهاء العدول عقداً حتى تقيّد بشروط العقد، كالالتزام بالدستور. وهي تابعة لجعل الجاعل ـ وهو الله ـ سعةً وضيقاً، وليست مقيَّدة بإرادة الناس ورضاهم</w:t>
      </w:r>
      <w:r w:rsidRPr="00064619">
        <w:rPr>
          <w:rFonts w:cs="Taher"/>
          <w:sz w:val="32"/>
          <w:vertAlign w:val="superscript"/>
          <w:rtl/>
          <w:lang w:bidi="ar-LB"/>
        </w:rPr>
        <w:t>(</w:t>
      </w:r>
      <w:r w:rsidRPr="00064619">
        <w:rPr>
          <w:rStyle w:val="FootnoteReference"/>
          <w:rFonts w:cs="Taher"/>
          <w:sz w:val="32"/>
          <w:rtl/>
          <w:lang w:bidi="ar-LB"/>
        </w:rPr>
        <w:footnoteReference w:id="278"/>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الحكم الثالث عشر</w:t>
      </w:r>
      <w:r w:rsidRPr="00EA09EB">
        <w:rPr>
          <w:rFonts w:hint="cs"/>
          <w:rtl/>
        </w:rPr>
        <w:t>: إنّ جميع الشؤون العامّة للمولّى عليهم، أي الناس، هي تحت الولاية الشرعيّة للفقهاء العدول. وأمّا شؤون الناس الخاصّة والشخصية فهي خارجة عن ولاية الفقهاء، إلاّ ما كان منها مرتبطاً ـ بشكلٍ أو بآخر ـ بالشؤون العامّة</w:t>
      </w:r>
      <w:r w:rsidRPr="00064619">
        <w:rPr>
          <w:rFonts w:cs="Taher"/>
          <w:sz w:val="32"/>
          <w:vertAlign w:val="superscript"/>
          <w:rtl/>
          <w:lang w:bidi="ar-LB"/>
        </w:rPr>
        <w:t>(</w:t>
      </w:r>
      <w:r w:rsidRPr="00064619">
        <w:rPr>
          <w:rStyle w:val="FootnoteReference"/>
          <w:rFonts w:cs="Taher"/>
          <w:sz w:val="32"/>
          <w:rtl/>
          <w:lang w:bidi="ar-LB"/>
        </w:rPr>
        <w:footnoteReference w:id="279"/>
      </w:r>
      <w:r w:rsidRPr="00064619">
        <w:rPr>
          <w:rFonts w:cs="Taher"/>
          <w:sz w:val="32"/>
          <w:vertAlign w:val="superscript"/>
          <w:rtl/>
          <w:lang w:bidi="ar-LB"/>
        </w:rPr>
        <w:t>)</w:t>
      </w:r>
      <w:r w:rsidRPr="00EA09EB">
        <w:rPr>
          <w:rFonts w:hint="cs"/>
          <w:rtl/>
        </w:rPr>
        <w:t>.</w:t>
      </w:r>
    </w:p>
    <w:p w:rsidR="00EA09EB" w:rsidRPr="00EA09EB" w:rsidRDefault="00EA09EB" w:rsidP="00C03247">
      <w:pPr>
        <w:pStyle w:val="Normal84"/>
        <w:rPr>
          <w:rtl/>
        </w:rPr>
      </w:pPr>
      <w:r w:rsidRPr="007A340E">
        <w:rPr>
          <w:rFonts w:hint="cs"/>
          <w:b/>
          <w:bCs/>
          <w:rtl/>
        </w:rPr>
        <w:t>الحكم الرابع عشر</w:t>
      </w:r>
      <w:r w:rsidRPr="00EA09EB">
        <w:rPr>
          <w:rFonts w:hint="cs"/>
          <w:rtl/>
        </w:rPr>
        <w:t>: لا تتلاءم الولاية الشرعيّة للفقيه العادل إلاّ مع التعيين من قبل الشارع (الله)، ولا يمكن أن تكون الولاية انتخابيّة</w:t>
      </w:r>
      <w:r w:rsidRPr="00064619">
        <w:rPr>
          <w:rFonts w:cs="Taher"/>
          <w:sz w:val="32"/>
          <w:vertAlign w:val="superscript"/>
          <w:rtl/>
        </w:rPr>
        <w:t>(</w:t>
      </w:r>
      <w:r w:rsidRPr="00064619">
        <w:rPr>
          <w:rStyle w:val="FootnoteReference"/>
          <w:rFonts w:cs="Taher"/>
          <w:sz w:val="32"/>
          <w:rtl/>
        </w:rPr>
        <w:footnoteReference w:id="280"/>
      </w:r>
      <w:r w:rsidRPr="00064619">
        <w:rPr>
          <w:rFonts w:cs="Taher"/>
          <w:sz w:val="32"/>
          <w:vertAlign w:val="superscript"/>
          <w:rtl/>
        </w:rPr>
        <w:t>)</w:t>
      </w:r>
      <w:r w:rsidRPr="00EA09EB">
        <w:rPr>
          <w:rFonts w:hint="cs"/>
          <w:rtl/>
        </w:rPr>
        <w:t>.</w:t>
      </w:r>
    </w:p>
    <w:p w:rsidR="00EA09EB" w:rsidRPr="00EA09EB" w:rsidRDefault="00EA09EB" w:rsidP="00C03247">
      <w:pPr>
        <w:pStyle w:val="Normal87"/>
        <w:rPr>
          <w:rtl/>
        </w:rPr>
      </w:pPr>
      <w:r w:rsidRPr="007A340E">
        <w:rPr>
          <w:rFonts w:hint="cs"/>
          <w:b/>
          <w:bCs/>
          <w:rtl/>
        </w:rPr>
        <w:t>الحكم الخامس عشر</w:t>
      </w:r>
      <w:r w:rsidRPr="00EA09EB">
        <w:rPr>
          <w:rFonts w:hint="cs"/>
          <w:rtl/>
        </w:rPr>
        <w:t>: لا ولاية شرعيّة للمرأة. وبعبارة أخرى: إنه لا يحقّ للمرأة التصدّي لمنصب الولاية الشرعيّة على الناس، حتى لو كانت حائزة على درجة الاجتهاد. وبشكل عامّ فإن شروط التصدّي لمنصب الولاية الشرعية على الناس هي: الفقاهة (الاجتهاد)؛ العدالة؛ الذكورة؛ الحرية؛ طهارة النسب؛ البلوغ</w:t>
      </w:r>
      <w:r w:rsidRPr="00064619">
        <w:rPr>
          <w:rFonts w:cs="Taher"/>
          <w:sz w:val="32"/>
          <w:vertAlign w:val="superscript"/>
          <w:rtl/>
        </w:rPr>
        <w:t>(</w:t>
      </w:r>
      <w:r w:rsidRPr="00064619">
        <w:rPr>
          <w:rStyle w:val="FootnoteReference"/>
          <w:rFonts w:cs="Taher"/>
          <w:sz w:val="32"/>
          <w:rtl/>
        </w:rPr>
        <w:footnoteReference w:id="281"/>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الحكم السادس عشر</w:t>
      </w:r>
      <w:r w:rsidRPr="00EA09EB">
        <w:rPr>
          <w:rFonts w:hint="cs"/>
          <w:rtl/>
        </w:rPr>
        <w:t>: يجب على الوليّ الفقيه شرعاً مراعاة مصلحة الناس في دائرة عمله</w:t>
      </w:r>
      <w:r w:rsidRPr="00064619">
        <w:rPr>
          <w:rFonts w:cs="Taher"/>
          <w:sz w:val="32"/>
          <w:vertAlign w:val="superscript"/>
          <w:rtl/>
          <w:lang w:bidi="ar-LB"/>
        </w:rPr>
        <w:t>(</w:t>
      </w:r>
      <w:r w:rsidRPr="00064619">
        <w:rPr>
          <w:rStyle w:val="FootnoteReference"/>
          <w:rFonts w:cs="Taher"/>
          <w:sz w:val="32"/>
          <w:rtl/>
          <w:lang w:bidi="ar-LB"/>
        </w:rPr>
        <w:footnoteReference w:id="282"/>
      </w:r>
      <w:r w:rsidRPr="00064619">
        <w:rPr>
          <w:rFonts w:cs="Taher"/>
          <w:sz w:val="32"/>
          <w:vertAlign w:val="superscript"/>
          <w:rtl/>
          <w:lang w:bidi="ar-LB"/>
        </w:rPr>
        <w:t>)</w:t>
      </w:r>
      <w:r w:rsidRPr="00EA09EB">
        <w:rPr>
          <w:rFonts w:hint="cs"/>
          <w:rtl/>
        </w:rPr>
        <w:t>. والمرجع في تحديد مصلحة الناس هو الوليّ، أو مَنْ يعيِّنه لذلك.</w:t>
      </w:r>
    </w:p>
    <w:p w:rsidR="00EA09EB" w:rsidRPr="00EA09EB" w:rsidRDefault="00EA09EB" w:rsidP="00C03247">
      <w:pPr>
        <w:pStyle w:val="Normal87"/>
        <w:rPr>
          <w:rtl/>
        </w:rPr>
      </w:pPr>
      <w:r w:rsidRPr="007A340E">
        <w:rPr>
          <w:rFonts w:hint="cs"/>
          <w:b/>
          <w:bCs/>
          <w:rtl/>
        </w:rPr>
        <w:t>الحكم السابع عشر</w:t>
      </w:r>
      <w:r w:rsidRPr="00EA09EB">
        <w:rPr>
          <w:rFonts w:hint="cs"/>
          <w:rtl/>
        </w:rPr>
        <w:t>: إنّ منصب ولاية الفقيه على الناس منصب مقدَّس</w:t>
      </w:r>
      <w:r w:rsidRPr="00064619">
        <w:rPr>
          <w:rFonts w:cs="Taher"/>
          <w:sz w:val="32"/>
          <w:vertAlign w:val="superscript"/>
          <w:rtl/>
        </w:rPr>
        <w:t>(</w:t>
      </w:r>
      <w:r w:rsidRPr="00064619">
        <w:rPr>
          <w:rStyle w:val="FootnoteReference"/>
          <w:rFonts w:cs="Taher"/>
          <w:sz w:val="32"/>
          <w:rtl/>
        </w:rPr>
        <w:footnoteReference w:id="283"/>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11</w:t>
      </w:r>
      <w:r w:rsidRPr="00A32FC0">
        <w:rPr>
          <w:rtl/>
          <w:lang w:bidi="ar-LB"/>
        </w:rPr>
        <w:t>ـ</w:t>
      </w:r>
      <w:r w:rsidRPr="00A32FC0">
        <w:rPr>
          <w:rFonts w:hint="cs"/>
          <w:rtl/>
          <w:lang w:bidi="ar-LB"/>
        </w:rPr>
        <w:t xml:space="preserve"> ما هو الفرق بين الولاية العامة للفقيه وولاية الفقيه في الأمور الحسبية؟</w:t>
      </w:r>
    </w:p>
    <w:p w:rsidR="00EA09EB" w:rsidRPr="00A32FC0" w:rsidRDefault="00EA09EB" w:rsidP="00EA09EB">
      <w:pPr>
        <w:rPr>
          <w:rtl/>
          <w:lang w:bidi="ar-LB"/>
        </w:rPr>
      </w:pPr>
      <w:r w:rsidRPr="00A32FC0">
        <w:rPr>
          <w:rFonts w:hint="cs"/>
          <w:rtl/>
          <w:lang w:bidi="ar-LB"/>
        </w:rPr>
        <w:t>للفقهاء العدول ولاية على عامّة الناس</w:t>
      </w:r>
      <w:r>
        <w:rPr>
          <w:rFonts w:hint="cs"/>
          <w:rtl/>
          <w:lang w:bidi="ar-LB"/>
        </w:rPr>
        <w:t>،</w:t>
      </w:r>
      <w:r w:rsidRPr="00A32FC0">
        <w:rPr>
          <w:rFonts w:hint="cs"/>
          <w:rtl/>
          <w:lang w:bidi="ar-LB"/>
        </w:rPr>
        <w:t xml:space="preserve"> وهي التي يعبّر عنها با</w:t>
      </w:r>
      <w:r w:rsidR="00DD2A48">
        <w:rPr>
          <w:rFonts w:hint="cs"/>
          <w:rtl/>
          <w:lang w:bidi="ar-LB"/>
        </w:rPr>
        <w:t>لحكومة والزعامة السياسية للفقيه</w:t>
      </w:r>
      <w:r w:rsidRPr="00A32FC0">
        <w:rPr>
          <w:rFonts w:hint="cs"/>
          <w:rtl/>
          <w:lang w:bidi="ar-LB"/>
        </w:rPr>
        <w:t>؛ ولهم ولاية أيضاً على الأمور الحسبيّة</w:t>
      </w:r>
      <w:r>
        <w:rPr>
          <w:rFonts w:hint="cs"/>
          <w:rtl/>
          <w:lang w:bidi="ar-LB"/>
        </w:rPr>
        <w:t>،</w:t>
      </w:r>
      <w:r w:rsidRPr="00A32FC0">
        <w:rPr>
          <w:rFonts w:hint="cs"/>
          <w:rtl/>
          <w:lang w:bidi="ar-LB"/>
        </w:rPr>
        <w:t xml:space="preserve"> من قبيل: الولاية على الغائب والقاصر، التصدّي للأوقاف العامّة، والإشراف على كلّ ما يحتاج إلى إشراف.</w:t>
      </w:r>
    </w:p>
    <w:p w:rsidR="00EA09EB" w:rsidRPr="00A32FC0" w:rsidRDefault="00EA09EB" w:rsidP="00EA09EB">
      <w:pPr>
        <w:rPr>
          <w:rtl/>
          <w:lang w:bidi="ar-LB"/>
        </w:rPr>
      </w:pPr>
      <w:r w:rsidRPr="00A32FC0">
        <w:rPr>
          <w:rFonts w:hint="cs"/>
          <w:rtl/>
          <w:lang w:bidi="ar-LB"/>
        </w:rPr>
        <w:t>وعلى الرغم من وحدة معنى الولاية في كلا الموردين، واشتراكهما في كثير من الأحكام، وبما أن هناك فرقاً بين المولّى عليهم في كلا الموردين، وتفاوتاً في دائرة الولاية فيهما، فقد أدّى ذلك إلى وجود بعض الفروقات بين الولاية العامّة للفقيه وولاية الفقيه في الأمور الحسبية. وهذه الفروقات هي:</w:t>
      </w:r>
    </w:p>
    <w:p w:rsidR="00EA09EB" w:rsidRPr="00EA09EB" w:rsidRDefault="00EA09EB" w:rsidP="007A340E">
      <w:pPr>
        <w:ind w:firstLine="283"/>
        <w:rPr>
          <w:rtl/>
        </w:rPr>
      </w:pPr>
      <w:r w:rsidRPr="007A340E">
        <w:rPr>
          <w:rFonts w:hint="cs"/>
          <w:b/>
          <w:bCs/>
          <w:rtl/>
        </w:rPr>
        <w:t>أولاً</w:t>
      </w:r>
      <w:r w:rsidRPr="00EA09EB">
        <w:rPr>
          <w:rFonts w:hint="cs"/>
          <w:rtl/>
        </w:rPr>
        <w:t>: إن المولّى عليهم في ولاية الفقيه على الناس مكلَّفون (بالغ، عاقل، ورشيد في شؤونه الخاصّة)؛ أمّا المولى عليهم في الأمور الحسبية فهم غير المكلَّفين (الصغير، السفيه، المغبون، الميت، المقتول، وبعض الأمور المادّية، كالوقف).</w:t>
      </w:r>
    </w:p>
    <w:p w:rsidR="00EA09EB" w:rsidRPr="00A32FC0" w:rsidRDefault="00EA09EB" w:rsidP="00EA09EB">
      <w:pPr>
        <w:rPr>
          <w:rtl/>
          <w:lang w:bidi="ar-LB"/>
        </w:rPr>
      </w:pPr>
      <w:r w:rsidRPr="00A32FC0">
        <w:rPr>
          <w:rFonts w:hint="cs"/>
          <w:b/>
          <w:bCs/>
          <w:rtl/>
          <w:lang w:bidi="ar-LB"/>
        </w:rPr>
        <w:t>ثانياً</w:t>
      </w:r>
      <w:r w:rsidRPr="00A32FC0">
        <w:rPr>
          <w:rFonts w:hint="cs"/>
          <w:rtl/>
          <w:lang w:bidi="ar-LB"/>
        </w:rPr>
        <w:t xml:space="preserve">: في ولاية الفقيه على الناس تكون الأحكام الصادرة عن الولي الفقيه شاملةً له، كما تشمل غيره، ولا فرق بينه وبين الناس في الالتزام بأحكام الدولة. فإذا أصدر الولي الفقيه حكماً بإرساء ضرائب ماليّة زائدة على الخمس والزكاة ـ مثلاً ـ، أو بوجوب مراعاة قوانين السير، كان الوليّ ملزماً بهذه الأحكام، كسائر الناس. وبعبارة أخرى: إن الولي بصفته الشخصية، كسائر الناس المولّى عليهم، تحت ولاية شخصيّته الاعتباريّة بصفته وليّاً. </w:t>
      </w:r>
    </w:p>
    <w:p w:rsidR="00EA09EB" w:rsidRPr="00EA09EB" w:rsidRDefault="00EA09EB" w:rsidP="00EA09EB">
      <w:pPr>
        <w:rPr>
          <w:rtl/>
        </w:rPr>
      </w:pPr>
      <w:r w:rsidRPr="00A32FC0">
        <w:rPr>
          <w:rFonts w:hint="cs"/>
          <w:rtl/>
          <w:lang w:bidi="ar-LB"/>
        </w:rPr>
        <w:t>وأمّا في ولاية الفقيه على الأمور الحسبية فإن الأحكام الصادرة عن الولي لا تشمله؛ لاستحالة أن يكون مصداقاً للمولى عليهم في الأمور الحسبيّة (أي الصغير، والسفيه، والمجنون...)</w:t>
      </w:r>
      <w:r w:rsidRPr="00064619">
        <w:rPr>
          <w:rFonts w:cs="Taher"/>
          <w:vertAlign w:val="superscript"/>
          <w:rtl/>
          <w:lang w:bidi="ar-LB"/>
        </w:rPr>
        <w:t>(</w:t>
      </w:r>
      <w:r w:rsidRPr="00064619">
        <w:rPr>
          <w:rStyle w:val="FootnoteReference"/>
          <w:rFonts w:cs="Taher"/>
          <w:sz w:val="32"/>
          <w:rtl/>
          <w:lang w:bidi="ar-LB"/>
        </w:rPr>
        <w:footnoteReference w:id="284"/>
      </w:r>
      <w:r w:rsidRPr="00064619">
        <w:rPr>
          <w:rFonts w:cs="Taher"/>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ثالثاً</w:t>
      </w:r>
      <w:r w:rsidRPr="00EA09EB">
        <w:rPr>
          <w:rFonts w:hint="cs"/>
          <w:rtl/>
        </w:rPr>
        <w:t>: إنّ ولاية الفقيه على الناس ولاية عامة، أي إنها تشمل جميع الناس، ولا تختصّ بمجموعة دون أخرى. بينما ولاية الفقيه من الأمور الحسبية تشمل مجموعة خاصّة، من قبيل: الصغار، والمجانين، والسفهاء....</w:t>
      </w:r>
    </w:p>
    <w:p w:rsidR="00EA09EB" w:rsidRPr="00EA09EB" w:rsidRDefault="00EA09EB" w:rsidP="00C03247">
      <w:pPr>
        <w:pStyle w:val="Normal84"/>
        <w:rPr>
          <w:rtl/>
        </w:rPr>
      </w:pPr>
      <w:r w:rsidRPr="007A340E">
        <w:rPr>
          <w:rFonts w:hint="cs"/>
          <w:b/>
          <w:bCs/>
          <w:rtl/>
        </w:rPr>
        <w:t>رابعاً</w:t>
      </w:r>
      <w:r w:rsidRPr="00EA09EB">
        <w:rPr>
          <w:rFonts w:hint="cs"/>
          <w:rtl/>
        </w:rPr>
        <w:t>: إنّ ولاية الفقيه على الناس لا تشمل جميع شؤون المولّى عليهم، بل تشمل شؤونهم العامّة، وأمّا شؤونهم الخاصّة فليست مشمولة بهذه الولاية، طالما أنها ليست مرتبطة بالشأن العامّ. بينما تشمل ولاية الفقيه على الغيّب والقصّر جميع شؤونهم، دون استثناء.</w:t>
      </w:r>
    </w:p>
    <w:p w:rsidR="00EA09EB" w:rsidRPr="00EA09EB" w:rsidRDefault="00EA09EB" w:rsidP="00C03247">
      <w:pPr>
        <w:pStyle w:val="Normal84"/>
        <w:rPr>
          <w:rtl/>
        </w:rPr>
      </w:pPr>
      <w:r w:rsidRPr="007A340E">
        <w:rPr>
          <w:rFonts w:hint="cs"/>
          <w:b/>
          <w:bCs/>
          <w:rtl/>
        </w:rPr>
        <w:t>خامساً</w:t>
      </w:r>
      <w:r w:rsidRPr="00EA09EB">
        <w:rPr>
          <w:rFonts w:hint="cs"/>
          <w:rtl/>
        </w:rPr>
        <w:t>: يختلف معنى المحجورية في كلا الولايتين. ففي ولاية الفقيه على الناس تقتصر المحجورية على الشؤون العامّة، وأسباب هذا الحجر هي عبارة عن عدم حيازتهم لملكة الاجتهاد. أمّا المولّى عليهم في ولاية الفقيه في الأمور الحسبية فمحجورٌ عليهم مطلقاً، في جميع شؤونهم ـ سواءً أكانت خاصّة أم عامّة ـ، وأسباب هذا الحجر عبارة عن: الصِّغر، والسَّفاهة، والجنون.</w:t>
      </w:r>
    </w:p>
    <w:p w:rsidR="00EA09EB" w:rsidRPr="00A32FC0" w:rsidRDefault="00EA09EB" w:rsidP="00C03247">
      <w:pPr>
        <w:pStyle w:val="Normal87"/>
        <w:rPr>
          <w:rtl/>
        </w:rPr>
      </w:pPr>
      <w:r w:rsidRPr="00A32FC0">
        <w:rPr>
          <w:rFonts w:hint="cs"/>
          <w:rtl/>
        </w:rPr>
        <w:t>و</w:t>
      </w:r>
      <w:r>
        <w:rPr>
          <w:rFonts w:hint="cs"/>
          <w:rtl/>
        </w:rPr>
        <w:t>لا بُدَّ</w:t>
      </w:r>
      <w:r w:rsidRPr="00A32FC0">
        <w:rPr>
          <w:rFonts w:hint="cs"/>
          <w:rtl/>
        </w:rPr>
        <w:t xml:space="preserve"> من الإشارة إلى أن ليس المراد من المحجوريّة في دائرة الشؤون العامة عدم قبول أيّ تصرف من الناس في هذه الشؤون، بل المراد منها هو أنّ أيّ تصرف منهم في الشأن العام يجب أن يكون مجازاً من قِبَل الولي مسبقاً، أو يبقى هذا التصرُّف معلَّقاً على الإذن اللاحق للولي، ويسقط هذا التصرُّف في حال رُدَّ </w:t>
      </w:r>
      <w:r w:rsidR="00DD2A48">
        <w:rPr>
          <w:rFonts w:hint="cs"/>
          <w:rtl/>
        </w:rPr>
        <w:t>من جانب الوليّ الفقيه. تماماً ك</w:t>
      </w:r>
      <w:r w:rsidRPr="00A32FC0">
        <w:rPr>
          <w:rFonts w:hint="cs"/>
          <w:rtl/>
        </w:rPr>
        <w:t>ما هو حال تصرُّف غير المكلَّف في ماله، أو كالعقد الفضوليّ في الفقه.</w:t>
      </w:r>
    </w:p>
    <w:p w:rsidR="00EA09EB" w:rsidRPr="00EA09EB" w:rsidRDefault="00EA09EB" w:rsidP="007A340E">
      <w:pPr>
        <w:ind w:firstLine="283"/>
        <w:rPr>
          <w:rtl/>
        </w:rPr>
      </w:pPr>
      <w:r w:rsidRPr="00EA09EB">
        <w:rPr>
          <w:rFonts w:hint="cs"/>
          <w:rtl/>
        </w:rPr>
        <w:t>12</w:t>
      </w:r>
      <w:r w:rsidRPr="00EA09EB">
        <w:rPr>
          <w:rtl/>
        </w:rPr>
        <w:t>ـ</w:t>
      </w:r>
      <w:r w:rsidRPr="00EA09EB">
        <w:rPr>
          <w:rFonts w:hint="cs"/>
          <w:rtl/>
        </w:rPr>
        <w:t xml:space="preserve"> لا ولاية للفقهاء العدول بعضهم على بعض، حيث إنه لا يُعْقَل لفقيهٍ أن يكون وليّاً على فقيه آخر مولّى عليه</w:t>
      </w:r>
      <w:r w:rsidRPr="00064619">
        <w:rPr>
          <w:rFonts w:cs="Taher"/>
          <w:sz w:val="32"/>
          <w:vertAlign w:val="superscript"/>
          <w:rtl/>
          <w:lang w:bidi="ar-LB"/>
        </w:rPr>
        <w:t>(</w:t>
      </w:r>
      <w:r w:rsidRPr="00064619">
        <w:rPr>
          <w:rStyle w:val="FootnoteReference"/>
          <w:rFonts w:cs="Taher"/>
          <w:sz w:val="32"/>
          <w:rtl/>
          <w:lang w:bidi="ar-LB"/>
        </w:rPr>
        <w:footnoteReference w:id="285"/>
      </w:r>
      <w:r w:rsidRPr="00064619">
        <w:rPr>
          <w:rFonts w:cs="Taher"/>
          <w:sz w:val="32"/>
          <w:vertAlign w:val="superscript"/>
          <w:rtl/>
          <w:lang w:bidi="ar-LB"/>
        </w:rPr>
        <w:t>)</w:t>
      </w:r>
      <w:r w:rsidRPr="00EA09EB">
        <w:rPr>
          <w:rFonts w:hint="cs"/>
          <w:rtl/>
        </w:rPr>
        <w:t>، فإنّ الله تعالى قد نصَّب بالفعل جميع الفقهاء العدول بدون أيّ تفاوت في الامتيازات لمنصب الولاية على الناس. ولا صلاحيّة لأحدٍ في عزل الفقهاء العدول عن الولاية، إلاّ الله، ولا صلاحية لأحدٍ منهم في عزل الآخر</w:t>
      </w:r>
      <w:r w:rsidRPr="00064619">
        <w:rPr>
          <w:rFonts w:cs="Taher"/>
          <w:sz w:val="32"/>
          <w:vertAlign w:val="superscript"/>
          <w:rtl/>
          <w:lang w:bidi="ar-LB"/>
        </w:rPr>
        <w:t>(</w:t>
      </w:r>
      <w:r w:rsidRPr="00064619">
        <w:rPr>
          <w:rStyle w:val="FootnoteReference"/>
          <w:rFonts w:cs="Taher"/>
          <w:sz w:val="32"/>
          <w:rtl/>
          <w:lang w:bidi="ar-LB"/>
        </w:rPr>
        <w:footnoteReference w:id="286"/>
      </w:r>
      <w:r w:rsidRPr="00064619">
        <w:rPr>
          <w:rFonts w:cs="Taher"/>
          <w:sz w:val="32"/>
          <w:vertAlign w:val="superscript"/>
          <w:rtl/>
          <w:lang w:bidi="ar-LB"/>
        </w:rPr>
        <w:t>)</w:t>
      </w:r>
      <w:r w:rsidRPr="00EA09EB">
        <w:rPr>
          <w:rFonts w:hint="cs"/>
          <w:rtl/>
        </w:rPr>
        <w:t>. وفي حال قام أيّ فقيه عادل بإعمال ولايته في دائرة معيَّنة فلا يجوز للفقهاء العدول الآخرين إعمال ولايتهم في تلك الدائرة، وعليهم أن يحترموا تصرّفه، وأن يتجنَّبوا معارضته</w:t>
      </w:r>
      <w:r w:rsidRPr="00064619">
        <w:rPr>
          <w:rFonts w:cs="Taher"/>
          <w:sz w:val="32"/>
          <w:vertAlign w:val="superscript"/>
          <w:rtl/>
          <w:lang w:bidi="ar-LB"/>
        </w:rPr>
        <w:t>(</w:t>
      </w:r>
      <w:r w:rsidRPr="00064619">
        <w:rPr>
          <w:rStyle w:val="FootnoteReference"/>
          <w:rFonts w:cs="Taher"/>
          <w:sz w:val="32"/>
          <w:rtl/>
          <w:lang w:bidi="ar-LB"/>
        </w:rPr>
        <w:footnoteReference w:id="287"/>
      </w:r>
      <w:r w:rsidRPr="00064619">
        <w:rPr>
          <w:rFonts w:cs="Taher"/>
          <w:sz w:val="32"/>
          <w:vertAlign w:val="superscript"/>
          <w:rtl/>
          <w:lang w:bidi="ar-LB"/>
        </w:rPr>
        <w:t>)</w:t>
      </w:r>
      <w:r w:rsidRPr="00EA09EB">
        <w:rPr>
          <w:rFonts w:hint="cs"/>
          <w:rtl/>
        </w:rPr>
        <w:t>. ولا تتحقَّق تبعيّة الفقهاء لفقيه وليّ في دائرة الشؤون العامّة إلاّ إذا تحقَّقت الشروط الثلاثة التالية:</w:t>
      </w:r>
    </w:p>
    <w:p w:rsidR="00EA09EB" w:rsidRPr="00EA09EB" w:rsidRDefault="00EA09EB" w:rsidP="007A340E">
      <w:pPr>
        <w:ind w:firstLine="283"/>
        <w:rPr>
          <w:rtl/>
        </w:rPr>
      </w:pPr>
      <w:r w:rsidRPr="007A340E">
        <w:rPr>
          <w:rFonts w:hint="cs"/>
          <w:b/>
          <w:bCs/>
          <w:rtl/>
        </w:rPr>
        <w:t>الأول</w:t>
      </w:r>
      <w:r w:rsidRPr="00EA09EB">
        <w:rPr>
          <w:rFonts w:hint="cs"/>
          <w:rtl/>
        </w:rPr>
        <w:t>: أن يكون الفقهاء قائلين بنظرية ولاية الفقيه على الناس.</w:t>
      </w:r>
    </w:p>
    <w:p w:rsidR="00EA09EB" w:rsidRPr="00EA09EB" w:rsidRDefault="00EA09EB" w:rsidP="007A340E">
      <w:pPr>
        <w:ind w:firstLine="283"/>
        <w:rPr>
          <w:rtl/>
        </w:rPr>
      </w:pPr>
      <w:r w:rsidRPr="007A340E">
        <w:rPr>
          <w:rFonts w:hint="cs"/>
          <w:b/>
          <w:bCs/>
          <w:rtl/>
        </w:rPr>
        <w:t>الثاني</w:t>
      </w:r>
      <w:r w:rsidRPr="00EA09EB">
        <w:rPr>
          <w:rFonts w:hint="cs"/>
          <w:rtl/>
        </w:rPr>
        <w:t>: أن يعتقد الفقهاء أن الوليّ هو مصداق صالح، ومعتبر شرعاً، لمنصب الولاية.</w:t>
      </w:r>
    </w:p>
    <w:p w:rsidR="00EA09EB" w:rsidRPr="00EA09EB" w:rsidRDefault="00EA09EB" w:rsidP="007A340E">
      <w:pPr>
        <w:ind w:firstLine="283"/>
        <w:rPr>
          <w:rtl/>
        </w:rPr>
      </w:pPr>
      <w:r w:rsidRPr="007A340E">
        <w:rPr>
          <w:rFonts w:hint="cs"/>
          <w:b/>
          <w:bCs/>
          <w:rtl/>
        </w:rPr>
        <w:t>الثالث</w:t>
      </w:r>
      <w:r w:rsidRPr="00EA09EB">
        <w:rPr>
          <w:rFonts w:hint="cs"/>
          <w:rtl/>
        </w:rPr>
        <w:t>: أن لا يكونوا على يقين من خطأ في مستند حكم الوليّ</w:t>
      </w:r>
      <w:r w:rsidRPr="00064619">
        <w:rPr>
          <w:rFonts w:cs="Taher"/>
          <w:sz w:val="32"/>
          <w:vertAlign w:val="superscript"/>
          <w:rtl/>
          <w:lang w:bidi="ar-LB"/>
        </w:rPr>
        <w:t>(</w:t>
      </w:r>
      <w:r w:rsidRPr="00064619">
        <w:rPr>
          <w:rStyle w:val="FootnoteReference"/>
          <w:rFonts w:cs="Taher"/>
          <w:sz w:val="32"/>
          <w:rtl/>
          <w:lang w:bidi="ar-LB"/>
        </w:rPr>
        <w:footnoteReference w:id="288"/>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13</w:t>
      </w:r>
      <w:r w:rsidRPr="00A32FC0">
        <w:rPr>
          <w:rtl/>
          <w:lang w:bidi="ar-LB"/>
        </w:rPr>
        <w:t>ـ</w:t>
      </w:r>
      <w:r w:rsidRPr="00A32FC0">
        <w:rPr>
          <w:rFonts w:hint="cs"/>
          <w:rtl/>
          <w:lang w:bidi="ar-LB"/>
        </w:rPr>
        <w:t xml:space="preserve"> إنّ الولاية في </w:t>
      </w:r>
      <w:r w:rsidRPr="00A32FC0">
        <w:rPr>
          <w:rFonts w:hint="cs"/>
          <w:rtl/>
        </w:rPr>
        <w:t>«</w:t>
      </w:r>
      <w:r w:rsidRPr="00A32FC0">
        <w:rPr>
          <w:rFonts w:hint="cs"/>
          <w:rtl/>
          <w:lang w:bidi="ar-LB"/>
        </w:rPr>
        <w:t>ولاية الفقيه على الناس</w:t>
      </w:r>
      <w:r w:rsidRPr="00A32FC0">
        <w:rPr>
          <w:rFonts w:hint="cs"/>
          <w:rtl/>
        </w:rPr>
        <w:t>»</w:t>
      </w:r>
      <w:r w:rsidRPr="00A32FC0">
        <w:rPr>
          <w:rFonts w:hint="cs"/>
          <w:rtl/>
          <w:lang w:bidi="ar-LB"/>
        </w:rPr>
        <w:t xml:space="preserve"> هي نوع من الحكومة. وبين الولاية والحكومة نسبة عموم وخصوص من وجه. فليست كلّ</w:t>
      </w:r>
      <w:r w:rsidR="00DD2A48">
        <w:rPr>
          <w:rFonts w:hint="cs"/>
          <w:rtl/>
          <w:lang w:bidi="ar-LB"/>
        </w:rPr>
        <w:t xml:space="preserve"> ولاية</w:t>
      </w:r>
      <w:r w:rsidRPr="00A32FC0">
        <w:rPr>
          <w:rFonts w:hint="cs"/>
          <w:rtl/>
          <w:lang w:bidi="ar-LB"/>
        </w:rPr>
        <w:t xml:space="preserve"> حكومة، كولاية الأب والجد للأب على الأولاد الصغار، أو ولاية أولياء الدم، وليست كلّ حكومة </w:t>
      </w:r>
      <w:r w:rsidRPr="00A32FC0">
        <w:rPr>
          <w:rFonts w:hint="cs"/>
          <w:rtl/>
        </w:rPr>
        <w:t>«</w:t>
      </w:r>
      <w:r w:rsidRPr="00A32FC0">
        <w:rPr>
          <w:rFonts w:hint="cs"/>
          <w:rtl/>
          <w:lang w:bidi="ar-LB"/>
        </w:rPr>
        <w:t>حكمٍ</w:t>
      </w:r>
      <w:r w:rsidRPr="00A32FC0">
        <w:rPr>
          <w:rFonts w:hint="cs"/>
          <w:rtl/>
        </w:rPr>
        <w:t>»</w:t>
      </w:r>
      <w:r w:rsidRPr="00A32FC0">
        <w:rPr>
          <w:rFonts w:hint="cs"/>
          <w:rtl/>
          <w:lang w:bidi="ar-LB"/>
        </w:rPr>
        <w:t xml:space="preserve">، بالضرورة، حكومة ولائية، من قبيل: الحكومة المبتنية على توكيل المواطنين للحاكم، أو الحكومة المبتنية على العقد الاجتماعي، وهو </w:t>
      </w:r>
      <w:r w:rsidRPr="00A32FC0">
        <w:rPr>
          <w:rFonts w:hint="cs"/>
          <w:rtl/>
        </w:rPr>
        <w:t>«</w:t>
      </w:r>
      <w:r w:rsidRPr="00A32FC0">
        <w:rPr>
          <w:rFonts w:hint="cs"/>
          <w:rtl/>
          <w:lang w:bidi="ar-LB"/>
        </w:rPr>
        <w:t>عقد لازم بين الناس ومَنْ يتولّى الحكم</w:t>
      </w:r>
      <w:r w:rsidRPr="00A32FC0">
        <w:rPr>
          <w:rFonts w:hint="cs"/>
          <w:rtl/>
        </w:rPr>
        <w:t>»</w:t>
      </w:r>
      <w:r w:rsidRPr="00A32FC0">
        <w:rPr>
          <w:rFonts w:hint="cs"/>
          <w:rtl/>
          <w:lang w:bidi="ar-LB"/>
        </w:rPr>
        <w:t>.</w:t>
      </w:r>
    </w:p>
    <w:p w:rsidR="007A340E" w:rsidRDefault="00EA09EB" w:rsidP="00B5080E">
      <w:pPr>
        <w:rPr>
          <w:rtl/>
        </w:rPr>
      </w:pPr>
      <w:r w:rsidRPr="00A32FC0">
        <w:rPr>
          <w:rFonts w:hint="cs"/>
          <w:rtl/>
          <w:lang w:bidi="ar-LB"/>
        </w:rPr>
        <w:t xml:space="preserve">الحكومة الولائية تعني تنصيب أو تعيين </w:t>
      </w:r>
      <w:r w:rsidRPr="00A32FC0">
        <w:rPr>
          <w:rFonts w:hint="cs"/>
          <w:rtl/>
        </w:rPr>
        <w:t>(</w:t>
      </w:r>
      <w:r w:rsidRPr="00A32FC0">
        <w:rPr>
          <w:rFonts w:hint="cs"/>
          <w:rtl/>
          <w:lang w:bidi="ar-LB"/>
        </w:rPr>
        <w:t>وليس انتخاب</w:t>
      </w:r>
      <w:r w:rsidRPr="00A32FC0">
        <w:rPr>
          <w:rFonts w:hint="cs"/>
          <w:rtl/>
        </w:rPr>
        <w:t>)</w:t>
      </w:r>
      <w:r w:rsidRPr="00A32FC0">
        <w:rPr>
          <w:rFonts w:hint="cs"/>
          <w:rtl/>
          <w:lang w:bidi="ar-LB"/>
        </w:rPr>
        <w:t xml:space="preserve"> الحاكم </w:t>
      </w:r>
      <w:r w:rsidRPr="00A32FC0">
        <w:rPr>
          <w:rFonts w:hint="cs"/>
          <w:rtl/>
        </w:rPr>
        <w:t>(</w:t>
      </w:r>
      <w:r w:rsidRPr="00A32FC0">
        <w:rPr>
          <w:rFonts w:hint="cs"/>
          <w:rtl/>
          <w:lang w:bidi="ar-LB"/>
        </w:rPr>
        <w:t>المتصدّي للشؤون العامة للمجتمع</w:t>
      </w:r>
      <w:r w:rsidRPr="00A32FC0">
        <w:rPr>
          <w:rFonts w:hint="cs"/>
          <w:rtl/>
        </w:rPr>
        <w:t>)</w:t>
      </w:r>
      <w:r w:rsidRPr="00A32FC0">
        <w:rPr>
          <w:rFonts w:hint="cs"/>
          <w:rtl/>
          <w:lang w:bidi="ar-LB"/>
        </w:rPr>
        <w:t xml:space="preserve"> من قبل الله تعالى </w:t>
      </w:r>
      <w:r w:rsidRPr="00A32FC0">
        <w:rPr>
          <w:rFonts w:hint="cs"/>
          <w:rtl/>
        </w:rPr>
        <w:t>(</w:t>
      </w:r>
      <w:r w:rsidRPr="00A32FC0">
        <w:rPr>
          <w:rFonts w:hint="cs"/>
          <w:rtl/>
          <w:lang w:bidi="ar-LB"/>
        </w:rPr>
        <w:t>وليس من قبل الناس</w:t>
      </w:r>
      <w:r w:rsidRPr="00A32FC0">
        <w:rPr>
          <w:rFonts w:hint="cs"/>
          <w:rtl/>
        </w:rPr>
        <w:t>)</w:t>
      </w:r>
      <w:r w:rsidRPr="00A32FC0">
        <w:rPr>
          <w:rFonts w:hint="cs"/>
          <w:rtl/>
          <w:lang w:bidi="ar-LB"/>
        </w:rPr>
        <w:t xml:space="preserve"> للولاية الشرعية على الناس </w:t>
      </w:r>
      <w:r w:rsidRPr="00A32FC0">
        <w:rPr>
          <w:rFonts w:hint="cs"/>
          <w:rtl/>
        </w:rPr>
        <w:t>(</w:t>
      </w:r>
      <w:r w:rsidRPr="00A32FC0">
        <w:rPr>
          <w:rFonts w:hint="cs"/>
          <w:rtl/>
          <w:lang w:bidi="ar-LB"/>
        </w:rPr>
        <w:t>وليس بموجب وكالة أو عقد منهم</w:t>
      </w:r>
      <w:r w:rsidRPr="00A32FC0">
        <w:rPr>
          <w:rFonts w:hint="cs"/>
          <w:rtl/>
        </w:rPr>
        <w:t>)</w:t>
      </w:r>
      <w:r w:rsidRPr="00A32FC0">
        <w:rPr>
          <w:rFonts w:hint="cs"/>
          <w:rtl/>
          <w:lang w:bidi="ar-LB"/>
        </w:rPr>
        <w:t>. ومن اللوازم التي لا تنفك عن الحكومة الولائية محجورية الناس في دائرة الشؤون العامّة.</w:t>
      </w:r>
      <w:r w:rsidRPr="00EA09EB">
        <w:rPr>
          <w:rtl/>
        </w:rPr>
        <w:br w:type="page"/>
      </w:r>
    </w:p>
    <w:p w:rsidR="007A340E" w:rsidRDefault="007A340E" w:rsidP="007A340E">
      <w:pPr>
        <w:rPr>
          <w:rtl/>
        </w:rPr>
        <w:sectPr w:rsidR="007A340E" w:rsidSect="009003FC">
          <w:headerReference w:type="even" r:id="rId30"/>
          <w:headerReference w:type="default" r:id="rId31"/>
          <w:headerReference w:type="first" r:id="rId32"/>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Default="007A340E" w:rsidP="007A340E">
      <w:pPr>
        <w:rPr>
          <w:rtl/>
        </w:rPr>
      </w:pPr>
    </w:p>
    <w:p w:rsidR="00EA09EB" w:rsidRPr="00E2207F" w:rsidRDefault="00EA09EB" w:rsidP="007A340E">
      <w:pPr>
        <w:pStyle w:val="Heading2"/>
        <w:jc w:val="center"/>
        <w:rPr>
          <w:rtl/>
          <w:lang w:bidi="ar-LB"/>
        </w:rPr>
      </w:pPr>
      <w:bookmarkStart w:id="41" w:name="_Toc413658824"/>
      <w:r w:rsidRPr="00E2207F">
        <w:rPr>
          <w:rFonts w:hint="cs"/>
          <w:rtl/>
          <w:lang w:bidi="ar-LB"/>
        </w:rPr>
        <w:t>الفصل الثامن: الولاية وجواز ال</w:t>
      </w:r>
      <w:r w:rsidRPr="007A340E">
        <w:rPr>
          <w:rFonts w:hint="cs"/>
          <w:rtl/>
        </w:rPr>
        <w:t>تصرُّف</w:t>
      </w:r>
      <w:bookmarkEnd w:id="41"/>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أحد أهم الأسئلة السياسية في نظريات الدولة القائمة على أساس المشروعية الإلهية المباشرة هو السؤال عن العلاقة بين الحاكم الديني والناس. ويعتقد القائلون بالحكومة الولائية أن الجواب عن هذا السؤال هو </w:t>
      </w:r>
      <w:r w:rsidRPr="00A32FC0">
        <w:rPr>
          <w:rFonts w:hint="cs"/>
          <w:rtl/>
        </w:rPr>
        <w:t>«</w:t>
      </w:r>
      <w:r w:rsidRPr="00A32FC0">
        <w:rPr>
          <w:rFonts w:hint="cs"/>
          <w:rtl/>
          <w:lang w:bidi="ar-LB"/>
        </w:rPr>
        <w:t>الولاية</w:t>
      </w:r>
      <w:r w:rsidRPr="00A32FC0">
        <w:rPr>
          <w:rFonts w:hint="cs"/>
          <w:rtl/>
        </w:rPr>
        <w:t>»</w:t>
      </w:r>
      <w:r w:rsidRPr="00A32FC0">
        <w:rPr>
          <w:rFonts w:hint="cs"/>
          <w:rtl/>
          <w:lang w:bidi="ar-LB"/>
        </w:rPr>
        <w:t>، فإن للحاكم الديني ولاية على الناس، والمراد من هذه الولاية هو الولاية الشرعيّة. وحدود هذه الولاية الشرعيّة هي الشأن العام. إن الفقيه المتصدّي للحكم أولى بالتصرُّف والتدبير في دائرة الشؤون العامّة؛ فإن الناس وإن كانوا في أمورهم الخاصّة والشخصية راشدين، إلاّ أنهم في ما يخصّ الشأن العام يُعَدّون فاقدين لأهلية التصرُّف، ومحجوراً عليهم. ولذلك فإن أيّ تصرّف منهم في الشأن العام لا يُعَدّ مشروعاً من دون إجازة الوليّ الفقيه أو إمضائه. و</w:t>
      </w:r>
      <w:r>
        <w:rPr>
          <w:rFonts w:hint="cs"/>
          <w:rtl/>
          <w:lang w:bidi="ar-LB"/>
        </w:rPr>
        <w:t>لا بُدَّ</w:t>
      </w:r>
      <w:r w:rsidRPr="00A32FC0">
        <w:rPr>
          <w:rFonts w:hint="cs"/>
          <w:rtl/>
          <w:lang w:bidi="ar-LB"/>
        </w:rPr>
        <w:t xml:space="preserve"> من الإشارة إلى مسألتين هامّتين من لوازم الحكومة الولائية:</w:t>
      </w:r>
    </w:p>
    <w:p w:rsidR="00EA09EB" w:rsidRPr="00EA09EB" w:rsidRDefault="00EA09EB" w:rsidP="007A340E">
      <w:pPr>
        <w:ind w:firstLine="283"/>
        <w:rPr>
          <w:rtl/>
        </w:rPr>
      </w:pPr>
      <w:r w:rsidRPr="007A340E">
        <w:rPr>
          <w:rFonts w:hint="cs"/>
          <w:b/>
          <w:bCs/>
          <w:rtl/>
        </w:rPr>
        <w:t>الأولى</w:t>
      </w:r>
      <w:r w:rsidRPr="00EA09EB">
        <w:rPr>
          <w:rFonts w:hint="cs"/>
          <w:rtl/>
        </w:rPr>
        <w:t xml:space="preserve">: هي التعيين «التنصيب». </w:t>
      </w:r>
    </w:p>
    <w:p w:rsidR="00EA09EB" w:rsidRPr="00EA09EB" w:rsidRDefault="00EA09EB" w:rsidP="007A340E">
      <w:pPr>
        <w:ind w:firstLine="283"/>
        <w:rPr>
          <w:rtl/>
        </w:rPr>
      </w:pPr>
      <w:r w:rsidRPr="007A340E">
        <w:rPr>
          <w:rFonts w:hint="cs"/>
          <w:b/>
          <w:bCs/>
          <w:rtl/>
        </w:rPr>
        <w:t>والثانية</w:t>
      </w:r>
      <w:r w:rsidRPr="00EA09EB">
        <w:rPr>
          <w:rFonts w:hint="cs"/>
          <w:rtl/>
        </w:rPr>
        <w:t xml:space="preserve">: الفقاهة. </w:t>
      </w:r>
    </w:p>
    <w:p w:rsidR="00EA09EB" w:rsidRPr="00A32FC0" w:rsidRDefault="00EA09EB" w:rsidP="0043005B">
      <w:pPr>
        <w:rPr>
          <w:rtl/>
          <w:lang w:bidi="ar-LB"/>
        </w:rPr>
      </w:pPr>
      <w:r w:rsidRPr="00A32FC0">
        <w:rPr>
          <w:rFonts w:hint="cs"/>
          <w:rtl/>
          <w:lang w:bidi="ar-LB"/>
        </w:rPr>
        <w:t xml:space="preserve">فالولي </w:t>
      </w:r>
      <w:r w:rsidR="0043005B">
        <w:rPr>
          <w:rFonts w:hint="cs"/>
          <w:rtl/>
          <w:lang w:bidi="ar-LB"/>
        </w:rPr>
        <w:t>في</w:t>
      </w:r>
      <w:r w:rsidRPr="00A32FC0">
        <w:rPr>
          <w:rFonts w:hint="cs"/>
          <w:rtl/>
          <w:lang w:bidi="ar-LB"/>
        </w:rPr>
        <w:t xml:space="preserve"> الحكومة الولائية، يعيّن من قبل الشارع </w:t>
      </w:r>
      <w:r w:rsidRPr="00A32FC0">
        <w:rPr>
          <w:rFonts w:hint="cs"/>
          <w:rtl/>
        </w:rPr>
        <w:t>(</w:t>
      </w:r>
      <w:r w:rsidRPr="00A32FC0">
        <w:rPr>
          <w:rFonts w:hint="cs"/>
          <w:rtl/>
          <w:lang w:bidi="ar-LB"/>
        </w:rPr>
        <w:t>الله</w:t>
      </w:r>
      <w:r w:rsidRPr="00A32FC0">
        <w:rPr>
          <w:rFonts w:hint="cs"/>
          <w:rtl/>
        </w:rPr>
        <w:t xml:space="preserve">) </w:t>
      </w:r>
      <w:r w:rsidRPr="00A32FC0">
        <w:rPr>
          <w:rFonts w:hint="cs"/>
          <w:rtl/>
          <w:lang w:bidi="ar-LB"/>
        </w:rPr>
        <w:t>ـ والتعيين هو علاقة الحاكم</w:t>
      </w:r>
      <w:r w:rsidR="00315620">
        <w:rPr>
          <w:rFonts w:hint="cs"/>
          <w:rtl/>
          <w:lang w:bidi="ar-LB"/>
        </w:rPr>
        <w:t xml:space="preserve"> الديني بالشارع</w:t>
      </w:r>
      <w:r w:rsidRPr="00A32FC0">
        <w:rPr>
          <w:rFonts w:hint="cs"/>
          <w:rtl/>
          <w:lang w:bidi="ar-LB"/>
        </w:rPr>
        <w:t xml:space="preserve"> </w:t>
      </w:r>
      <w:r w:rsidR="0043005B">
        <w:rPr>
          <w:rFonts w:hint="cs"/>
          <w:rtl/>
          <w:lang w:bidi="ar-LB"/>
        </w:rPr>
        <w:t>وهو في الحكومة الدينية فقيه له ولاية ـ والفقاهة اهم شرط في الحاكم في الحكومة الولائية ـ</w:t>
      </w:r>
      <w:r w:rsidRPr="00A32FC0">
        <w:rPr>
          <w:rFonts w:hint="cs"/>
          <w:rtl/>
          <w:lang w:bidi="ar-LB"/>
        </w:rPr>
        <w:t xml:space="preserve">، وهو القادر على تشخيص ورعاية مصلحة الناس أفضل من الناس أنفسهم. </w:t>
      </w:r>
    </w:p>
    <w:p w:rsidR="00EA09EB" w:rsidRPr="00A32FC0" w:rsidRDefault="00EA09EB" w:rsidP="00EA09EB">
      <w:pPr>
        <w:rPr>
          <w:rtl/>
          <w:lang w:bidi="ar-LB"/>
        </w:rPr>
      </w:pPr>
      <w:r w:rsidRPr="00A32FC0">
        <w:rPr>
          <w:rFonts w:hint="cs"/>
          <w:rtl/>
          <w:lang w:bidi="ar-LB"/>
        </w:rPr>
        <w:t>ومن وجهة نظر القائلين بالحكومة الولائية:</w:t>
      </w:r>
    </w:p>
    <w:p w:rsidR="00EA09EB" w:rsidRPr="00EA09EB" w:rsidRDefault="00EA09EB" w:rsidP="00C03247">
      <w:pPr>
        <w:pStyle w:val="Normal84"/>
        <w:rPr>
          <w:rtl/>
        </w:rPr>
      </w:pPr>
      <w:r w:rsidRPr="007A340E">
        <w:rPr>
          <w:rFonts w:hint="cs"/>
          <w:b/>
          <w:bCs/>
          <w:rtl/>
        </w:rPr>
        <w:t>أولاً</w:t>
      </w:r>
      <w:r w:rsidRPr="00EA09EB">
        <w:rPr>
          <w:rFonts w:hint="cs"/>
          <w:rtl/>
        </w:rPr>
        <w:t>: لا يمكن إدارة المجتمع بدون الولاية. لذلك فإن الحكومة الوحيدة الحقّة التي يمكن تصوّرها هي الحكومة الولائية. وبعبارة أخرى: ليس للحكومة الدينية سوى مصداق واحد، وهو الحكومة الولائية.</w:t>
      </w:r>
    </w:p>
    <w:p w:rsidR="00EA09EB" w:rsidRPr="00EA09EB" w:rsidRDefault="00EA09EB" w:rsidP="00C03247">
      <w:pPr>
        <w:pStyle w:val="Normal87"/>
        <w:rPr>
          <w:rtl/>
        </w:rPr>
      </w:pPr>
      <w:r w:rsidRPr="007A340E">
        <w:rPr>
          <w:rFonts w:hint="cs"/>
          <w:b/>
          <w:bCs/>
          <w:rtl/>
        </w:rPr>
        <w:t>ثانياً</w:t>
      </w:r>
      <w:r w:rsidRPr="00EA09EB">
        <w:rPr>
          <w:rFonts w:hint="cs"/>
          <w:rtl/>
        </w:rPr>
        <w:t>: إن المجتمع الذي لا تحكمه ولاية الفقيه سوف يحكمه الطاغوت</w:t>
      </w:r>
      <w:r w:rsidRPr="00064619">
        <w:rPr>
          <w:rFonts w:cs="Taher"/>
          <w:sz w:val="32"/>
          <w:vertAlign w:val="superscript"/>
          <w:rtl/>
        </w:rPr>
        <w:t>(</w:t>
      </w:r>
      <w:r w:rsidRPr="00064619">
        <w:rPr>
          <w:rStyle w:val="FootnoteReference"/>
          <w:rFonts w:cs="Taher"/>
          <w:sz w:val="32"/>
          <w:rtl/>
        </w:rPr>
        <w:footnoteReference w:id="289"/>
      </w:r>
      <w:r w:rsidRPr="00064619">
        <w:rPr>
          <w:rFonts w:cs="Taher"/>
          <w:sz w:val="32"/>
          <w:vertAlign w:val="superscript"/>
          <w:rtl/>
        </w:rPr>
        <w:t>)</w:t>
      </w:r>
      <w:r w:rsidRPr="00EA09EB">
        <w:rPr>
          <w:rFonts w:hint="cs"/>
          <w:rtl/>
        </w:rPr>
        <w:t>. وكل حاكم يحكم بدون تعيين أو إذنٍ من الشارع، حتّى لو كان مرضيّاً عنه من قبل المتديّنين في المجتمع، وكانت إدارته للمجتمع منسجمة مع أهداف الدين وأحكام الشرع، هو طاغوت.</w:t>
      </w:r>
    </w:p>
    <w:p w:rsidR="00EA09EB" w:rsidRPr="00A32FC0" w:rsidRDefault="00EA09EB" w:rsidP="00EA09EB">
      <w:pPr>
        <w:rPr>
          <w:rtl/>
          <w:lang w:bidi="ar-LB"/>
        </w:rPr>
      </w:pPr>
      <w:r w:rsidRPr="00A32FC0">
        <w:rPr>
          <w:rFonts w:hint="cs"/>
          <w:rtl/>
          <w:lang w:bidi="ar-LB"/>
        </w:rPr>
        <w:t>ولذلك فإن العالم ينقسم إلى قسمين:</w:t>
      </w:r>
    </w:p>
    <w:p w:rsidR="00EA09EB" w:rsidRPr="00EA09EB" w:rsidRDefault="00EA09EB" w:rsidP="007A340E">
      <w:pPr>
        <w:ind w:firstLine="283"/>
        <w:rPr>
          <w:rtl/>
        </w:rPr>
      </w:pPr>
      <w:r w:rsidRPr="007A340E">
        <w:rPr>
          <w:rFonts w:hint="cs"/>
          <w:b/>
          <w:bCs/>
          <w:rtl/>
        </w:rPr>
        <w:t>القسم الأوّل</w:t>
      </w:r>
      <w:r w:rsidRPr="00EA09EB">
        <w:rPr>
          <w:rFonts w:hint="cs"/>
          <w:rtl/>
        </w:rPr>
        <w:t xml:space="preserve">: ينضوي تحت ولاية الفقيه (الصيغة الشرعية الوحيدة للحكومة الدينية). </w:t>
      </w:r>
    </w:p>
    <w:p w:rsidR="00EA09EB" w:rsidRPr="00A32FC0" w:rsidRDefault="00EA09EB" w:rsidP="00EA09EB">
      <w:pPr>
        <w:rPr>
          <w:rtl/>
          <w:lang w:bidi="ar-LB"/>
        </w:rPr>
      </w:pPr>
      <w:r w:rsidRPr="00A32FC0">
        <w:rPr>
          <w:rFonts w:hint="cs"/>
          <w:b/>
          <w:bCs/>
          <w:rtl/>
          <w:lang w:bidi="ar-LB"/>
        </w:rPr>
        <w:t>القسم الثاني</w:t>
      </w:r>
      <w:r w:rsidRPr="00A32FC0">
        <w:rPr>
          <w:rFonts w:hint="cs"/>
          <w:rtl/>
          <w:lang w:bidi="ar-LB"/>
        </w:rPr>
        <w:t>: منضوٍ تحت ولاية الطاغوت.</w:t>
      </w:r>
    </w:p>
    <w:p w:rsidR="00EA09EB" w:rsidRPr="00EA09EB" w:rsidRDefault="00EA09EB" w:rsidP="00EA09EB">
      <w:pPr>
        <w:rPr>
          <w:rtl/>
        </w:rPr>
      </w:pPr>
      <w:r w:rsidRPr="00A32FC0">
        <w:rPr>
          <w:rFonts w:hint="cs"/>
          <w:rtl/>
          <w:lang w:bidi="ar-LB"/>
        </w:rPr>
        <w:t>ومن أهم القائلين بولاية الفقهاء العدول على المجتمع، بغضّ النظر عن سعة الولاية (ولاية عامّة أو ولاية مطلقة)، وبغضّ النظر أيضاً عن كيفية العلاقة بين الحاكم الديني والشارع (التعيين بالولاية، الولاية المطلقة من قِبَل المعصوم</w:t>
      </w:r>
      <w:r>
        <w:rPr>
          <w:rFonts w:hint="cs"/>
          <w:rtl/>
        </w:rPr>
        <w:t>×</w:t>
      </w:r>
      <w:r w:rsidRPr="00A32FC0">
        <w:rPr>
          <w:rFonts w:hint="cs"/>
          <w:rtl/>
          <w:lang w:bidi="ar-LB"/>
        </w:rPr>
        <w:t>، أو من باب جعل الحكم عل</w:t>
      </w:r>
      <w:r>
        <w:rPr>
          <w:rFonts w:hint="cs"/>
          <w:rtl/>
          <w:lang w:bidi="ar-LB"/>
        </w:rPr>
        <w:t>ى الموضوع)، هم: المحقِّق الكركي</w:t>
      </w:r>
      <w:r w:rsidRPr="00A32FC0">
        <w:rPr>
          <w:rFonts w:hint="cs"/>
          <w:rtl/>
          <w:lang w:bidi="ar-LB"/>
        </w:rPr>
        <w:t>، الملاّ أحمد النراقي، السيد المراغي (صاحب عناوين الأصول)، الشيخ محمد حسن النجفي (صاحب الجواهر)، الملا دربندي (صاحب خزائن الأحكام)، الشيخ رضا الهمداني في «مصباح الفقيه»، السيد بحر العلوم (صاحب بلغة الفقيه)، الشيخ النجفي في بحثه (في ولاية الحاكم الفقيه)، الشيخ عبد الله المامقاني في (رسالة هداية الأنام)، الميرزا النائيني في (تقريرات المكاسب)، الشيخ آل كاشف الغطاء في (الفردوس الأعلى)، السيد البروجردي،</w:t>
      </w:r>
      <w:r>
        <w:rPr>
          <w:rFonts w:hint="cs"/>
          <w:rtl/>
          <w:lang w:bidi="ar-LB"/>
        </w:rPr>
        <w:t xml:space="preserve"> السيد</w:t>
      </w:r>
      <w:r w:rsidRPr="00A32FC0">
        <w:rPr>
          <w:rFonts w:hint="cs"/>
          <w:rtl/>
          <w:lang w:bidi="ar-LB"/>
        </w:rPr>
        <w:t xml:space="preserve"> الخميني، السيد عبد الأعلى السبزواري في «مهذب الأحكام»، والسيد </w:t>
      </w:r>
      <w:r>
        <w:rPr>
          <w:rFonts w:hint="cs"/>
          <w:rtl/>
          <w:lang w:bidi="ar-LB"/>
        </w:rPr>
        <w:t>الگلپايگاني</w:t>
      </w:r>
      <w:r w:rsidRPr="00064619">
        <w:rPr>
          <w:rFonts w:cs="Taher"/>
          <w:vertAlign w:val="superscript"/>
          <w:rtl/>
          <w:lang w:bidi="ar-LB"/>
        </w:rPr>
        <w:t>(</w:t>
      </w:r>
      <w:r w:rsidRPr="00064619">
        <w:rPr>
          <w:rStyle w:val="FootnoteReference"/>
          <w:rFonts w:cs="Taher"/>
          <w:sz w:val="32"/>
          <w:rtl/>
          <w:lang w:bidi="ar-LB"/>
        </w:rPr>
        <w:footnoteReference w:id="290"/>
      </w:r>
      <w:r w:rsidRPr="00064619">
        <w:rPr>
          <w:rFonts w:cs="Taher"/>
          <w:vertAlign w:val="superscript"/>
          <w:rtl/>
          <w:lang w:bidi="ar-LB"/>
        </w:rPr>
        <w:t>)</w:t>
      </w:r>
      <w:r w:rsidRPr="00EA09EB">
        <w:rPr>
          <w:rFonts w:hint="cs"/>
          <w:rtl/>
        </w:rPr>
        <w:t>.</w:t>
      </w:r>
    </w:p>
    <w:p w:rsidR="00EA09EB" w:rsidRPr="00A32FC0" w:rsidRDefault="00EA09EB" w:rsidP="00C03247">
      <w:pPr>
        <w:pStyle w:val="Normal84"/>
        <w:rPr>
          <w:rtl/>
        </w:rPr>
      </w:pPr>
      <w:r w:rsidRPr="00A32FC0">
        <w:rPr>
          <w:rFonts w:hint="cs"/>
          <w:rtl/>
        </w:rPr>
        <w:t>2</w:t>
      </w:r>
      <w:r w:rsidRPr="00A32FC0">
        <w:rPr>
          <w:rtl/>
        </w:rPr>
        <w:t>ـ</w:t>
      </w:r>
      <w:r w:rsidRPr="00A32FC0">
        <w:rPr>
          <w:rFonts w:hint="cs"/>
          <w:rtl/>
        </w:rPr>
        <w:t xml:space="preserve"> هل تعتبر الولاية هي الرابط الوحيد بين الحاكم الديني والناس؟</w:t>
      </w:r>
    </w:p>
    <w:p w:rsidR="00EA09EB" w:rsidRPr="00A32FC0" w:rsidRDefault="00EA09EB" w:rsidP="00C03247">
      <w:pPr>
        <w:pStyle w:val="Normal87"/>
        <w:rPr>
          <w:rtl/>
        </w:rPr>
      </w:pPr>
      <w:r w:rsidRPr="00A32FC0">
        <w:rPr>
          <w:rFonts w:hint="cs"/>
          <w:rtl/>
        </w:rPr>
        <w:t xml:space="preserve">على مبنى المشروعية الإلهية المباشرة يمكن تصوُّر نحوَيْن </w:t>
      </w:r>
      <w:r w:rsidR="00DD2A48">
        <w:rPr>
          <w:rFonts w:hint="cs"/>
          <w:rtl/>
        </w:rPr>
        <w:t xml:space="preserve">آخرين </w:t>
      </w:r>
      <w:r w:rsidRPr="00A32FC0">
        <w:rPr>
          <w:rFonts w:hint="cs"/>
          <w:rtl/>
        </w:rPr>
        <w:t xml:space="preserve">من أنحاء </w:t>
      </w:r>
      <w:r w:rsidR="00DD2A48">
        <w:rPr>
          <w:rFonts w:hint="cs"/>
          <w:rtl/>
        </w:rPr>
        <w:t xml:space="preserve">علاقة </w:t>
      </w:r>
      <w:r w:rsidRPr="00A32FC0">
        <w:rPr>
          <w:rFonts w:hint="cs"/>
          <w:rtl/>
        </w:rPr>
        <w:t xml:space="preserve">الحاكم الديني مع الناس: </w:t>
      </w:r>
    </w:p>
    <w:p w:rsidR="00EA09EB" w:rsidRPr="00EA09EB" w:rsidRDefault="00EA09EB" w:rsidP="00C03247">
      <w:pPr>
        <w:pStyle w:val="Normal84"/>
        <w:rPr>
          <w:rtl/>
        </w:rPr>
      </w:pPr>
      <w:r w:rsidRPr="007A340E">
        <w:rPr>
          <w:rFonts w:hint="cs"/>
          <w:b/>
          <w:bCs/>
          <w:rtl/>
        </w:rPr>
        <w:t>الأوّل</w:t>
      </w:r>
      <w:r w:rsidRPr="00EA09EB">
        <w:rPr>
          <w:rFonts w:hint="cs"/>
          <w:rtl/>
        </w:rPr>
        <w:t xml:space="preserve">: جواز التصرف. </w:t>
      </w:r>
    </w:p>
    <w:p w:rsidR="00EA09EB" w:rsidRPr="00EA09EB" w:rsidRDefault="00EA09EB" w:rsidP="00C03247">
      <w:pPr>
        <w:pStyle w:val="Normal84"/>
        <w:rPr>
          <w:rtl/>
        </w:rPr>
      </w:pPr>
      <w:r w:rsidRPr="007A340E">
        <w:rPr>
          <w:rFonts w:hint="cs"/>
          <w:b/>
          <w:bCs/>
          <w:rtl/>
        </w:rPr>
        <w:t>والثاني</w:t>
      </w:r>
      <w:r w:rsidRPr="00EA09EB">
        <w:rPr>
          <w:rFonts w:hint="cs"/>
          <w:rtl/>
        </w:rPr>
        <w:t xml:space="preserve">: الإشراف. </w:t>
      </w:r>
    </w:p>
    <w:p w:rsidR="00EA09EB" w:rsidRPr="00A32FC0" w:rsidRDefault="00EA09EB" w:rsidP="00C03247">
      <w:pPr>
        <w:pStyle w:val="Normal87"/>
        <w:rPr>
          <w:rtl/>
        </w:rPr>
      </w:pPr>
      <w:r w:rsidRPr="00A32FC0">
        <w:rPr>
          <w:rFonts w:hint="cs"/>
          <w:rtl/>
        </w:rPr>
        <w:t>فعلى الرغم من أن الولاية تعتبر وجهة النظر الأهمّ عند الفقهاء فيما يخصّ العلاقة بين الحاكم الديني مع الناس، إلا أنّ هذه العلاقة لا تنحصر بها. والجدير بالذكر أن «القيمومة» لا ترسُم علاقة جديدة بين الحاكم الديني والناس. ومن وجهة نظر فقهية وحقوقية فإنّ «قيمومة الفقيه» هي عينها «ولاية الفقيه»</w:t>
      </w:r>
      <w:r>
        <w:rPr>
          <w:rFonts w:hint="cs"/>
          <w:rtl/>
        </w:rPr>
        <w:t>،</w:t>
      </w:r>
      <w:r w:rsidRPr="00A32FC0">
        <w:rPr>
          <w:rFonts w:hint="cs"/>
          <w:rtl/>
        </w:rPr>
        <w:t xml:space="preserve"> على الرغم من التفاوت الجذريّ بين هذه الأنحاء الثلاثة للعلاقة بين الحاكم الديني والناس. وهناك بعض الموارد التي تشترك فيها هذه الأنحاء، وهي:</w:t>
      </w:r>
    </w:p>
    <w:p w:rsidR="00EA09EB" w:rsidRPr="00EA09EB" w:rsidRDefault="00EA09EB" w:rsidP="007A340E">
      <w:pPr>
        <w:ind w:firstLine="283"/>
        <w:rPr>
          <w:rtl/>
        </w:rPr>
      </w:pPr>
      <w:r w:rsidRPr="007A340E">
        <w:rPr>
          <w:rFonts w:hint="cs"/>
          <w:b/>
          <w:bCs/>
          <w:rtl/>
        </w:rPr>
        <w:t>الأول</w:t>
      </w:r>
      <w:r w:rsidRPr="00EA09EB">
        <w:rPr>
          <w:rFonts w:hint="cs"/>
          <w:rtl/>
        </w:rPr>
        <w:t>: الحاكم الديني في الموارد الثلاثة هو «الفقيه». ففي أحدها الفقيه هو صاحب الولاية على الناس، وفي الثانية الفقيه هو المجاز شرعاً بالتصرف في دائرة الشؤون العامة، وفي الثالثة الفقيه هو المشرف العام على حسن إجراء الأمور الدينية في المجتمع.</w:t>
      </w:r>
    </w:p>
    <w:p w:rsidR="00EA09EB" w:rsidRPr="00EA09EB" w:rsidRDefault="00EA09EB" w:rsidP="007A340E">
      <w:pPr>
        <w:ind w:firstLine="283"/>
        <w:rPr>
          <w:rtl/>
        </w:rPr>
      </w:pPr>
      <w:r w:rsidRPr="007A340E">
        <w:rPr>
          <w:rFonts w:hint="cs"/>
          <w:b/>
          <w:bCs/>
          <w:rtl/>
        </w:rPr>
        <w:t>الثاني</w:t>
      </w:r>
      <w:r w:rsidRPr="00EA09EB">
        <w:rPr>
          <w:rFonts w:hint="cs"/>
          <w:rtl/>
        </w:rPr>
        <w:t>: دائرة الولاية، وجواز التصرُّف والإشراف، وهي كلّها «شؤون عامّة»، وليست مسائل شخصية، أو أموراً خصوصيّة.</w:t>
      </w:r>
    </w:p>
    <w:p w:rsidR="00EA09EB" w:rsidRPr="00EA09EB" w:rsidRDefault="00EA09EB" w:rsidP="007A340E">
      <w:pPr>
        <w:ind w:firstLine="283"/>
        <w:rPr>
          <w:rtl/>
        </w:rPr>
      </w:pPr>
      <w:r w:rsidRPr="007A340E">
        <w:rPr>
          <w:rFonts w:hint="cs"/>
          <w:b/>
          <w:bCs/>
          <w:rtl/>
        </w:rPr>
        <w:t>الثالث</w:t>
      </w:r>
      <w:r w:rsidRPr="00EA09EB">
        <w:rPr>
          <w:rFonts w:hint="cs"/>
          <w:rtl/>
        </w:rPr>
        <w:t>: العلاقة بين الحاكم الديني والشارع في الأنحاء الثلاثة هي «تعيين من قِبَل الشارع»، وليس (الانتخاب من قبل الناس). ففي أحدها الحاكم الديني وليٌّ على الناس، وفي الثانية هو المقام الوحيد الذي يجوز من خلاله التصرُّف في الشؤون العامة. وفي الثالثة هو المشرف العام على رعاية المقرَّرات والمناسبات الدينيّة في المجتمع.</w:t>
      </w:r>
    </w:p>
    <w:p w:rsidR="00EA09EB" w:rsidRPr="00EA09EB" w:rsidRDefault="00EA09EB" w:rsidP="007A340E">
      <w:pPr>
        <w:ind w:firstLine="283"/>
        <w:rPr>
          <w:rtl/>
        </w:rPr>
      </w:pPr>
      <w:r w:rsidRPr="007A340E">
        <w:rPr>
          <w:rFonts w:hint="cs"/>
          <w:b/>
          <w:bCs/>
          <w:rtl/>
        </w:rPr>
        <w:t>الرابع</w:t>
      </w:r>
      <w:r w:rsidRPr="00EA09EB">
        <w:rPr>
          <w:rFonts w:hint="cs"/>
          <w:rtl/>
        </w:rPr>
        <w:t>: إنّ وجهات النظر الثلاث كلّها تؤدّي إلى تحقُّق «الحكومة الدينية». والذي يضمن دينية الحكومة في النحو الأول من العلاقة هو ولاية الفقيه على الناس. وفي النحو الثاني هو جواز تصرُّف الفقيه في دائرة الشؤون العامّة. وفي النحو الثالث هو الإشراف العام للفقيه على تقنين وإجراء الأحكام. ومن الواضح في هذه الوجهات النظر الثلاث أن هاجس المراعاة الدقيقة لأحكام الشرع، والسعي لتحقيق الأهداف العليا للدين، هو هاجسٌ جِدّيٌّ، وهذا الهاجس لا يختصّ بالقائلين بالولاية.</w:t>
      </w:r>
    </w:p>
    <w:p w:rsidR="00EA09EB" w:rsidRPr="00A32FC0" w:rsidRDefault="00EA09EB" w:rsidP="00EA09EB">
      <w:pPr>
        <w:rPr>
          <w:rtl/>
          <w:lang w:bidi="ar-LB"/>
        </w:rPr>
      </w:pPr>
      <w:r w:rsidRPr="00A32FC0">
        <w:rPr>
          <w:rFonts w:hint="cs"/>
          <w:rtl/>
          <w:lang w:bidi="ar-LB"/>
        </w:rPr>
        <w:t xml:space="preserve">وإنْ كان هدفنا الأساسي في هذا البحث هو بيان وتوضيح الولاية، إلا أنّنا، ومن باب </w:t>
      </w:r>
      <w:r w:rsidRPr="00A32FC0">
        <w:rPr>
          <w:rFonts w:hint="cs"/>
          <w:rtl/>
        </w:rPr>
        <w:t>«</w:t>
      </w:r>
      <w:r w:rsidRPr="00A32FC0">
        <w:rPr>
          <w:rFonts w:hint="cs"/>
          <w:rtl/>
          <w:lang w:bidi="ar-LB"/>
        </w:rPr>
        <w:t>تُعرف الأشياء بأضدادها</w:t>
      </w:r>
      <w:r w:rsidRPr="00A32FC0">
        <w:rPr>
          <w:rFonts w:hint="cs"/>
          <w:rtl/>
        </w:rPr>
        <w:t>»</w:t>
      </w:r>
      <w:r w:rsidRPr="00A32FC0">
        <w:rPr>
          <w:rFonts w:hint="cs"/>
          <w:rtl/>
          <w:lang w:bidi="ar-LB"/>
        </w:rPr>
        <w:t xml:space="preserve">، نعتقد بأن أفضل الطرق للتعرّف على الولاية هو الاطلاع على الطرق البديلة والمخالفة لها. وسوف يجرّنا هذا البحث التطبيقي إلى تسليط الضوء على الكثير من خفايا بحث الولاية. ولذلك سوف نصبّ البحث في </w:t>
      </w:r>
      <w:r w:rsidRPr="00A32FC0">
        <w:rPr>
          <w:rFonts w:hint="cs"/>
          <w:rtl/>
        </w:rPr>
        <w:t>«</w:t>
      </w:r>
      <w:r w:rsidRPr="00A32FC0">
        <w:rPr>
          <w:rFonts w:hint="cs"/>
          <w:rtl/>
          <w:lang w:bidi="ar-LB"/>
        </w:rPr>
        <w:t>جواز تصرُّف الفقيه</w:t>
      </w:r>
      <w:r w:rsidRPr="00A32FC0">
        <w:rPr>
          <w:rFonts w:hint="cs"/>
          <w:rtl/>
        </w:rPr>
        <w:t>»</w:t>
      </w:r>
      <w:r w:rsidRPr="00A32FC0">
        <w:rPr>
          <w:rFonts w:hint="cs"/>
          <w:rtl/>
          <w:lang w:bidi="ar-LB"/>
        </w:rPr>
        <w:t xml:space="preserve"> و</w:t>
      </w:r>
      <w:r w:rsidRPr="00A32FC0">
        <w:rPr>
          <w:rFonts w:hint="cs"/>
          <w:rtl/>
        </w:rPr>
        <w:t>«</w:t>
      </w:r>
      <w:r w:rsidRPr="00A32FC0">
        <w:rPr>
          <w:rFonts w:hint="cs"/>
          <w:rtl/>
          <w:lang w:bidi="ar-LB"/>
        </w:rPr>
        <w:t>إشراف الفقيه</w:t>
      </w:r>
      <w:r w:rsidRPr="00A32FC0">
        <w:rPr>
          <w:rFonts w:hint="cs"/>
          <w:rtl/>
        </w:rPr>
        <w:t>»</w:t>
      </w:r>
      <w:r w:rsidRPr="00A32FC0">
        <w:rPr>
          <w:rFonts w:hint="cs"/>
          <w:rtl/>
          <w:lang w:bidi="ar-LB"/>
        </w:rPr>
        <w:t xml:space="preserve">، لكي نتوصَّل إلى صورة واضحة وشفافة لبحث </w:t>
      </w:r>
      <w:r w:rsidRPr="00A32FC0">
        <w:rPr>
          <w:rFonts w:hint="cs"/>
          <w:rtl/>
        </w:rPr>
        <w:t>«</w:t>
      </w:r>
      <w:r w:rsidRPr="00A32FC0">
        <w:rPr>
          <w:rFonts w:hint="cs"/>
          <w:rtl/>
          <w:lang w:bidi="ar-LB"/>
        </w:rPr>
        <w:t>ولاية الفقيه</w:t>
      </w:r>
      <w:r w:rsidRPr="00A32FC0">
        <w:rPr>
          <w:rFonts w:hint="cs"/>
          <w:rtl/>
        </w:rPr>
        <w:t>»</w:t>
      </w:r>
      <w:r w:rsidRPr="00A32FC0">
        <w:rPr>
          <w:rFonts w:hint="cs"/>
          <w:rtl/>
          <w:lang w:bidi="ar-LB"/>
        </w:rPr>
        <w:t>.</w:t>
      </w:r>
    </w:p>
    <w:p w:rsidR="00EA09EB" w:rsidRPr="00A32FC0" w:rsidRDefault="00EA09EB" w:rsidP="00EA09EB">
      <w:pPr>
        <w:rPr>
          <w:rtl/>
          <w:lang w:bidi="ar-LB"/>
        </w:rPr>
      </w:pPr>
      <w:r w:rsidRPr="00A32FC0">
        <w:rPr>
          <w:rFonts w:hint="cs"/>
          <w:rtl/>
          <w:lang w:bidi="ar-LB"/>
        </w:rPr>
        <w:t>وحيث إنّ الوليّ الفقيه هو الوحيد المجاز بالتصرُّف في دائرة الشؤون العامّة من جهة</w:t>
      </w:r>
      <w:r>
        <w:rPr>
          <w:rFonts w:hint="cs"/>
          <w:rtl/>
          <w:lang w:bidi="ar-LB"/>
        </w:rPr>
        <w:t>،</w:t>
      </w:r>
      <w:r w:rsidRPr="00A32FC0">
        <w:rPr>
          <w:rFonts w:hint="cs"/>
          <w:rtl/>
          <w:lang w:bidi="ar-LB"/>
        </w:rPr>
        <w:t xml:space="preserve"> ويتمتَّع بالإشراف الاستصوابيّ على جميع الشؤون العامّة من جهة أخرى</w:t>
      </w:r>
      <w:r>
        <w:rPr>
          <w:rFonts w:hint="cs"/>
          <w:rtl/>
          <w:lang w:bidi="ar-LB"/>
        </w:rPr>
        <w:t>،</w:t>
      </w:r>
      <w:r w:rsidRPr="00A32FC0">
        <w:rPr>
          <w:rFonts w:hint="cs"/>
          <w:rtl/>
          <w:lang w:bidi="ar-LB"/>
        </w:rPr>
        <w:t xml:space="preserve"> فليس مرادنا من جواز تصرُّف الفقيه وإشرافه الإشارة إلى بعض وظائف </w:t>
      </w:r>
      <w:r w:rsidRPr="00520202">
        <w:rPr>
          <w:rFonts w:hint="cs"/>
          <w:rtl/>
          <w:lang w:bidi="ar-LB"/>
        </w:rPr>
        <w:t>ومراتب ولاية الفقيه، وإنّما المراد كون نظريتَيْ (جواز تصرُّف الفقيه) و(إشراف الفقيه) بديلتَيْن عن نظرية ولاية الفقيه، ويكون المراد من جواز التصرُّف والإشراف هو جواز التصرُّف والإشراف</w:t>
      </w:r>
      <w:r w:rsidRPr="00A32FC0">
        <w:rPr>
          <w:rFonts w:hint="cs"/>
          <w:rtl/>
          <w:lang w:bidi="ar-LB"/>
        </w:rPr>
        <w:t xml:space="preserve"> من دون تحقُّق ولاية الفقيه. وبعبارة أخرى: إن القائلين بجواز تصرُّف الفقيه وإشراف الفقيه ينكرون ولاية الفقيه، ويعتقدون بأن الأدلة الشرعية المعتبرة لا تدلّ على ولاية الفقيه، وإنما تقتصر دلالتها على جواز التصرف، أو إشراف الفقيه، ليس أكثر.</w:t>
      </w:r>
    </w:p>
    <w:p w:rsidR="00EA09EB" w:rsidRPr="00A32FC0" w:rsidRDefault="00EA09EB" w:rsidP="00EA09EB">
      <w:pPr>
        <w:rPr>
          <w:rtl/>
          <w:lang w:bidi="ar-LB"/>
        </w:rPr>
      </w:pPr>
      <w:r w:rsidRPr="00A32FC0">
        <w:rPr>
          <w:rFonts w:hint="cs"/>
          <w:rtl/>
          <w:lang w:bidi="ar-LB"/>
        </w:rPr>
        <w:t>3</w:t>
      </w:r>
      <w:r w:rsidRPr="00A32FC0">
        <w:rPr>
          <w:rtl/>
          <w:lang w:bidi="ar-LB"/>
        </w:rPr>
        <w:t>ـ</w:t>
      </w:r>
      <w:r w:rsidRPr="00A32FC0">
        <w:rPr>
          <w:rFonts w:hint="cs"/>
          <w:rtl/>
          <w:lang w:bidi="ar-LB"/>
        </w:rPr>
        <w:t xml:space="preserve"> تُعَدّ نظرية جواز تصرف الفقيه من باب </w:t>
      </w:r>
      <w:r w:rsidRPr="00A32FC0">
        <w:rPr>
          <w:rFonts w:hint="cs"/>
          <w:rtl/>
        </w:rPr>
        <w:t>«</w:t>
      </w:r>
      <w:r w:rsidRPr="00A32FC0">
        <w:rPr>
          <w:rFonts w:hint="cs"/>
          <w:rtl/>
          <w:lang w:bidi="ar-LB"/>
        </w:rPr>
        <w:t>القدر المتيقَّن</w:t>
      </w:r>
      <w:r w:rsidRPr="00A32FC0">
        <w:rPr>
          <w:rFonts w:hint="cs"/>
          <w:rtl/>
        </w:rPr>
        <w:t>»</w:t>
      </w:r>
      <w:r w:rsidRPr="00A32FC0">
        <w:rPr>
          <w:rFonts w:hint="cs"/>
          <w:rtl/>
          <w:lang w:bidi="ar-LB"/>
        </w:rPr>
        <w:t xml:space="preserve"> واحدة من أنحاء العلاقة بين الحاكم الديني والناس. وجواز التصرف مرتبة ضعيفة من مراتب الولاية والقيمومة. ولذلك فإنّ صلاحيات الفقهاء العدول في نظرية جواز التصرُّف أكثر منها في نظرية إشراف الفقيه.</w:t>
      </w:r>
    </w:p>
    <w:p w:rsidR="00EA09EB" w:rsidRPr="00A32FC0" w:rsidRDefault="00EA09EB" w:rsidP="00EA09EB">
      <w:pPr>
        <w:rPr>
          <w:rtl/>
          <w:lang w:bidi="ar-LB"/>
        </w:rPr>
      </w:pPr>
      <w:r w:rsidRPr="00A32FC0">
        <w:rPr>
          <w:rFonts w:hint="cs"/>
          <w:rtl/>
          <w:lang w:bidi="ar-LB"/>
        </w:rPr>
        <w:t>وأركان هذه النظرية هي:</w:t>
      </w:r>
    </w:p>
    <w:p w:rsidR="00EA09EB" w:rsidRPr="00EA09EB" w:rsidRDefault="00EA09EB" w:rsidP="007A340E">
      <w:pPr>
        <w:ind w:firstLine="283"/>
        <w:rPr>
          <w:rtl/>
        </w:rPr>
      </w:pPr>
      <w:r w:rsidRPr="007A340E">
        <w:rPr>
          <w:rFonts w:hint="cs"/>
          <w:b/>
          <w:bCs/>
          <w:rtl/>
        </w:rPr>
        <w:t>الأول</w:t>
      </w:r>
      <w:r w:rsidRPr="00EA09EB">
        <w:rPr>
          <w:rFonts w:hint="cs"/>
          <w:rtl/>
        </w:rPr>
        <w:t>: لا يمكن إثبات ولاية الفقيه بالأدلّة الشرعيّة، حتى في الأمور الحسبيّة. ولا يوجد أيّ دليل شرعيّ لفظيّ يثبت تعيين الفقهاء العدول على الناس من قبل الشارع</w:t>
      </w:r>
      <w:r w:rsidRPr="00064619">
        <w:rPr>
          <w:rFonts w:cs="Taher"/>
          <w:sz w:val="32"/>
          <w:vertAlign w:val="superscript"/>
          <w:rtl/>
          <w:lang w:bidi="ar-LB"/>
        </w:rPr>
        <w:t>(</w:t>
      </w:r>
      <w:r w:rsidRPr="00064619">
        <w:rPr>
          <w:rStyle w:val="FootnoteReference"/>
          <w:rFonts w:cs="Taher"/>
          <w:sz w:val="32"/>
          <w:rtl/>
          <w:lang w:bidi="ar-LB"/>
        </w:rPr>
        <w:footnoteReference w:id="291"/>
      </w:r>
      <w:r w:rsidRPr="00064619">
        <w:rPr>
          <w:rFonts w:cs="Taher"/>
          <w:sz w:val="32"/>
          <w:vertAlign w:val="superscript"/>
          <w:rtl/>
          <w:lang w:bidi="ar-LB"/>
        </w:rPr>
        <w:t>)</w:t>
      </w:r>
      <w:r w:rsidRPr="00EA09EB">
        <w:rPr>
          <w:rFonts w:hint="cs"/>
          <w:rtl/>
        </w:rPr>
        <w:t>.</w:t>
      </w:r>
    </w:p>
    <w:p w:rsidR="00EA09EB" w:rsidRPr="00EA09EB" w:rsidRDefault="00EA09EB" w:rsidP="00C03247">
      <w:pPr>
        <w:pStyle w:val="Normal87"/>
        <w:rPr>
          <w:rtl/>
        </w:rPr>
      </w:pPr>
      <w:r w:rsidRPr="007A340E">
        <w:rPr>
          <w:rFonts w:hint="cs"/>
          <w:b/>
          <w:bCs/>
          <w:rtl/>
        </w:rPr>
        <w:t>الثاني</w:t>
      </w:r>
      <w:r w:rsidRPr="00EA09EB">
        <w:rPr>
          <w:rFonts w:hint="cs"/>
          <w:rtl/>
        </w:rPr>
        <w:t>: هناك بعض الأمور في المجتمع التي نحرز فيها عدم رضاية الشارع بتركها تحت أيّ شرط أو ظرف، وليست هذه الأمور أيضاً من الواجبات الكفائية التي يستطيع أيّ مكلَّف القيام بها، هذا أولاً. وثانياً إنّه في ما يخصّ غير الفقيه لا يوجد أيّ دليل معتبر يدلّ على جواز تصرُّفه، ولذلك فإنّ القدر المتيقَّن من الأشخاص الذين يجوز لهم التصرُّف في الأمور الحسبيّة هم الفقهاء العدول</w:t>
      </w:r>
      <w:r w:rsidRPr="00064619">
        <w:rPr>
          <w:rFonts w:cs="Taher"/>
          <w:sz w:val="32"/>
          <w:vertAlign w:val="superscript"/>
          <w:rtl/>
        </w:rPr>
        <w:t>(</w:t>
      </w:r>
      <w:r w:rsidRPr="00064619">
        <w:rPr>
          <w:rStyle w:val="FootnoteReference"/>
          <w:rFonts w:cs="Taher"/>
          <w:sz w:val="32"/>
          <w:rtl/>
        </w:rPr>
        <w:footnoteReference w:id="292"/>
      </w:r>
      <w:r w:rsidRPr="00064619">
        <w:rPr>
          <w:rFonts w:cs="Taher"/>
          <w:sz w:val="32"/>
          <w:vertAlign w:val="superscript"/>
          <w:rtl/>
        </w:rPr>
        <w:t>)</w:t>
      </w:r>
      <w:r w:rsidRPr="00EA09EB">
        <w:rPr>
          <w:rFonts w:hint="cs"/>
          <w:rtl/>
        </w:rPr>
        <w:t>. وليس جواز التصرُّف هذا من باب الولاية. ولا ولاية للفقهاء العدول في الأمور الحسبية وما فوقها.</w:t>
      </w:r>
    </w:p>
    <w:p w:rsidR="00EA09EB" w:rsidRPr="00A32FC0" w:rsidRDefault="00EA09EB" w:rsidP="00C03247">
      <w:pPr>
        <w:pStyle w:val="Normal87"/>
        <w:rPr>
          <w:rtl/>
        </w:rPr>
      </w:pPr>
      <w:r w:rsidRPr="00A32FC0">
        <w:rPr>
          <w:rFonts w:hint="cs"/>
          <w:b/>
          <w:bCs/>
          <w:rtl/>
        </w:rPr>
        <w:t>الثالث</w:t>
      </w:r>
      <w:r w:rsidRPr="00EA09EB">
        <w:rPr>
          <w:rFonts w:hint="cs"/>
          <w:rtl/>
        </w:rPr>
        <w:t>: تُعَدّ الحكومة والسلطة السياسية على المجتمع من الأمور الحسبية</w:t>
      </w:r>
      <w:r w:rsidRPr="00064619">
        <w:rPr>
          <w:rFonts w:cs="Taher"/>
          <w:vertAlign w:val="superscript"/>
          <w:rtl/>
        </w:rPr>
        <w:t>(</w:t>
      </w:r>
      <w:r w:rsidRPr="00064619">
        <w:rPr>
          <w:rStyle w:val="FootnoteReference"/>
          <w:rFonts w:cs="Taher"/>
          <w:sz w:val="32"/>
          <w:rtl/>
        </w:rPr>
        <w:footnoteReference w:id="293"/>
      </w:r>
      <w:r w:rsidRPr="00064619">
        <w:rPr>
          <w:rFonts w:cs="Taher"/>
          <w:vertAlign w:val="superscript"/>
          <w:rtl/>
        </w:rPr>
        <w:t>)</w:t>
      </w:r>
      <w:r w:rsidRPr="00EA09EB">
        <w:rPr>
          <w:rFonts w:hint="cs"/>
          <w:rtl/>
        </w:rPr>
        <w:t>، بمعنى أن إقامة حكومة دينية قادرة يضمن حفظ قسم هامّ من المصالح الإسلامية والأحكام الشرعية، بحيث إنْ لم يكن هناك حكومة إسلامية فلن تتمّ مراعاة هذه المصالح والأحكام</w:t>
      </w:r>
      <w:r w:rsidRPr="00064619">
        <w:rPr>
          <w:rFonts w:cs="Taher"/>
          <w:vertAlign w:val="superscript"/>
          <w:rtl/>
        </w:rPr>
        <w:t>(</w:t>
      </w:r>
      <w:r w:rsidRPr="00064619">
        <w:rPr>
          <w:rStyle w:val="FootnoteReference"/>
          <w:rFonts w:cs="Taher"/>
          <w:sz w:val="32"/>
          <w:rtl/>
        </w:rPr>
        <w:footnoteReference w:id="294"/>
      </w:r>
      <w:r w:rsidRPr="00064619">
        <w:rPr>
          <w:rFonts w:cs="Taher"/>
          <w:vertAlign w:val="superscript"/>
          <w:rtl/>
        </w:rPr>
        <w:t>)</w:t>
      </w:r>
      <w:r w:rsidRPr="00A32FC0">
        <w:rPr>
          <w:rFonts w:hint="cs"/>
          <w:rtl/>
        </w:rPr>
        <w:t xml:space="preserve">. </w:t>
      </w:r>
    </w:p>
    <w:p w:rsidR="00EA09EB" w:rsidRPr="00EA09EB" w:rsidRDefault="00EA09EB" w:rsidP="00C03247">
      <w:pPr>
        <w:pStyle w:val="Normal87"/>
        <w:rPr>
          <w:rtl/>
        </w:rPr>
      </w:pPr>
      <w:r w:rsidRPr="00A32FC0">
        <w:rPr>
          <w:rFonts w:hint="cs"/>
          <w:rtl/>
        </w:rPr>
        <w:t xml:space="preserve">إنّ أكثر القائلين بجواز تصرُّف الفقيه، كالقائلين بولاية الفقيه في الأمور الحسبية، كانوا يعتقدون أن دائرة الأمور الحسبية محصورة بموارد خاصّة وجزئيّة، من قبيل: إعالة من لا معيل له، والتصدّي للأوقاف العامّة، وما شابه ذلك. إلاّ أن بعض الفقهاء المعاصرين </w:t>
      </w:r>
      <w:r w:rsidRPr="00A32FC0">
        <w:rPr>
          <w:rtl/>
        </w:rPr>
        <w:t>ـ</w:t>
      </w:r>
      <w:r w:rsidRPr="00A32FC0">
        <w:rPr>
          <w:rFonts w:hint="cs"/>
          <w:rtl/>
        </w:rPr>
        <w:t xml:space="preserve"> بملاحظة ضوابط الأمور الحسبية </w:t>
      </w:r>
      <w:r w:rsidRPr="00A32FC0">
        <w:rPr>
          <w:rtl/>
        </w:rPr>
        <w:t>ـ</w:t>
      </w:r>
      <w:r w:rsidRPr="00A32FC0">
        <w:rPr>
          <w:rFonts w:hint="cs"/>
          <w:rtl/>
        </w:rPr>
        <w:t xml:space="preserve"> يعتقدون أن أهمّ مصداق من مصاديق الأمور الحسبية هو إدارة المجتمع: «إن الشارع لا يرضى بتصدّي الظالم الفاسق لأمور المسلمين... على المسلمين قطع أيدي الظلمة عن المؤمنين وبلادهم، مع التمكن... لا ينبغي الريب في أن تهيئة الأمن للمؤمنين... من أهمّ مصالحهم. والمعلوم وجوب المحافظة عليها، وأن ذلك مطلوب للشارع، فإنْ تصدّى شخص صالح لذلك بحيث يُعلم رضا الشارع بتصدّيه، كما إذا كان فقيهاً عادلاً، أو شخصاً صالحاً مأذوناً من الفقيه العادل، فلا يجوز للغير تضعيفه والتصدّي لإسقاطه عن القدرة...، بل يجب على الآخرين مساعدته، وتمكينه من أداء مهمته...»</w:t>
      </w:r>
      <w:r w:rsidRPr="00064619">
        <w:rPr>
          <w:rFonts w:cs="Taher"/>
          <w:vertAlign w:val="superscript"/>
          <w:rtl/>
        </w:rPr>
        <w:t>(</w:t>
      </w:r>
      <w:r w:rsidRPr="00064619">
        <w:rPr>
          <w:rStyle w:val="FootnoteReference"/>
          <w:rFonts w:cs="Taher"/>
          <w:sz w:val="32"/>
          <w:rtl/>
        </w:rPr>
        <w:footnoteReference w:id="295"/>
      </w:r>
      <w:r w:rsidRPr="00064619">
        <w:rPr>
          <w:rFonts w:cs="Taher"/>
          <w:vertAlign w:val="superscript"/>
          <w:rtl/>
        </w:rPr>
        <w:t>)</w:t>
      </w:r>
      <w:r w:rsidRPr="00EA09EB">
        <w:rPr>
          <w:rFonts w:hint="cs"/>
          <w:rtl/>
        </w:rPr>
        <w:t>.</w:t>
      </w:r>
    </w:p>
    <w:p w:rsidR="00EA09EB" w:rsidRPr="00A32FC0" w:rsidRDefault="00EA09EB" w:rsidP="00C03247">
      <w:pPr>
        <w:pStyle w:val="Normal87"/>
        <w:rPr>
          <w:rtl/>
        </w:rPr>
      </w:pPr>
      <w:r w:rsidRPr="00A32FC0">
        <w:rPr>
          <w:rFonts w:hint="cs"/>
          <w:rtl/>
        </w:rPr>
        <w:t>4</w:t>
      </w:r>
      <w:r w:rsidRPr="00A32FC0">
        <w:rPr>
          <w:rtl/>
        </w:rPr>
        <w:t>ـ</w:t>
      </w:r>
      <w:r w:rsidRPr="00A32FC0">
        <w:rPr>
          <w:rFonts w:hint="cs"/>
          <w:rtl/>
        </w:rPr>
        <w:t xml:space="preserve"> الموارد التي تفترق فيها نظرية جواز تصرّف الفقيه عن نظرية ولاية الفقيه هي: </w:t>
      </w:r>
    </w:p>
    <w:p w:rsidR="00EA09EB" w:rsidRPr="00EA09EB" w:rsidRDefault="00EA09EB" w:rsidP="00C03247">
      <w:pPr>
        <w:pStyle w:val="Normal84"/>
        <w:rPr>
          <w:rtl/>
        </w:rPr>
      </w:pPr>
      <w:r w:rsidRPr="007A340E">
        <w:rPr>
          <w:rFonts w:hint="cs"/>
          <w:b/>
          <w:bCs/>
          <w:rtl/>
        </w:rPr>
        <w:t>الأوّل</w:t>
      </w:r>
      <w:r w:rsidRPr="00EA09EB">
        <w:rPr>
          <w:rFonts w:hint="cs"/>
          <w:rtl/>
        </w:rPr>
        <w:t>: إن جواز تصرّف الفقيه مقيَّد بحدود الضرورة؛ وذلك لأنّ ما هو خارج هذه الحدود، حتّى لو كان فيه مصلحة، لم يدلّ الدليل على أنه من الأمور الحسبيّة التي لا يرضى الشارع بتركها</w:t>
      </w:r>
      <w:r w:rsidRPr="00064619">
        <w:rPr>
          <w:rFonts w:cs="Taher"/>
          <w:sz w:val="32"/>
          <w:vertAlign w:val="superscript"/>
          <w:rtl/>
        </w:rPr>
        <w:t>(</w:t>
      </w:r>
      <w:r w:rsidRPr="00064619">
        <w:rPr>
          <w:rStyle w:val="FootnoteReference"/>
          <w:rFonts w:cs="Taher"/>
          <w:sz w:val="32"/>
          <w:rtl/>
        </w:rPr>
        <w:footnoteReference w:id="296"/>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بينما يعتبر الضابط في ولاية الفقيه هو المصلحة. ودائرة المصلحة في المجتمع الإسلامي هي أوسع بكثير من دائرة الضرورة فيه؛ فإن الكثير من الأمور الاجتماعية وإنْ كانت تصبّ في إطار المصلحة العامة، إلاّ أنها لا تعدّ ضرورة.</w:t>
      </w:r>
    </w:p>
    <w:p w:rsidR="00EA09EB" w:rsidRPr="00EA09EB" w:rsidRDefault="00EA09EB" w:rsidP="007A340E">
      <w:pPr>
        <w:ind w:firstLine="283"/>
        <w:rPr>
          <w:rtl/>
        </w:rPr>
      </w:pPr>
      <w:r w:rsidRPr="007A340E">
        <w:rPr>
          <w:rFonts w:hint="cs"/>
          <w:b/>
          <w:bCs/>
          <w:rtl/>
        </w:rPr>
        <w:t>الثاني</w:t>
      </w:r>
      <w:r w:rsidRPr="00EA09EB">
        <w:rPr>
          <w:rFonts w:hint="cs"/>
          <w:rtl/>
        </w:rPr>
        <w:t>: إن تشخيص مورد من موارد الشؤون العامة، وهل ينضوي تحت الأمور الحسبية أم لا؟ هو بعهدة الناس في نظرية جواز تصرُّف الفقيه. وفي حال وقوع اختلاف في التطبيق بين الحكومة والناس فإن الطاعة ليست واجبة على الناس، إلاّ إذا أدى ذلك إلى إضعاف النظام، فعند ذلك تجب الطاعة من باب عناوين أخرى</w:t>
      </w:r>
      <w:r w:rsidRPr="00064619">
        <w:rPr>
          <w:rFonts w:cs="Taher"/>
          <w:sz w:val="32"/>
          <w:vertAlign w:val="superscript"/>
          <w:rtl/>
          <w:lang w:bidi="ar-LB"/>
        </w:rPr>
        <w:t>(</w:t>
      </w:r>
      <w:r w:rsidRPr="00064619">
        <w:rPr>
          <w:rStyle w:val="FootnoteReference"/>
          <w:rFonts w:cs="Taher"/>
          <w:sz w:val="32"/>
          <w:rtl/>
          <w:lang w:bidi="ar-LB"/>
        </w:rPr>
        <w:footnoteReference w:id="297"/>
      </w:r>
      <w:r w:rsidRPr="00064619">
        <w:rPr>
          <w:rFonts w:cs="Taher"/>
          <w:sz w:val="32"/>
          <w:vertAlign w:val="superscript"/>
          <w:rtl/>
          <w:lang w:bidi="ar-LB"/>
        </w:rPr>
        <w:t>)</w:t>
      </w:r>
      <w:r w:rsidRPr="00EA09EB">
        <w:rPr>
          <w:rFonts w:hint="cs"/>
          <w:rtl/>
        </w:rPr>
        <w:t xml:space="preserve">. </w:t>
      </w:r>
    </w:p>
    <w:p w:rsidR="00EA09EB" w:rsidRPr="00A32FC0" w:rsidRDefault="00EA09EB" w:rsidP="00EA09EB">
      <w:pPr>
        <w:rPr>
          <w:rtl/>
          <w:lang w:bidi="ar-LB"/>
        </w:rPr>
      </w:pPr>
      <w:r w:rsidRPr="00A32FC0">
        <w:rPr>
          <w:rFonts w:hint="cs"/>
          <w:rtl/>
          <w:lang w:bidi="ar-LB"/>
        </w:rPr>
        <w:t>وأمّا في نظرية ولاية الفقيه فإن جميع ما يختص بالشؤون العامة ينضوي تحت ولاية الفقيه. ولا يجوز التصرُّف في هذه الدائرة إلا بإذن الوليّ الفقيه، وفي حال وقوع اختلاف في التطبيق بين الحكومة وبين أتباع هذه النظرية يقدَّم قول الحكومة، وتجب الطاعة على الناس.</w:t>
      </w:r>
    </w:p>
    <w:p w:rsidR="00EA09EB" w:rsidRPr="00EA09EB" w:rsidRDefault="00EA09EB" w:rsidP="00C03247">
      <w:pPr>
        <w:pStyle w:val="Normal87"/>
        <w:rPr>
          <w:rtl/>
        </w:rPr>
      </w:pPr>
      <w:r w:rsidRPr="007A340E">
        <w:rPr>
          <w:rFonts w:hint="cs"/>
          <w:b/>
          <w:bCs/>
          <w:rtl/>
        </w:rPr>
        <w:t>الثالث</w:t>
      </w:r>
      <w:r w:rsidRPr="00EA09EB">
        <w:rPr>
          <w:rFonts w:hint="cs"/>
          <w:rtl/>
        </w:rPr>
        <w:t xml:space="preserve">: بناءً على نظرية جواز التصرُّف فإن الحاكم والقيِّم المعيَّن من قبل الفقيه ينعزل بموت الفقيه. </w:t>
      </w:r>
    </w:p>
    <w:p w:rsidR="00EA09EB" w:rsidRPr="00A32FC0" w:rsidRDefault="00EA09EB" w:rsidP="00C03247">
      <w:pPr>
        <w:pStyle w:val="Normal87"/>
        <w:rPr>
          <w:rtl/>
        </w:rPr>
      </w:pPr>
      <w:r w:rsidRPr="00A32FC0">
        <w:rPr>
          <w:rFonts w:hint="cs"/>
          <w:rtl/>
        </w:rPr>
        <w:t xml:space="preserve">وأمّا بناءً على نظرية ولاية الفقيه فإن المعيَّنين من قِبَل الوليّ الفقيه لا ينعزلون بموته ما لم يتمّ عزلهم من قبل الفقيه اللاحق. </w:t>
      </w:r>
    </w:p>
    <w:p w:rsidR="00EA09EB" w:rsidRPr="00EA09EB" w:rsidRDefault="00EA09EB" w:rsidP="00C03247">
      <w:pPr>
        <w:pStyle w:val="Normal87"/>
        <w:rPr>
          <w:rtl/>
        </w:rPr>
      </w:pPr>
      <w:r w:rsidRPr="00EA09EB">
        <w:rPr>
          <w:rFonts w:hint="cs"/>
          <w:rtl/>
        </w:rPr>
        <w:t>كما أنه من الواضح في كلتا النظريتين أن المأذون والوكيل من قِبَل الفقيه ينعزلان بموتهما</w:t>
      </w:r>
      <w:r w:rsidRPr="00064619">
        <w:rPr>
          <w:rFonts w:cs="Taher"/>
          <w:sz w:val="32"/>
          <w:vertAlign w:val="superscript"/>
          <w:rtl/>
        </w:rPr>
        <w:t>(</w:t>
      </w:r>
      <w:r w:rsidRPr="00064619">
        <w:rPr>
          <w:rStyle w:val="FootnoteReference"/>
          <w:rFonts w:cs="Taher"/>
          <w:sz w:val="32"/>
          <w:rtl/>
        </w:rPr>
        <w:footnoteReference w:id="298"/>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w:t>
      </w:r>
      <w:r>
        <w:rPr>
          <w:rFonts w:hint="cs"/>
          <w:rtl/>
          <w:lang w:bidi="ar-LB"/>
        </w:rPr>
        <w:t>لا بُدَّ</w:t>
      </w:r>
      <w:r w:rsidRPr="00A32FC0">
        <w:rPr>
          <w:rFonts w:hint="cs"/>
          <w:rtl/>
          <w:lang w:bidi="ar-LB"/>
        </w:rPr>
        <w:t xml:space="preserve"> من الإشارة إلى أنّ تدبير الشؤون العامة في كلتا النظريتين هو من حقّ الفقهاء العدول، ولا يَحُقّ لأحد أن يتعرَّض للفقيه المتصدّي في هذا الشأن. </w:t>
      </w:r>
    </w:p>
    <w:p w:rsidR="00EA09EB" w:rsidRPr="00A32FC0" w:rsidRDefault="00EA09EB" w:rsidP="00EA09EB">
      <w:pPr>
        <w:rPr>
          <w:rtl/>
          <w:lang w:bidi="ar-LB"/>
        </w:rPr>
      </w:pPr>
      <w:r w:rsidRPr="00A32FC0">
        <w:rPr>
          <w:rFonts w:hint="cs"/>
          <w:rtl/>
          <w:lang w:bidi="ar-LB"/>
        </w:rPr>
        <w:t>إن نظرية جواز التصرُّف محاطة بكثير من الإبهام</w:t>
      </w:r>
      <w:r>
        <w:rPr>
          <w:rFonts w:hint="cs"/>
          <w:rtl/>
          <w:lang w:bidi="ar-LB"/>
        </w:rPr>
        <w:t>،</w:t>
      </w:r>
      <w:r w:rsidRPr="00A32FC0">
        <w:rPr>
          <w:rFonts w:hint="cs"/>
          <w:rtl/>
          <w:lang w:bidi="ar-LB"/>
        </w:rPr>
        <w:t xml:space="preserve"> ما يجعلها تواجه العديد من الأسئلة الجِدّيّة حول قدرتها على إدارة المجتمع.</w:t>
      </w:r>
    </w:p>
    <w:p w:rsidR="007A340E" w:rsidRDefault="00EA09EB" w:rsidP="007A340E">
      <w:pPr>
        <w:pStyle w:val="Heading2"/>
        <w:jc w:val="center"/>
        <w:rPr>
          <w:rtl/>
        </w:rPr>
      </w:pPr>
      <w:r w:rsidRPr="00EA09EB">
        <w:rPr>
          <w:rtl/>
        </w:rPr>
        <w:br w:type="page"/>
      </w:r>
    </w:p>
    <w:p w:rsidR="007A340E" w:rsidRDefault="007A340E" w:rsidP="007A340E">
      <w:pPr>
        <w:rPr>
          <w:rtl/>
          <w:lang w:bidi="ar-LB"/>
        </w:rPr>
        <w:sectPr w:rsidR="007A340E" w:rsidSect="009003FC">
          <w:headerReference w:type="even" r:id="rId33"/>
          <w:headerReference w:type="default" r:id="rId34"/>
          <w:headerReference w:type="first" r:id="rId35"/>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42" w:name="_Toc413658825"/>
      <w:r w:rsidRPr="00E2207F">
        <w:rPr>
          <w:rFonts w:hint="cs"/>
          <w:rtl/>
          <w:lang w:bidi="ar-LB"/>
        </w:rPr>
        <w:t xml:space="preserve">الفصل التاسع: إشراف </w:t>
      </w:r>
      <w:r w:rsidRPr="007A340E">
        <w:rPr>
          <w:rFonts w:hint="cs"/>
          <w:rtl/>
        </w:rPr>
        <w:t>الفقيه</w:t>
      </w:r>
      <w:bookmarkEnd w:id="42"/>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النحو الثالث من أنحاء العلاقة بين الحاكم الديني والناس هو </w:t>
      </w:r>
      <w:r w:rsidRPr="00A32FC0">
        <w:rPr>
          <w:rFonts w:hint="cs"/>
          <w:rtl/>
        </w:rPr>
        <w:t>«</w:t>
      </w:r>
      <w:r w:rsidRPr="00A32FC0">
        <w:rPr>
          <w:rFonts w:hint="cs"/>
          <w:rtl/>
          <w:lang w:bidi="ar-LB"/>
        </w:rPr>
        <w:t>إشراف الفقيه</w:t>
      </w:r>
      <w:r w:rsidRPr="00A32FC0">
        <w:rPr>
          <w:rFonts w:hint="cs"/>
          <w:rtl/>
        </w:rPr>
        <w:t>»</w:t>
      </w:r>
      <w:r w:rsidRPr="00A32FC0">
        <w:rPr>
          <w:rFonts w:hint="cs"/>
          <w:rtl/>
          <w:lang w:bidi="ar-LB"/>
        </w:rPr>
        <w:t>. في هذه النظرية حَلَّ إشراف الفقيه العام على تقنين وإجراء الأحكام مَحَلَّ الولاية التدبيرية للفقيه. وخصائص هذه النظرية هي على النحو الآتي:</w:t>
      </w:r>
    </w:p>
    <w:p w:rsidR="00EA09EB" w:rsidRPr="00EA09EB" w:rsidRDefault="00EA09EB" w:rsidP="007A340E">
      <w:pPr>
        <w:ind w:firstLine="283"/>
        <w:rPr>
          <w:rtl/>
        </w:rPr>
      </w:pPr>
      <w:r w:rsidRPr="007A340E">
        <w:rPr>
          <w:rFonts w:hint="cs"/>
          <w:b/>
          <w:bCs/>
          <w:rtl/>
        </w:rPr>
        <w:t>الأوّل</w:t>
      </w:r>
      <w:r w:rsidRPr="00EA09EB">
        <w:rPr>
          <w:rFonts w:hint="cs"/>
          <w:rtl/>
        </w:rPr>
        <w:t>: إن إدارة المجتمع، وتدبير الشؤون العامّة والحكومة والسياسة، ليست أموراً توقيفيّة وتعبُّديّة وتأسيسيّة، بل هي أمور عقلانية. والتجربة البشرية تلعب دوراً أساسياً في تطويرها. ولذلك فإنّ عملية التخطيط لإدارة المجتمع، وتدبير شؤون الناس، هي وظيفة المتخصِّصين وأصحاب الخبرة، وليست وظيفة الفقهاء.</w:t>
      </w:r>
    </w:p>
    <w:p w:rsidR="00EA09EB" w:rsidRPr="00EA09EB" w:rsidRDefault="00EA09EB" w:rsidP="007A340E">
      <w:pPr>
        <w:ind w:firstLine="283"/>
        <w:rPr>
          <w:rtl/>
        </w:rPr>
      </w:pPr>
      <w:r w:rsidRPr="007A340E">
        <w:rPr>
          <w:rFonts w:hint="cs"/>
          <w:b/>
          <w:bCs/>
          <w:rtl/>
        </w:rPr>
        <w:t>الثاني</w:t>
      </w:r>
      <w:r w:rsidRPr="00EA09EB">
        <w:rPr>
          <w:rFonts w:hint="cs"/>
          <w:rtl/>
        </w:rPr>
        <w:t>: في المجتمعات التي يشكِّل المسلمون الأكثرية فيها فإنّ الإشراف العام للفقهاء العدول على الحكومة يضمن إسلاميّة الحكومة، وعدم معارضة القوانين الشرعية، وانسجام السياسات العامّة للحكومة مع الأهداف العليا للدين. ومع أن الحكومة في هذه النظرية ليست بيد الفقهاء، إلاّ أنّ علماء الدين، وفقهاء الأمّة، يشرفون على جميع أمور المجتمع الهامّة، بحيث لا يسمحون بوقوع أيّ مخالفة للشريعة. فهم يتمتَّعون بحقّ التحقيق والمساءلة، وباستطاعتهم ردّ كلّ ما هو مخالف للشريعة.</w:t>
      </w:r>
    </w:p>
    <w:p w:rsidR="00EA09EB" w:rsidRPr="00A32FC0" w:rsidRDefault="00EA09EB" w:rsidP="00EA09EB">
      <w:pPr>
        <w:rPr>
          <w:rtl/>
          <w:lang w:bidi="ar-LB"/>
        </w:rPr>
      </w:pPr>
      <w:r w:rsidRPr="00A32FC0">
        <w:rPr>
          <w:rFonts w:hint="cs"/>
          <w:b/>
          <w:bCs/>
          <w:rtl/>
          <w:lang w:bidi="ar-LB"/>
        </w:rPr>
        <w:t>الثالث</w:t>
      </w:r>
      <w:r w:rsidRPr="00A32FC0">
        <w:rPr>
          <w:rFonts w:hint="cs"/>
          <w:rtl/>
          <w:lang w:bidi="ar-LB"/>
        </w:rPr>
        <w:t xml:space="preserve">: في ما يخص السلطات الثلاث فإنّ القضاء في عهدة الفقيه، أو مَنْ يؤذن له من قِبَله. أمّا سلطتَا التقنين والإجراء فهما تحت إشراف الفقهاء. وتتمّ عملية إشراف الفقهاء على التقنين بعرض القوانين التي يشرِّعها المجلس التشريعي عليهم؛ لإحراز عدم مخالفتها للشريعة. </w:t>
      </w:r>
    </w:p>
    <w:p w:rsidR="00EA09EB" w:rsidRPr="00EA09EB" w:rsidRDefault="00EA09EB" w:rsidP="00EA09EB">
      <w:pPr>
        <w:rPr>
          <w:rtl/>
        </w:rPr>
      </w:pPr>
      <w:r w:rsidRPr="00A32FC0">
        <w:rPr>
          <w:rFonts w:hint="cs"/>
          <w:rtl/>
          <w:lang w:bidi="ar-LB"/>
        </w:rPr>
        <w:t xml:space="preserve">هناك ثلاثة موارد لإشراف الفقهاء على الأمور الإجرائية: </w:t>
      </w:r>
      <w:r w:rsidRPr="00A32FC0">
        <w:rPr>
          <w:rFonts w:hint="cs"/>
          <w:b/>
          <w:bCs/>
          <w:rtl/>
          <w:lang w:bidi="ar-LB"/>
        </w:rPr>
        <w:t>الأوّل</w:t>
      </w:r>
      <w:r w:rsidRPr="00EA09EB">
        <w:rPr>
          <w:rFonts w:hint="cs"/>
          <w:rtl/>
        </w:rPr>
        <w:t xml:space="preserve">: تأييد الصلاحية الدينية للمسؤولين الأساسيين في النظام الإسلامي. </w:t>
      </w:r>
      <w:r w:rsidRPr="00A32FC0">
        <w:rPr>
          <w:rFonts w:hint="cs"/>
          <w:b/>
          <w:bCs/>
          <w:rtl/>
          <w:lang w:bidi="ar-LB"/>
        </w:rPr>
        <w:t>الثاني</w:t>
      </w:r>
      <w:r w:rsidRPr="00EA09EB">
        <w:rPr>
          <w:rFonts w:hint="cs"/>
          <w:rtl/>
        </w:rPr>
        <w:t xml:space="preserve">: الإشراف الاستصوابي على السياسات العامّة للنظام. </w:t>
      </w:r>
      <w:r w:rsidRPr="00A32FC0">
        <w:rPr>
          <w:rFonts w:hint="cs"/>
          <w:b/>
          <w:bCs/>
          <w:rtl/>
          <w:lang w:bidi="ar-LB"/>
        </w:rPr>
        <w:t>الثالث</w:t>
      </w:r>
      <w:r w:rsidRPr="00EA09EB">
        <w:rPr>
          <w:rFonts w:hint="cs"/>
          <w:rtl/>
        </w:rPr>
        <w:t>: الإشراف الاستطلاعي على المخطَّطات والسياسات اليومية. ومن هنا نرى بأن ليس إشراف الفقيه أمراً شكليّاً، بل له تأثير جِدّي على سير المجتمع.</w:t>
      </w:r>
    </w:p>
    <w:p w:rsidR="00EA09EB" w:rsidRPr="00EA09EB" w:rsidRDefault="00EA09EB" w:rsidP="007A340E">
      <w:pPr>
        <w:ind w:firstLine="283"/>
        <w:rPr>
          <w:rtl/>
        </w:rPr>
      </w:pPr>
      <w:r w:rsidRPr="007A340E">
        <w:rPr>
          <w:rFonts w:hint="cs"/>
          <w:b/>
          <w:bCs/>
          <w:rtl/>
        </w:rPr>
        <w:t>الرابع</w:t>
      </w:r>
      <w:r w:rsidRPr="00EA09EB">
        <w:rPr>
          <w:rFonts w:hint="cs"/>
          <w:rtl/>
        </w:rPr>
        <w:t>: يعتبر الوجدان الديني لأفراد المجتمع هو الضمانة لإشراف الفقهاء. فطالما أن أكثرية أفراد المجتمع يتمتَّعون بهاجس مراعاة الحلال والحرام فإن أيّ إعلانٍ من قبل الفقهاء بعدم مشروعية قانون ما أو سياسة ما يكون كفيلاً بإسقاط هذا القانون أو السياسة عن الاعتبار داخل المجتمع؛ فإنّ أثر الوجدان الديني الراسخ في المجتمع أقوى بكثير من أثر القوى القهرية. وعلى فرض عدم التفات الحكومة لإعلان الفقهاء معارضتهم لقانون أو سياسة وجدوها معارضة للشريعة، ولم يظهر الناس أيّ معارضة لهذا القانون أو السياسة، فإن هذا المجتمع من وجهة نظر الدين يعتبر مجتمعاً مريضاً، وعلى علماء الدين أن يقوموا بالإرشاد والوعظ والتبليغ، وتثبيت الوجدان الديني للناس، وأن يستنفروا الناس للدفاع عن الدين، بتغيير الحكومة التي لم تخضع لتعاليمه.</w:t>
      </w:r>
    </w:p>
    <w:p w:rsidR="00EA09EB" w:rsidRPr="00EA09EB" w:rsidRDefault="00EA09EB" w:rsidP="007A340E">
      <w:pPr>
        <w:ind w:firstLine="283"/>
        <w:rPr>
          <w:rtl/>
        </w:rPr>
      </w:pPr>
      <w:r w:rsidRPr="007A340E">
        <w:rPr>
          <w:rFonts w:hint="cs"/>
          <w:b/>
          <w:bCs/>
          <w:rtl/>
        </w:rPr>
        <w:t>الخامس</w:t>
      </w:r>
      <w:r w:rsidRPr="00EA09EB">
        <w:rPr>
          <w:rFonts w:hint="cs"/>
          <w:rtl/>
        </w:rPr>
        <w:t>: إن إجراء نظرية إشراف الفقيه يؤمِّن إسلاميّة النظام من جهة، من خلال الإشراف الحقوقيّ للفقهاء، ومن جهة أخرى لا يتورط الفقهاء بالغوص في الأمور التخصُّصيّة الخارجة عن صلاحيّاتهم. بالإضافة إلى أنهم، باكتفائهم بهذا الإشراف، وعدم الخوض في الأمور الجزئية والسياسات اليومية، يحافظون على اقتدار وقداسة الدين في المجتمع.</w:t>
      </w:r>
    </w:p>
    <w:p w:rsidR="00EA09EB" w:rsidRPr="00A32FC0" w:rsidRDefault="00EA09EB" w:rsidP="00EA09EB">
      <w:pPr>
        <w:rPr>
          <w:rtl/>
          <w:lang w:bidi="ar-LB"/>
        </w:rPr>
      </w:pPr>
      <w:r w:rsidRPr="00A32FC0">
        <w:rPr>
          <w:rFonts w:hint="cs"/>
          <w:rtl/>
          <w:lang w:bidi="ar-LB"/>
        </w:rPr>
        <w:t>وتؤمِّن هذه النظرية أسلوباً معتدلاً في المحافظة على التعاليم الأساسيّة للإسلام، ومطابقة المسائل العامة للمجتمع مع التعاليم الدينية، واهتماماً خاصّاً بالتعقيدات التي تطرأ يوميّاً على إدارة المجتمع في هذه المرحلة المعاصرة.</w:t>
      </w:r>
    </w:p>
    <w:p w:rsidR="00EA09EB" w:rsidRPr="00A32FC0" w:rsidRDefault="00EA09EB" w:rsidP="00EA09EB">
      <w:pPr>
        <w:rPr>
          <w:rtl/>
          <w:lang w:bidi="ar-LB"/>
        </w:rPr>
      </w:pPr>
      <w:r w:rsidRPr="00A32FC0">
        <w:rPr>
          <w:rFonts w:hint="cs"/>
          <w:rtl/>
          <w:lang w:bidi="ar-LB"/>
        </w:rPr>
        <w:t>2</w:t>
      </w:r>
      <w:r w:rsidRPr="00A32FC0">
        <w:rPr>
          <w:rtl/>
          <w:lang w:bidi="ar-LB"/>
        </w:rPr>
        <w:t>ـ</w:t>
      </w:r>
      <w:r w:rsidRPr="00A32FC0">
        <w:rPr>
          <w:rFonts w:hint="cs"/>
          <w:rtl/>
          <w:lang w:bidi="ar-LB"/>
        </w:rPr>
        <w:t xml:space="preserve"> الفارق بين نظرية إشراف الفقيه ونظرية ولاية الفقيه هو على الشكل التالي:</w:t>
      </w:r>
    </w:p>
    <w:p w:rsidR="00EA09EB" w:rsidRPr="00EA09EB" w:rsidRDefault="00EA09EB" w:rsidP="007A340E">
      <w:pPr>
        <w:ind w:firstLine="283"/>
        <w:rPr>
          <w:rtl/>
        </w:rPr>
      </w:pPr>
      <w:r w:rsidRPr="007A340E">
        <w:rPr>
          <w:rFonts w:hint="cs"/>
          <w:b/>
          <w:bCs/>
          <w:rtl/>
        </w:rPr>
        <w:t>الأوّل</w:t>
      </w:r>
      <w:r w:rsidRPr="00EA09EB">
        <w:rPr>
          <w:rFonts w:hint="cs"/>
          <w:rtl/>
        </w:rPr>
        <w:t>: في نظرية إشراف الفقيه ليس من الضروري إحراز موافقة الفقيه في الأمور غير الهامّة، بل يكفي عدم مخالفته، ويُعَدّ شرط موافقة الفقيه في الأمور الهامّة من باب مراعاة الاحتياط الشديد.</w:t>
      </w:r>
    </w:p>
    <w:p w:rsidR="00EA09EB" w:rsidRPr="00A32FC0" w:rsidRDefault="00EA09EB" w:rsidP="00EA09EB">
      <w:pPr>
        <w:rPr>
          <w:rtl/>
          <w:lang w:bidi="ar-LB"/>
        </w:rPr>
      </w:pPr>
      <w:r w:rsidRPr="00A32FC0">
        <w:rPr>
          <w:rFonts w:hint="cs"/>
          <w:rtl/>
          <w:lang w:bidi="ar-LB"/>
        </w:rPr>
        <w:t xml:space="preserve">بينما في نظرية ولاية الفقيه تعتبر مشروعية أيّ شأن من الشؤون العامّة، سواءٌ أكان هامّاً أم غير هامّ، بحاجة إلى موافقة أو إجازة أو إذن الوليّ الفقيه. </w:t>
      </w:r>
    </w:p>
    <w:p w:rsidR="00EA09EB" w:rsidRPr="00EA09EB" w:rsidRDefault="00EA09EB" w:rsidP="007A340E">
      <w:pPr>
        <w:ind w:firstLine="283"/>
        <w:rPr>
          <w:rtl/>
        </w:rPr>
      </w:pPr>
      <w:r w:rsidRPr="007A340E">
        <w:rPr>
          <w:rFonts w:hint="cs"/>
          <w:b/>
          <w:bCs/>
          <w:rtl/>
        </w:rPr>
        <w:t>الثاني</w:t>
      </w:r>
      <w:r w:rsidRPr="00EA09EB">
        <w:rPr>
          <w:rFonts w:hint="cs"/>
          <w:rtl/>
        </w:rPr>
        <w:t>: ليس دور الفقيه في نظريّة (نظارة الفقيه) دوراً إيجاديّاً، بل هو دور نفي، أي نفي ما هو خلاف للشرع والدين عن ميدان الحكم.</w:t>
      </w:r>
    </w:p>
    <w:p w:rsidR="00EA09EB" w:rsidRPr="00A32FC0" w:rsidRDefault="00EA09EB" w:rsidP="00EA09EB">
      <w:pPr>
        <w:rPr>
          <w:rtl/>
          <w:lang w:bidi="ar-LB"/>
        </w:rPr>
      </w:pPr>
      <w:r w:rsidRPr="00A32FC0">
        <w:rPr>
          <w:rFonts w:hint="cs"/>
          <w:rtl/>
          <w:lang w:bidi="ar-LB"/>
        </w:rPr>
        <w:t>أما دور الفقيه في نظرية ولاية الفقيه فهو دور إيجاديّ وإعداميّ معاً.</w:t>
      </w:r>
    </w:p>
    <w:p w:rsidR="00EA09EB" w:rsidRPr="00EA09EB" w:rsidRDefault="00EA09EB" w:rsidP="007A340E">
      <w:pPr>
        <w:ind w:firstLine="283"/>
        <w:rPr>
          <w:rtl/>
        </w:rPr>
      </w:pPr>
      <w:r w:rsidRPr="007A340E">
        <w:rPr>
          <w:rFonts w:hint="cs"/>
          <w:b/>
          <w:bCs/>
          <w:rtl/>
        </w:rPr>
        <w:t>الثالث</w:t>
      </w:r>
      <w:r w:rsidRPr="00EA09EB">
        <w:rPr>
          <w:rFonts w:hint="cs"/>
          <w:rtl/>
        </w:rPr>
        <w:t xml:space="preserve">: لا يملك الفقيه أيّ سلطة إجرائية في نظرية إشراف الفقيه، بالإضافة إلى أنه لا يمكنه تعيين أحدٍ في أيّ موقع من مواقع الدولة، مع أنه ينظر في الصلاحية الدينية للمتصدّين للوظائف الهامّة في الدولة، ويشرف على إجراء الأمور. </w:t>
      </w:r>
    </w:p>
    <w:p w:rsidR="00EA09EB" w:rsidRPr="00A32FC0" w:rsidRDefault="00EA09EB" w:rsidP="00EA09EB">
      <w:pPr>
        <w:rPr>
          <w:rtl/>
          <w:lang w:bidi="ar-LB"/>
        </w:rPr>
      </w:pPr>
      <w:r w:rsidRPr="00A32FC0">
        <w:rPr>
          <w:rFonts w:hint="cs"/>
          <w:rtl/>
          <w:lang w:bidi="ar-LB"/>
        </w:rPr>
        <w:t>أمّا في نظرية ولاية الفقيه فإن الفقيه أولاً: هو الذي يتولّى شخصيّاً أعلى سلطة إجرائية في المجتمع، وثانيا: يكون بيده تعيين وعزل جميع المسؤولين الأساسيّين المتصدّين للأمور العامّة.</w:t>
      </w:r>
    </w:p>
    <w:p w:rsidR="00EA09EB" w:rsidRPr="00EA09EB" w:rsidRDefault="00EA09EB" w:rsidP="00CF6991">
      <w:pPr>
        <w:pStyle w:val="Normal87"/>
        <w:rPr>
          <w:rtl/>
        </w:rPr>
      </w:pPr>
      <w:r w:rsidRPr="007A340E">
        <w:rPr>
          <w:rFonts w:hint="cs"/>
          <w:b/>
          <w:bCs/>
          <w:rtl/>
        </w:rPr>
        <w:t>الرابع</w:t>
      </w:r>
      <w:r w:rsidRPr="00EA09EB">
        <w:rPr>
          <w:rFonts w:hint="cs"/>
          <w:rtl/>
        </w:rPr>
        <w:t xml:space="preserve">: طبقاً لنظرية إشراف الفقيه فإن إدارة المجتمع بيد الناس ومَنْ يمثلهم من نوّاب ومختصّين، وأمّا الفقهاء ـ وبما يتناسب مع معارفهم ـ فهم يتمتَّعون بالإشراف الحقوقي، الذي يؤمِّن المحافظة على أحكام الشريعة، ومتابعة أهداف الدين. ولذلك فإن هذه النظرية لا تتلاءم مع محجوريّة الناس في دائرة شؤونهم العامّة. </w:t>
      </w:r>
    </w:p>
    <w:p w:rsidR="00EA09EB" w:rsidRPr="00A32FC0" w:rsidRDefault="00EA09EB" w:rsidP="00CF6991">
      <w:pPr>
        <w:pStyle w:val="Normal87"/>
        <w:rPr>
          <w:rtl/>
        </w:rPr>
      </w:pPr>
      <w:r w:rsidRPr="00A32FC0">
        <w:rPr>
          <w:rFonts w:hint="cs"/>
          <w:rtl/>
        </w:rPr>
        <w:t>وأمّا طبقاً لنظرية ولاية الفقيه فإنّ أيّ تدخّل في الأمور العامة منوطٌ بإجازة وإذن الولي الفقيه. وبعبارة أخرى: إن الناس طبقاً لهذه النظرية محجورٌ عليهم.</w:t>
      </w:r>
    </w:p>
    <w:p w:rsidR="00EA09EB" w:rsidRPr="00A32FC0" w:rsidRDefault="00EA09EB" w:rsidP="00CF6991">
      <w:pPr>
        <w:pStyle w:val="Normal87"/>
        <w:rPr>
          <w:rtl/>
        </w:rPr>
      </w:pPr>
      <w:r w:rsidRPr="00A32FC0">
        <w:rPr>
          <w:rFonts w:hint="cs"/>
          <w:rtl/>
        </w:rPr>
        <w:t>3</w:t>
      </w:r>
      <w:r w:rsidRPr="00A32FC0">
        <w:rPr>
          <w:rtl/>
        </w:rPr>
        <w:t>ـ</w:t>
      </w:r>
      <w:r w:rsidRPr="00A32FC0">
        <w:rPr>
          <w:rFonts w:hint="cs"/>
          <w:rtl/>
        </w:rPr>
        <w:t xml:space="preserve"> الإشراف عبارة قديمة في الفقه الشيعي. ويمكن تقسيم المشرفين إلى قسمين: مشرف شرعيّ؛ ومشرف جعلي</w:t>
      </w:r>
      <w:r>
        <w:rPr>
          <w:rFonts w:hint="cs"/>
          <w:rtl/>
        </w:rPr>
        <w:t>ّ</w:t>
      </w:r>
      <w:r w:rsidRPr="00A32FC0">
        <w:rPr>
          <w:rFonts w:hint="cs"/>
          <w:rtl/>
        </w:rPr>
        <w:t xml:space="preserve"> «وضعي».</w:t>
      </w:r>
    </w:p>
    <w:p w:rsidR="00EA09EB" w:rsidRPr="00A32FC0" w:rsidRDefault="00EA09EB" w:rsidP="00CF6991">
      <w:pPr>
        <w:pStyle w:val="Normal87"/>
        <w:rPr>
          <w:rtl/>
        </w:rPr>
      </w:pPr>
      <w:r w:rsidRPr="00EA09EB">
        <w:rPr>
          <w:rFonts w:hint="cs"/>
          <w:rtl/>
        </w:rPr>
        <w:t>والمراد من المشرف الشرعيّ هو المشرف المعيَّن من قبل الله تعالى، والمشرف الجعليّ هو المعيَّن من قِبَل صاحب حقّ، أو متولٍّ شرعيّ، أو أولياء صاحب حقّ</w:t>
      </w:r>
      <w:r w:rsidRPr="00064619">
        <w:rPr>
          <w:rFonts w:cs="Taher"/>
          <w:vertAlign w:val="superscript"/>
          <w:rtl/>
        </w:rPr>
        <w:t>(</w:t>
      </w:r>
      <w:r w:rsidRPr="00064619">
        <w:rPr>
          <w:rStyle w:val="FootnoteReference"/>
          <w:rFonts w:cs="Taher"/>
          <w:sz w:val="32"/>
          <w:rtl/>
        </w:rPr>
        <w:footnoteReference w:id="299"/>
      </w:r>
      <w:r w:rsidRPr="00064619">
        <w:rPr>
          <w:rFonts w:cs="Taher"/>
          <w:vertAlign w:val="superscript"/>
          <w:rtl/>
        </w:rPr>
        <w:t>)</w:t>
      </w:r>
      <w:r w:rsidRPr="00A32FC0">
        <w:rPr>
          <w:rFonts w:hint="cs"/>
          <w:rtl/>
        </w:rPr>
        <w:t>.</w:t>
      </w:r>
    </w:p>
    <w:p w:rsidR="00EA09EB" w:rsidRPr="00A32FC0" w:rsidRDefault="00EA09EB" w:rsidP="00CF6991">
      <w:pPr>
        <w:pStyle w:val="Normal87"/>
        <w:rPr>
          <w:rtl/>
        </w:rPr>
      </w:pPr>
      <w:r w:rsidRPr="00A32FC0">
        <w:rPr>
          <w:rFonts w:hint="cs"/>
          <w:rtl/>
        </w:rPr>
        <w:t>والمراد من مصطلح «الناظر في أمور المسلمين»، أو «الناظر في مصالح المسلمين»، المستعمل من قبل الفقهاء منذ زمن الشيخ المفيد، هو المشرف الشرعيّ الذي يتصدّى للأمور الحسبية عند فقدان المولى الشرعيّ المعيَّن</w:t>
      </w:r>
      <w:r w:rsidRPr="00064619">
        <w:rPr>
          <w:rFonts w:cs="Taher"/>
          <w:vertAlign w:val="superscript"/>
          <w:rtl/>
        </w:rPr>
        <w:t>(</w:t>
      </w:r>
      <w:r w:rsidRPr="00064619">
        <w:rPr>
          <w:rStyle w:val="FootnoteReference"/>
          <w:rFonts w:cs="Taher"/>
          <w:sz w:val="32"/>
          <w:rtl/>
        </w:rPr>
        <w:footnoteReference w:id="300"/>
      </w:r>
      <w:r w:rsidRPr="00064619">
        <w:rPr>
          <w:rFonts w:cs="Taher"/>
          <w:vertAlign w:val="superscript"/>
          <w:rtl/>
        </w:rPr>
        <w:t>)</w:t>
      </w:r>
      <w:r w:rsidRPr="00A32FC0">
        <w:rPr>
          <w:rFonts w:hint="cs"/>
          <w:rtl/>
        </w:rPr>
        <w:t>.</w:t>
      </w:r>
    </w:p>
    <w:p w:rsidR="00EA09EB" w:rsidRPr="00A32FC0" w:rsidRDefault="00EA09EB" w:rsidP="00EA09EB">
      <w:pPr>
        <w:rPr>
          <w:rtl/>
          <w:lang w:bidi="ar-LB"/>
        </w:rPr>
      </w:pPr>
      <w:r>
        <w:rPr>
          <w:rFonts w:hint="cs"/>
          <w:rtl/>
          <w:lang w:bidi="ar-LB"/>
        </w:rPr>
        <w:t xml:space="preserve">جاء </w:t>
      </w:r>
      <w:r w:rsidRPr="00A32FC0">
        <w:rPr>
          <w:rFonts w:hint="cs"/>
          <w:rtl/>
          <w:lang w:bidi="ar-LB"/>
        </w:rPr>
        <w:t xml:space="preserve">أكثر استعمالات هذين الاصطلاحين في بحث الوصية. ففي مسألة الوصية يَحُقُّ لـ </w:t>
      </w:r>
      <w:r w:rsidRPr="00A32FC0">
        <w:rPr>
          <w:rFonts w:hint="cs"/>
          <w:rtl/>
        </w:rPr>
        <w:t>«</w:t>
      </w:r>
      <w:r w:rsidRPr="00A32FC0">
        <w:rPr>
          <w:rFonts w:hint="cs"/>
          <w:rtl/>
          <w:lang w:bidi="ar-LB"/>
        </w:rPr>
        <w:t>الناظر في أمور المسلمين</w:t>
      </w:r>
      <w:r w:rsidRPr="00A32FC0">
        <w:rPr>
          <w:rFonts w:hint="cs"/>
          <w:rtl/>
        </w:rPr>
        <w:t>»</w:t>
      </w:r>
      <w:r w:rsidRPr="00A32FC0">
        <w:rPr>
          <w:rFonts w:hint="cs"/>
          <w:rtl/>
          <w:lang w:bidi="ar-LB"/>
        </w:rPr>
        <w:t xml:space="preserve">، أي المشرف على أمور المسلمين، أن يتدخَّل في أربع حالات: </w:t>
      </w:r>
      <w:r w:rsidRPr="00A32FC0">
        <w:rPr>
          <w:rFonts w:hint="cs"/>
          <w:b/>
          <w:bCs/>
          <w:rtl/>
          <w:lang w:bidi="ar-LB"/>
        </w:rPr>
        <w:t>الأولى</w:t>
      </w:r>
      <w:r w:rsidRPr="00EA09EB">
        <w:rPr>
          <w:rFonts w:hint="cs"/>
          <w:rtl/>
        </w:rPr>
        <w:t>: في حالة عدم تعيين الميت وصيّاً في ما يُحتاج فيه إلى وصيّ</w:t>
      </w:r>
      <w:r w:rsidRPr="00064619">
        <w:rPr>
          <w:rFonts w:cs="Taher"/>
          <w:vertAlign w:val="superscript"/>
          <w:rtl/>
          <w:lang w:bidi="ar-LB"/>
        </w:rPr>
        <w:t>(</w:t>
      </w:r>
      <w:r w:rsidRPr="00064619">
        <w:rPr>
          <w:rStyle w:val="FootnoteReference"/>
          <w:rFonts w:cs="Taher"/>
          <w:sz w:val="32"/>
          <w:rtl/>
          <w:lang w:bidi="ar-LB"/>
        </w:rPr>
        <w:footnoteReference w:id="301"/>
      </w:r>
      <w:r w:rsidRPr="00064619">
        <w:rPr>
          <w:rFonts w:cs="Taher"/>
          <w:vertAlign w:val="superscript"/>
          <w:rtl/>
          <w:lang w:bidi="ar-LB"/>
        </w:rPr>
        <w:t>)</w:t>
      </w:r>
      <w:r w:rsidRPr="00EA09EB">
        <w:rPr>
          <w:rFonts w:hint="cs"/>
          <w:rtl/>
        </w:rPr>
        <w:t xml:space="preserve">. </w:t>
      </w:r>
      <w:r w:rsidRPr="00A32FC0">
        <w:rPr>
          <w:rFonts w:hint="cs"/>
          <w:b/>
          <w:bCs/>
          <w:rtl/>
          <w:lang w:bidi="ar-LB"/>
        </w:rPr>
        <w:t>الثانية</w:t>
      </w:r>
      <w:r w:rsidRPr="00EA09EB">
        <w:rPr>
          <w:rFonts w:hint="cs"/>
          <w:rtl/>
        </w:rPr>
        <w:t>: في حالة موت الوصي</w:t>
      </w:r>
      <w:r w:rsidRPr="00064619">
        <w:rPr>
          <w:rFonts w:cs="Taher"/>
          <w:vertAlign w:val="superscript"/>
          <w:rtl/>
          <w:lang w:bidi="ar-LB"/>
        </w:rPr>
        <w:t>(</w:t>
      </w:r>
      <w:r w:rsidRPr="00064619">
        <w:rPr>
          <w:rStyle w:val="FootnoteReference"/>
          <w:rFonts w:cs="Taher"/>
          <w:sz w:val="32"/>
          <w:rtl/>
          <w:lang w:bidi="ar-LB"/>
        </w:rPr>
        <w:footnoteReference w:id="302"/>
      </w:r>
      <w:r w:rsidRPr="00064619">
        <w:rPr>
          <w:rFonts w:cs="Taher"/>
          <w:vertAlign w:val="superscript"/>
          <w:rtl/>
          <w:lang w:bidi="ar-LB"/>
        </w:rPr>
        <w:t>)</w:t>
      </w:r>
      <w:r w:rsidRPr="00EA09EB">
        <w:rPr>
          <w:rFonts w:hint="cs"/>
          <w:rtl/>
        </w:rPr>
        <w:t xml:space="preserve">. </w:t>
      </w:r>
      <w:r w:rsidRPr="00A32FC0">
        <w:rPr>
          <w:rFonts w:hint="cs"/>
          <w:b/>
          <w:bCs/>
          <w:rtl/>
          <w:lang w:bidi="ar-LB"/>
        </w:rPr>
        <w:t>الثالثة</w:t>
      </w:r>
      <w:r w:rsidRPr="00EA09EB">
        <w:rPr>
          <w:rFonts w:hint="cs"/>
          <w:rtl/>
        </w:rPr>
        <w:t>: في حال عدم التزام الوصيّ بنصّ الوصية، فإنّ المشرف على أمور المسلمين يعزله، ويتولّى بنفسه أمر الوصية</w:t>
      </w:r>
      <w:r w:rsidRPr="00064619">
        <w:rPr>
          <w:rFonts w:cs="Taher"/>
          <w:vertAlign w:val="superscript"/>
          <w:rtl/>
          <w:lang w:bidi="ar-LB"/>
        </w:rPr>
        <w:t>(</w:t>
      </w:r>
      <w:r w:rsidRPr="00064619">
        <w:rPr>
          <w:rStyle w:val="FootnoteReference"/>
          <w:rFonts w:cs="Taher"/>
          <w:sz w:val="32"/>
          <w:rtl/>
          <w:lang w:bidi="ar-LB"/>
        </w:rPr>
        <w:footnoteReference w:id="303"/>
      </w:r>
      <w:r w:rsidRPr="00064619">
        <w:rPr>
          <w:rFonts w:cs="Taher"/>
          <w:vertAlign w:val="superscript"/>
          <w:rtl/>
          <w:lang w:bidi="ar-LB"/>
        </w:rPr>
        <w:t>)</w:t>
      </w:r>
      <w:r w:rsidRPr="00EA09EB">
        <w:rPr>
          <w:rFonts w:hint="cs"/>
          <w:rtl/>
        </w:rPr>
        <w:t xml:space="preserve">. </w:t>
      </w:r>
      <w:r w:rsidRPr="00A32FC0">
        <w:rPr>
          <w:rFonts w:hint="cs"/>
          <w:b/>
          <w:bCs/>
          <w:rtl/>
          <w:lang w:bidi="ar-LB"/>
        </w:rPr>
        <w:t>الرابعة</w:t>
      </w:r>
      <w:r w:rsidRPr="00EA09EB">
        <w:rPr>
          <w:rFonts w:hint="cs"/>
          <w:rtl/>
        </w:rPr>
        <w:t>: في حالة ضعف الوصيّ، فعلى المشرف على أمور المسلمين أن يعيّن مَنْ يساعده</w:t>
      </w:r>
      <w:r w:rsidRPr="00064619">
        <w:rPr>
          <w:rFonts w:cs="Taher"/>
          <w:vertAlign w:val="superscript"/>
          <w:rtl/>
          <w:lang w:bidi="ar-LB"/>
        </w:rPr>
        <w:t>(</w:t>
      </w:r>
      <w:r w:rsidRPr="00064619">
        <w:rPr>
          <w:rStyle w:val="FootnoteReference"/>
          <w:rFonts w:cs="Taher"/>
          <w:sz w:val="32"/>
          <w:rtl/>
          <w:lang w:bidi="ar-LB"/>
        </w:rPr>
        <w:footnoteReference w:id="304"/>
      </w:r>
      <w:r w:rsidRPr="00064619">
        <w:rPr>
          <w:rFonts w:cs="Taher"/>
          <w:vertAlign w:val="superscript"/>
          <w:rtl/>
          <w:lang w:bidi="ar-LB"/>
        </w:rPr>
        <w:t>)</w:t>
      </w:r>
      <w:r w:rsidRPr="00A32FC0">
        <w:rPr>
          <w:rFonts w:hint="cs"/>
          <w:rtl/>
          <w:lang w:bidi="ar-LB"/>
        </w:rPr>
        <w:t>.</w:t>
      </w:r>
    </w:p>
    <w:p w:rsidR="00EA09EB" w:rsidRPr="00A32FC0" w:rsidRDefault="00EA09EB" w:rsidP="00CF6991">
      <w:pPr>
        <w:pStyle w:val="Normal84"/>
        <w:rPr>
          <w:rtl/>
        </w:rPr>
      </w:pPr>
      <w:r w:rsidRPr="00A32FC0">
        <w:rPr>
          <w:rFonts w:hint="cs"/>
          <w:rtl/>
        </w:rPr>
        <w:t>وبالإضافة إلى بحث الوصيّة فإنّ المشرف «الناظر» على أمور المسلمين يستطيع أن يعيّن وكيلاً لرعاية الأيتام والمجانين، أو لاستيفاء حقّ الشفعة المتعلِّق بهم</w:t>
      </w:r>
      <w:r w:rsidRPr="00064619">
        <w:rPr>
          <w:rFonts w:cs="Taher"/>
          <w:vertAlign w:val="superscript"/>
          <w:rtl/>
        </w:rPr>
        <w:t>(</w:t>
      </w:r>
      <w:r w:rsidRPr="00064619">
        <w:rPr>
          <w:rStyle w:val="FootnoteReference"/>
          <w:rFonts w:cs="Taher"/>
          <w:sz w:val="32"/>
          <w:rtl/>
        </w:rPr>
        <w:footnoteReference w:id="305"/>
      </w:r>
      <w:r w:rsidRPr="00064619">
        <w:rPr>
          <w:rFonts w:cs="Taher"/>
          <w:vertAlign w:val="superscript"/>
          <w:rtl/>
        </w:rPr>
        <w:t>)</w:t>
      </w:r>
      <w:r w:rsidRPr="00A32FC0">
        <w:rPr>
          <w:rFonts w:hint="cs"/>
          <w:rtl/>
        </w:rPr>
        <w:t xml:space="preserve">. </w:t>
      </w:r>
    </w:p>
    <w:p w:rsidR="00EA09EB" w:rsidRPr="00EA09EB" w:rsidRDefault="00EA09EB" w:rsidP="00EA09EB">
      <w:pPr>
        <w:rPr>
          <w:rtl/>
        </w:rPr>
      </w:pPr>
      <w:r w:rsidRPr="00A32FC0">
        <w:rPr>
          <w:rFonts w:hint="cs"/>
          <w:rtl/>
          <w:lang w:bidi="ar-LB"/>
        </w:rPr>
        <w:t xml:space="preserve">ومن الواضح أن المراد من الناظر في أمور المسلمين، أو الناظر في مصالح المسلمين، </w:t>
      </w:r>
      <w:r w:rsidRPr="00E17268">
        <w:rPr>
          <w:rFonts w:hint="cs"/>
          <w:rtl/>
          <w:lang w:bidi="ar-LB"/>
        </w:rPr>
        <w:t>في زمن الحضور هو المعصوم</w:t>
      </w:r>
      <w:r>
        <w:rPr>
          <w:rFonts w:hint="cs"/>
          <w:rtl/>
        </w:rPr>
        <w:t>×</w:t>
      </w:r>
      <w:r w:rsidRPr="00E17268">
        <w:rPr>
          <w:rFonts w:hint="cs"/>
          <w:rtl/>
          <w:lang w:bidi="ar-LB"/>
        </w:rPr>
        <w:t>، وفي زمن الغيبة هم الفقهاء العدول</w:t>
      </w:r>
      <w:r w:rsidRPr="00064619">
        <w:rPr>
          <w:rFonts w:cs="Taher"/>
          <w:vertAlign w:val="superscript"/>
          <w:rtl/>
          <w:lang w:bidi="ar-LB"/>
        </w:rPr>
        <w:t>(</w:t>
      </w:r>
      <w:r w:rsidRPr="00064619">
        <w:rPr>
          <w:rStyle w:val="FootnoteReference"/>
          <w:rFonts w:cs="Taher"/>
          <w:sz w:val="32"/>
          <w:rtl/>
          <w:lang w:bidi="ar-LB"/>
        </w:rPr>
        <w:footnoteReference w:id="306"/>
      </w:r>
      <w:r w:rsidRPr="00064619">
        <w:rPr>
          <w:rFonts w:cs="Taher"/>
          <w:vertAlign w:val="superscript"/>
          <w:rtl/>
          <w:lang w:bidi="ar-LB"/>
        </w:rPr>
        <w:t>)</w:t>
      </w:r>
      <w:r w:rsidRPr="00EA09EB">
        <w:rPr>
          <w:rFonts w:hint="cs"/>
          <w:rtl/>
        </w:rPr>
        <w:t xml:space="preserve">. </w:t>
      </w:r>
    </w:p>
    <w:p w:rsidR="00EA09EB" w:rsidRPr="00A32FC0" w:rsidRDefault="00EA09EB" w:rsidP="00CF6991">
      <w:pPr>
        <w:pStyle w:val="Normal84"/>
        <w:rPr>
          <w:rtl/>
        </w:rPr>
      </w:pPr>
      <w:r w:rsidRPr="00A32FC0">
        <w:rPr>
          <w:rFonts w:hint="cs"/>
          <w:rtl/>
        </w:rPr>
        <w:t>ليس الإشراف «النظارة» المتقدم ذكره مقابلاً للولاية، ولكنه يمكن أن يشمل الولاية، وجواز التصرُّف أيضاً.</w:t>
      </w:r>
    </w:p>
    <w:p w:rsidR="00EA09EB" w:rsidRPr="00A32FC0" w:rsidRDefault="00EA09EB" w:rsidP="00CF6991">
      <w:pPr>
        <w:pStyle w:val="Normal84"/>
        <w:rPr>
          <w:rtl/>
        </w:rPr>
      </w:pPr>
      <w:r w:rsidRPr="00EA09EB">
        <w:rPr>
          <w:rFonts w:hint="cs"/>
          <w:rtl/>
        </w:rPr>
        <w:t>أمّا «الناظر الجعليّ» فهو مختصّ ببحث الوقف. فإن الواقف الذي يعيّن وليّاً للوقف يمكن أن يعيّن ناظراً للإشراف على حسن إدارة الوقف. والواقف هو الذي يحدّد دائرة نظارة الناظر. وفي حال عدم تعيين الواقف لنوع النظارة تكون نظارة الناظر استطلاعيّة، بمعنى أنّ تصرّفات وليّ الوقف يجب أن تكون تحت إشراف الناظر، إلاّ أن موافقة الناظر ليست شرطاً في صحة التصرُّف. وكذلك إذا صرّح الواقف بنوع النظارة في نصّ الوقف، فإن إشراف الناظر كافٍ أيضاً، وموافقة الناظر لا تعدّ شرطاً. أمّا إذا نصَّ الواقف على أن تكون النظارة استصوابيّة فعندها لا يمكن لوليّ الوقف التصرُّف إلاّ بعد موافقة الناظر</w:t>
      </w:r>
      <w:r w:rsidRPr="00064619">
        <w:rPr>
          <w:rFonts w:cs="Taher"/>
          <w:vertAlign w:val="superscript"/>
          <w:rtl/>
        </w:rPr>
        <w:t>(</w:t>
      </w:r>
      <w:r w:rsidRPr="00064619">
        <w:rPr>
          <w:rStyle w:val="FootnoteReference"/>
          <w:rFonts w:cs="Taher"/>
          <w:sz w:val="32"/>
          <w:rtl/>
        </w:rPr>
        <w:footnoteReference w:id="307"/>
      </w:r>
      <w:r w:rsidRPr="00064619">
        <w:rPr>
          <w:rFonts w:cs="Taher"/>
          <w:vertAlign w:val="superscript"/>
          <w:rtl/>
        </w:rPr>
        <w:t>)</w:t>
      </w:r>
      <w:r w:rsidRPr="00A32FC0">
        <w:rPr>
          <w:rFonts w:hint="cs"/>
          <w:rtl/>
        </w:rPr>
        <w:t>. لم يتمّ تداول مصطلَحَيْ النظارة الاستصوابيّة والاستطلاعيّة في الفقه الشيعيّ خارج كتاب الوقف. وقد تَعدَّى استعمالُ هذين الاصطلاحين مؤخَّراً كتاب الوقف، ليستعمل في دائرة الشؤون العامّة والحقوق الدستوريّة.</w:t>
      </w:r>
    </w:p>
    <w:p w:rsidR="00EA09EB" w:rsidRPr="00A32FC0" w:rsidRDefault="00EA09EB" w:rsidP="00CF6991">
      <w:pPr>
        <w:pStyle w:val="Normal84"/>
        <w:rPr>
          <w:rtl/>
        </w:rPr>
      </w:pPr>
      <w:r w:rsidRPr="00A32FC0">
        <w:rPr>
          <w:rFonts w:hint="cs"/>
          <w:rtl/>
        </w:rPr>
        <w:t>4</w:t>
      </w:r>
      <w:r w:rsidRPr="00A32FC0">
        <w:rPr>
          <w:rtl/>
        </w:rPr>
        <w:t>ـ</w:t>
      </w:r>
      <w:r w:rsidRPr="00A32FC0">
        <w:rPr>
          <w:rFonts w:hint="cs"/>
          <w:rtl/>
        </w:rPr>
        <w:t xml:space="preserve"> كانت أولى تجلّيات نظرية نظارة الفقيه في عصر المشروطة في إيران. تعتبر المادة الثانية من تتمّة دستور المشروطة أفضل مثال على نظريّة نظارة الفقيه: «يجب على مجلس الشورى الوطنيّ </w:t>
      </w:r>
      <w:r w:rsidRPr="00A32FC0">
        <w:rPr>
          <w:rtl/>
        </w:rPr>
        <w:t>ـ</w:t>
      </w:r>
      <w:r w:rsidRPr="00A32FC0">
        <w:rPr>
          <w:rFonts w:hint="cs"/>
          <w:rtl/>
        </w:rPr>
        <w:t xml:space="preserve"> الذي تأسَّس بفضل وتأييد إمام العصر</w:t>
      </w:r>
      <w:r w:rsidRPr="00A32FC0">
        <w:rPr>
          <w:rFonts w:hint="cs"/>
          <w:rtl/>
        </w:rPr>
        <w:sym w:font="Abz Roumouz" w:char="F02E"/>
      </w:r>
      <w:r w:rsidRPr="00A32FC0">
        <w:rPr>
          <w:rFonts w:hint="cs"/>
          <w:rtl/>
        </w:rPr>
        <w:t xml:space="preserve">، وعناية ملك ملوك الإسلام خلّد الله سلطانه، وإشراف حجج الإسلام كثَّر الله أمثالهم، وعموم الشعب الإيراني </w:t>
      </w:r>
      <w:r w:rsidRPr="00A32FC0">
        <w:rPr>
          <w:rtl/>
        </w:rPr>
        <w:t>ـ</w:t>
      </w:r>
      <w:r w:rsidRPr="00A32FC0">
        <w:rPr>
          <w:rFonts w:hint="cs"/>
          <w:rtl/>
        </w:rPr>
        <w:t xml:space="preserve"> أن لا تخالف موادّه القانونيّة القواعد المقدّسة للإسلام، والقوانين التي وضعها النبيّ</w:t>
      </w:r>
      <w:r w:rsidRPr="00A32FC0">
        <w:rPr>
          <w:rFonts w:hint="cs"/>
          <w:rtl/>
        </w:rPr>
        <w:sym w:font="Roumouz" w:char="F02D"/>
      </w:r>
      <w:r w:rsidRPr="00A32FC0">
        <w:rPr>
          <w:rFonts w:hint="cs"/>
          <w:rtl/>
        </w:rPr>
        <w:t>، في أيّ عصر من العصور، وتقرَّرَ أنّ تشخيص مخالفة القوانين الموضوعة للقواعد الإسلامية كان ولا يزال في عهدة الأعلام أدام الله بركات وجودهم. ولذلك تقرّر أن يكون هناك في أيّ عصر من العصور لجنة لا تَقلُّ عن خمسة من المجتهدين والفقهاء المتديّنين، ممَّن لهم اطلاع على متطلّبات العصر، وذلك بقيام العلماء الأعلام وحجج الإسلام ومرجع تقليد الشيعة بتسمية عشرين شخصاً من العلماء يتمتَّعون بالصفات المذكورة، وتقديم هذه الأسماء إلى مجلس الشورى الوطني، ويقوم هذا المجلس بانتخاب خمسة أو أكثر، بالإجماع أو بالقرعة، لعضوية الهيئة؛ ليقوموا بالتدقيق والبحث والدراسة للموادّ التي تُقَرّ في المجلسين؛ حتى يتمّ ردّ واستبعاد المواد المُقَرَّة المخالفة لقواعد الإسلام المقدَّسة؛ لكي ترفع عنها الشرعية القانونية. وسوف يكون رأي هذه الهيئة من العلماء مطاعاً ومتَّبَعاً في هذا الباب، ولن تتغيَّر هذه المادة حتّى يظهر الإمام الحجّة</w:t>
      </w:r>
      <w:r w:rsidRPr="00A32FC0">
        <w:rPr>
          <w:rFonts w:hint="cs"/>
          <w:rtl/>
        </w:rPr>
        <w:sym w:font="Abz Roumouz" w:char="F02E"/>
      </w:r>
      <w:r w:rsidRPr="00A32FC0">
        <w:rPr>
          <w:rFonts w:hint="cs"/>
          <w:rtl/>
        </w:rPr>
        <w:t>»</w:t>
      </w:r>
      <w:r w:rsidRPr="00064619">
        <w:rPr>
          <w:rFonts w:cs="Taher"/>
          <w:vertAlign w:val="superscript"/>
          <w:rtl/>
        </w:rPr>
        <w:t>(</w:t>
      </w:r>
      <w:r w:rsidRPr="00064619">
        <w:rPr>
          <w:rStyle w:val="FootnoteReference"/>
          <w:rFonts w:cs="Taher"/>
          <w:sz w:val="32"/>
          <w:rtl/>
        </w:rPr>
        <w:footnoteReference w:id="308"/>
      </w:r>
      <w:r w:rsidRPr="00064619">
        <w:rPr>
          <w:rFonts w:cs="Taher"/>
          <w:vertAlign w:val="superscript"/>
          <w:rtl/>
        </w:rPr>
        <w:t>)</w:t>
      </w:r>
      <w:r w:rsidRPr="00A32FC0">
        <w:rPr>
          <w:rFonts w:hint="cs"/>
          <w:rtl/>
        </w:rPr>
        <w:t>.</w:t>
      </w:r>
    </w:p>
    <w:p w:rsidR="00EA09EB" w:rsidRPr="00A32FC0" w:rsidRDefault="00EA09EB" w:rsidP="00CF6991">
      <w:pPr>
        <w:pStyle w:val="Normal84"/>
        <w:rPr>
          <w:rtl/>
        </w:rPr>
      </w:pPr>
      <w:r w:rsidRPr="00A32FC0">
        <w:rPr>
          <w:rFonts w:hint="cs"/>
          <w:rtl/>
        </w:rPr>
        <w:t>أُقِرّت هذه المادة بإصرار فقهاء المشروعة، وخصوصاً الشيخ الشهيد فضل الله النوري</w:t>
      </w:r>
      <w:r w:rsidRPr="00064619">
        <w:rPr>
          <w:rFonts w:cs="Taher"/>
          <w:vertAlign w:val="superscript"/>
          <w:rtl/>
        </w:rPr>
        <w:t>(</w:t>
      </w:r>
      <w:r w:rsidRPr="00064619">
        <w:rPr>
          <w:rStyle w:val="FootnoteReference"/>
          <w:rFonts w:cs="Taher"/>
          <w:sz w:val="32"/>
          <w:rtl/>
        </w:rPr>
        <w:footnoteReference w:id="309"/>
      </w:r>
      <w:r w:rsidRPr="00064619">
        <w:rPr>
          <w:rFonts w:cs="Taher"/>
          <w:vertAlign w:val="superscript"/>
          <w:rtl/>
        </w:rPr>
        <w:t>)</w:t>
      </w:r>
      <w:r w:rsidRPr="00A32FC0">
        <w:rPr>
          <w:rFonts w:hint="cs"/>
          <w:rtl/>
        </w:rPr>
        <w:t>.</w:t>
      </w:r>
    </w:p>
    <w:p w:rsidR="00EA09EB" w:rsidRPr="00EA09EB" w:rsidRDefault="00EA09EB" w:rsidP="00CF6991">
      <w:pPr>
        <w:pStyle w:val="Normal84"/>
        <w:rPr>
          <w:rtl/>
        </w:rPr>
      </w:pPr>
      <w:r w:rsidRPr="00A32FC0">
        <w:rPr>
          <w:rFonts w:hint="cs"/>
          <w:rtl/>
        </w:rPr>
        <w:t>ومن وجهة نظر الميرزا النائينيّ، المنظّر الكبير للحركة الدستوريّة، يكفي وجود عدد من المجتهدين العدول بين نوّاب الشعب لتصحيح وتنفيذ الآراء الصادرة عن المجلس، وهذا إنما هو من باب مراعاة الاحتياط الشديد</w:t>
      </w:r>
      <w:r w:rsidRPr="00064619">
        <w:rPr>
          <w:rFonts w:cs="Taher"/>
          <w:vertAlign w:val="superscript"/>
          <w:rtl/>
        </w:rPr>
        <w:t>(</w:t>
      </w:r>
      <w:r w:rsidRPr="00064619">
        <w:rPr>
          <w:rStyle w:val="FootnoteReference"/>
          <w:rFonts w:cs="Taher"/>
          <w:sz w:val="32"/>
          <w:rtl/>
        </w:rPr>
        <w:footnoteReference w:id="310"/>
      </w:r>
      <w:r w:rsidRPr="00064619">
        <w:rPr>
          <w:rFonts w:cs="Taher"/>
          <w:vertAlign w:val="superscript"/>
          <w:rtl/>
        </w:rPr>
        <w:t>)</w:t>
      </w:r>
      <w:r w:rsidRPr="00EA09EB">
        <w:rPr>
          <w:rFonts w:hint="cs"/>
          <w:rtl/>
        </w:rPr>
        <w:t xml:space="preserve">. </w:t>
      </w:r>
    </w:p>
    <w:p w:rsidR="00EA09EB" w:rsidRPr="00A32FC0" w:rsidRDefault="00EA09EB" w:rsidP="00EA09EB">
      <w:pPr>
        <w:rPr>
          <w:rtl/>
          <w:lang w:bidi="ar-LB"/>
        </w:rPr>
      </w:pPr>
      <w:r w:rsidRPr="00A32FC0">
        <w:rPr>
          <w:rFonts w:hint="cs"/>
          <w:rtl/>
          <w:lang w:bidi="ar-LB"/>
        </w:rPr>
        <w:t>واللافت للنظر في مسألة نظارة فقهاء عصر الحركة الدستوريّة هو أن الفقهاء النظّار كانوا ينتخبون من قِبَل مجلس الشورى الوطنيّ بعد تسميتهم من قبل مراجع التقليد الشيعة.</w:t>
      </w:r>
    </w:p>
    <w:p w:rsidR="00EA09EB" w:rsidRPr="00A32FC0" w:rsidRDefault="00EA09EB" w:rsidP="00CF6991">
      <w:pPr>
        <w:pStyle w:val="Normal87"/>
        <w:rPr>
          <w:rtl/>
        </w:rPr>
      </w:pPr>
      <w:r w:rsidRPr="00A32FC0">
        <w:rPr>
          <w:rFonts w:hint="cs"/>
          <w:rtl/>
        </w:rPr>
        <w:t xml:space="preserve">ويرى فقهاء ذلك العصر </w:t>
      </w:r>
      <w:r w:rsidRPr="00A32FC0">
        <w:rPr>
          <w:rtl/>
        </w:rPr>
        <w:t>ـ</w:t>
      </w:r>
      <w:r w:rsidRPr="00A32FC0">
        <w:rPr>
          <w:rFonts w:hint="cs"/>
          <w:rtl/>
        </w:rPr>
        <w:t xml:space="preserve"> الأعمّ من المشروعة والمشروطة </w:t>
      </w:r>
      <w:r w:rsidRPr="00A32FC0">
        <w:rPr>
          <w:rtl/>
        </w:rPr>
        <w:t>ـ</w:t>
      </w:r>
      <w:r w:rsidRPr="00A32FC0">
        <w:rPr>
          <w:rFonts w:hint="cs"/>
          <w:rtl/>
        </w:rPr>
        <w:t xml:space="preserve"> أن هذه النظارة تُؤمِّنُ إسلاميّة الحكومة. غير أنّه من وجهة نظر فقهاء المشروعة فإن هذه النظارة هي مرتبة من مراتب ولاية الفقيه، وذلك من باب «ما لا يدرك كلّه لا يترك كلّه».</w:t>
      </w:r>
    </w:p>
    <w:p w:rsidR="00EA09EB" w:rsidRPr="00A32FC0" w:rsidRDefault="00EA09EB" w:rsidP="00CF6991">
      <w:pPr>
        <w:pStyle w:val="Normal84"/>
        <w:rPr>
          <w:rtl/>
        </w:rPr>
      </w:pPr>
      <w:r w:rsidRPr="00A32FC0">
        <w:rPr>
          <w:rFonts w:hint="cs"/>
          <w:rtl/>
        </w:rPr>
        <w:t>5</w:t>
      </w:r>
      <w:r w:rsidRPr="00A32FC0">
        <w:rPr>
          <w:rtl/>
        </w:rPr>
        <w:t>ـ</w:t>
      </w:r>
      <w:r>
        <w:rPr>
          <w:rFonts w:hint="cs"/>
          <w:rtl/>
        </w:rPr>
        <w:t xml:space="preserve"> السيد الخميني وإشراف</w:t>
      </w:r>
      <w:r w:rsidRPr="00A32FC0">
        <w:rPr>
          <w:rFonts w:hint="cs"/>
          <w:rtl/>
        </w:rPr>
        <w:t xml:space="preserve"> الفقيه. </w:t>
      </w:r>
    </w:p>
    <w:p w:rsidR="00EA09EB" w:rsidRPr="00A32FC0" w:rsidRDefault="00EA09EB" w:rsidP="00CF6991">
      <w:pPr>
        <w:pStyle w:val="Normal84"/>
        <w:rPr>
          <w:rtl/>
        </w:rPr>
      </w:pPr>
      <w:r>
        <w:rPr>
          <w:rFonts w:hint="cs"/>
          <w:rtl/>
        </w:rPr>
        <w:t>إن بعض آراء السيد</w:t>
      </w:r>
      <w:r w:rsidRPr="00A32FC0">
        <w:rPr>
          <w:rFonts w:hint="cs"/>
          <w:rtl/>
        </w:rPr>
        <w:t xml:space="preserve"> الخميني كانت منسجمة مع نظرية نظارة الفقيه في مرحلتين من مراحل حياته السياسيّة؛ إذ يمكن تقسيم تطوّر </w:t>
      </w:r>
      <w:r>
        <w:rPr>
          <w:rFonts w:hint="cs"/>
          <w:rtl/>
        </w:rPr>
        <w:t>الفكر السياسيّ عند السيد</w:t>
      </w:r>
      <w:r w:rsidRPr="00A32FC0">
        <w:rPr>
          <w:rFonts w:hint="cs"/>
          <w:rtl/>
        </w:rPr>
        <w:t xml:space="preserve"> الخميني إلى أربع مراحل:</w:t>
      </w:r>
    </w:p>
    <w:p w:rsidR="00EA09EB" w:rsidRPr="00A32FC0" w:rsidRDefault="00EA09EB" w:rsidP="00CF6991">
      <w:pPr>
        <w:pStyle w:val="Normal87"/>
        <w:rPr>
          <w:rtl/>
        </w:rPr>
      </w:pPr>
      <w:r w:rsidRPr="00A32FC0">
        <w:rPr>
          <w:rFonts w:hint="cs"/>
          <w:b/>
          <w:bCs/>
          <w:rtl/>
        </w:rPr>
        <w:t>المرحلة الأولى</w:t>
      </w:r>
      <w:r w:rsidRPr="00A32FC0">
        <w:rPr>
          <w:rFonts w:hint="cs"/>
          <w:rtl/>
        </w:rPr>
        <w:t>: وهي تمتد إلى سنة 1332</w:t>
      </w:r>
      <w:r>
        <w:rPr>
          <w:rFonts w:hint="cs"/>
          <w:rtl/>
        </w:rPr>
        <w:t>هـ.ش / 1953 م</w:t>
      </w:r>
      <w:r w:rsidRPr="00A32FC0">
        <w:rPr>
          <w:rFonts w:hint="cs"/>
          <w:rtl/>
        </w:rPr>
        <w:t>. وقد تمخَّض عنها كتابه «كشف الأسرار» (أُلِّف سنة 1322</w:t>
      </w:r>
      <w:r>
        <w:rPr>
          <w:rFonts w:hint="cs"/>
          <w:rtl/>
        </w:rPr>
        <w:t>هـ.ش / 1943 م</w:t>
      </w:r>
      <w:r w:rsidRPr="00A32FC0">
        <w:rPr>
          <w:rFonts w:hint="cs"/>
          <w:rtl/>
        </w:rPr>
        <w:t>). ويُستكشف من هذه المرحلة أنه كان يقول بنظارة الفقيه، كالميرزا النائيني.</w:t>
      </w:r>
    </w:p>
    <w:p w:rsidR="00EA09EB" w:rsidRPr="00A32FC0" w:rsidRDefault="00EA09EB" w:rsidP="00CF6991">
      <w:pPr>
        <w:pStyle w:val="Normal87"/>
        <w:rPr>
          <w:rtl/>
        </w:rPr>
      </w:pPr>
      <w:r w:rsidRPr="00A32FC0">
        <w:rPr>
          <w:rFonts w:hint="cs"/>
          <w:rtl/>
        </w:rPr>
        <w:t>يقول: «نحن لا نقول: إنّ الحكومة يجب أن تكون بيد الفقيه، بل نقول: إن الحكومة تُدار بشرع الله الذي منح صلاح البلد والناس، وهذا لا يمكن أن يحصل بدون إشراف العالم [الفقيه]، كما صدقت على ذلك دولة المشروطة»</w:t>
      </w:r>
      <w:r w:rsidRPr="00064619">
        <w:rPr>
          <w:rFonts w:cs="Taher"/>
          <w:vertAlign w:val="superscript"/>
          <w:rtl/>
        </w:rPr>
        <w:t>(</w:t>
      </w:r>
      <w:r w:rsidRPr="00064619">
        <w:rPr>
          <w:rStyle w:val="FootnoteReference"/>
          <w:rFonts w:cs="Taher"/>
          <w:sz w:val="32"/>
          <w:rtl/>
        </w:rPr>
        <w:footnoteReference w:id="311"/>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rPr>
        <w:t>ويقول: «</w:t>
      </w:r>
      <w:r w:rsidRPr="00A32FC0">
        <w:rPr>
          <w:rFonts w:hint="cs"/>
          <w:rtl/>
          <w:lang w:bidi="ar-LB"/>
        </w:rPr>
        <w:t>إنه عندما يقال: يجب أن تكون الحكومة بيد الفقيه فهذا لا يعني أن الفقيه هو الملك والوزير وقائد الجيش وعامل البلدية، بل يعني أنه يجب أن يكون للفقيه إشراف على القوّة المقنِّنة والقوّة الإجرائيّة في البلد الإسلامي</w:t>
      </w:r>
      <w:r w:rsidRPr="00A32FC0">
        <w:rPr>
          <w:rFonts w:hint="cs"/>
          <w:rtl/>
        </w:rPr>
        <w:t>ّ»</w:t>
      </w:r>
      <w:r w:rsidRPr="00064619">
        <w:rPr>
          <w:rFonts w:cs="Taher"/>
          <w:vertAlign w:val="superscript"/>
          <w:rtl/>
        </w:rPr>
        <w:t>(</w:t>
      </w:r>
      <w:r w:rsidRPr="00064619">
        <w:rPr>
          <w:rStyle w:val="FootnoteReference"/>
          <w:rFonts w:cs="Taher"/>
          <w:sz w:val="32"/>
          <w:rtl/>
        </w:rPr>
        <w:footnoteReference w:id="312"/>
      </w:r>
      <w:r w:rsidRPr="00064619">
        <w:rPr>
          <w:rFonts w:cs="Taher"/>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المرحلة الثانية</w:t>
      </w:r>
      <w:r w:rsidRPr="00EA09EB">
        <w:rPr>
          <w:rFonts w:hint="cs"/>
          <w:rtl/>
        </w:rPr>
        <w:t>: وهي مرحلة تكوين شخصيّته الفقهية الاستدلاليّة والفتوائيّة في قم وتركيا والنجف. ومن منجزات هذه المرحلة كتاب «الرسائل» و«تحرير الوسيلة» وكتاب «البيع». وفي هذه المرحلة كانت آراؤه السياسيّة تتمحور حول «نظريّة الولاية التعيينيّة العامّة للفقيه».</w:t>
      </w:r>
    </w:p>
    <w:p w:rsidR="00EA09EB" w:rsidRPr="00A32FC0" w:rsidRDefault="00EA09EB" w:rsidP="00CF6991">
      <w:pPr>
        <w:pStyle w:val="Normal84"/>
        <w:rPr>
          <w:rtl/>
        </w:rPr>
      </w:pPr>
      <w:r w:rsidRPr="00A32FC0">
        <w:rPr>
          <w:rFonts w:hint="cs"/>
          <w:b/>
          <w:bCs/>
          <w:rtl/>
        </w:rPr>
        <w:t>المرحلة الثالثة</w:t>
      </w:r>
      <w:r w:rsidRPr="00A32FC0">
        <w:rPr>
          <w:rFonts w:hint="cs"/>
          <w:rtl/>
        </w:rPr>
        <w:t>: وهي مرحلة الخطابات والآراء المكتوبة في باريس وقم (من سنة 1356</w:t>
      </w:r>
      <w:r>
        <w:rPr>
          <w:rFonts w:hint="cs"/>
          <w:rtl/>
        </w:rPr>
        <w:t>هـ.ش / 1977 م</w:t>
      </w:r>
      <w:r w:rsidRPr="00A32FC0">
        <w:rPr>
          <w:rFonts w:hint="cs"/>
          <w:rtl/>
        </w:rPr>
        <w:t xml:space="preserve"> إلى 1358</w:t>
      </w:r>
      <w:r>
        <w:rPr>
          <w:rFonts w:hint="cs"/>
          <w:rtl/>
        </w:rPr>
        <w:t>هـ.ش / 1979 م). وفي هذه المرحلة عاد السيد الخميني</w:t>
      </w:r>
      <w:r w:rsidRPr="00A32FC0">
        <w:rPr>
          <w:rFonts w:hint="cs"/>
          <w:rtl/>
        </w:rPr>
        <w:t xml:space="preserve"> ليطرح نظريّة نظارة الفقيه مرّة أخرى. لقد كانت «الجمهورية الإسلامية» من إنجازات هذه المرحلة. ويلاحظ في خطابات هذه المرحلة أنها قليلاً ما تعرَّضت لمسألة «ولاية الفقيه». وعلى سبيل المثال: نذكر بعض المقاطع من الحوارات التي أجريت مع</w:t>
      </w:r>
      <w:r>
        <w:rPr>
          <w:rFonts w:hint="cs"/>
          <w:rtl/>
        </w:rPr>
        <w:t>ه</w:t>
      </w:r>
      <w:r w:rsidRPr="00A32FC0">
        <w:rPr>
          <w:rFonts w:hint="cs"/>
          <w:rtl/>
        </w:rPr>
        <w:t xml:space="preserve"> في باريس:</w:t>
      </w:r>
    </w:p>
    <w:p w:rsidR="00EA09EB" w:rsidRPr="00A32FC0" w:rsidRDefault="00EA09EB" w:rsidP="00CF6991">
      <w:pPr>
        <w:pStyle w:val="Normal87"/>
        <w:rPr>
          <w:rtl/>
        </w:rPr>
      </w:pPr>
      <w:r w:rsidRPr="00A32FC0">
        <w:rPr>
          <w:rFonts w:hint="cs"/>
          <w:rtl/>
        </w:rPr>
        <w:t>يقول</w:t>
      </w:r>
      <w:r w:rsidR="00DD2A48">
        <w:rPr>
          <w:rFonts w:hint="cs"/>
          <w:rtl/>
        </w:rPr>
        <w:t>:</w:t>
      </w:r>
      <w:r w:rsidRPr="00A32FC0">
        <w:rPr>
          <w:rFonts w:hint="cs"/>
          <w:rtl/>
        </w:rPr>
        <w:t xml:space="preserve"> «في المستقبل (بعد انتصار الثورة) سوف أقوم بالوظيفة نفسها التي أمارسها الآن، وظيفة الهداية والإرشاد، وإذا اقتضت المصلحة، قمتُ ببيانها، وإذا صار هناك </w:t>
      </w:r>
      <w:r>
        <w:rPr>
          <w:rFonts w:hint="cs"/>
          <w:rtl/>
        </w:rPr>
        <w:t>أيّ</w:t>
      </w:r>
      <w:r w:rsidRPr="00A32FC0">
        <w:rPr>
          <w:rFonts w:hint="cs"/>
          <w:rtl/>
        </w:rPr>
        <w:t xml:space="preserve"> خيانة تصدَّيت لها. أمّا على صعيد الدولة فليس لي </w:t>
      </w:r>
      <w:r>
        <w:rPr>
          <w:rFonts w:hint="cs"/>
          <w:rtl/>
        </w:rPr>
        <w:t>أيّ</w:t>
      </w:r>
      <w:r w:rsidRPr="00A32FC0">
        <w:rPr>
          <w:rFonts w:hint="cs"/>
          <w:rtl/>
        </w:rPr>
        <w:t xml:space="preserve"> وظيفة فيها»</w:t>
      </w:r>
      <w:r w:rsidRPr="00064619">
        <w:rPr>
          <w:rFonts w:cs="Taher"/>
          <w:vertAlign w:val="superscript"/>
          <w:rtl/>
        </w:rPr>
        <w:t>(</w:t>
      </w:r>
      <w:r w:rsidRPr="00064619">
        <w:rPr>
          <w:rStyle w:val="FootnoteReference"/>
          <w:rFonts w:cs="Taher"/>
          <w:sz w:val="32"/>
          <w:rtl/>
        </w:rPr>
        <w:footnoteReference w:id="313"/>
      </w:r>
      <w:r w:rsidRPr="00064619">
        <w:rPr>
          <w:rFonts w:cs="Taher"/>
          <w:vertAlign w:val="superscript"/>
          <w:rtl/>
        </w:rPr>
        <w:t>)</w:t>
      </w:r>
      <w:r w:rsidRPr="00A32FC0">
        <w:rPr>
          <w:rFonts w:hint="cs"/>
          <w:rtl/>
        </w:rPr>
        <w:t xml:space="preserve">. </w:t>
      </w:r>
    </w:p>
    <w:p w:rsidR="00EA09EB" w:rsidRPr="00EA09EB" w:rsidRDefault="00EA09EB" w:rsidP="00EA09EB">
      <w:pPr>
        <w:rPr>
          <w:rtl/>
        </w:rPr>
      </w:pPr>
      <w:r w:rsidRPr="00A32FC0">
        <w:rPr>
          <w:rFonts w:hint="cs"/>
          <w:rtl/>
          <w:lang w:bidi="ar-LB"/>
        </w:rPr>
        <w:t xml:space="preserve">وردّاً على سؤال طرحه أحد الصحافيّين: هل تنوون قبول مهمّة قيادة الجمهورية الإسلامية؟ أجاب: </w:t>
      </w:r>
      <w:r w:rsidRPr="00A32FC0">
        <w:rPr>
          <w:rFonts w:hint="cs"/>
          <w:rtl/>
        </w:rPr>
        <w:t>«</w:t>
      </w:r>
      <w:r w:rsidRPr="00A32FC0">
        <w:rPr>
          <w:rFonts w:hint="cs"/>
          <w:rtl/>
          <w:lang w:bidi="ar-LB"/>
        </w:rPr>
        <w:t>أنا شخصيّاً لا أقبل أيّ منصب</w:t>
      </w:r>
      <w:r w:rsidRPr="00A32FC0">
        <w:rPr>
          <w:rFonts w:hint="cs"/>
          <w:rtl/>
        </w:rPr>
        <w:t>»</w:t>
      </w:r>
      <w:r w:rsidRPr="00064619">
        <w:rPr>
          <w:rFonts w:cs="Taher"/>
          <w:vertAlign w:val="superscript"/>
          <w:rtl/>
        </w:rPr>
        <w:t>(</w:t>
      </w:r>
      <w:r w:rsidRPr="00064619">
        <w:rPr>
          <w:rStyle w:val="FootnoteReference"/>
          <w:rFonts w:cs="Taher"/>
          <w:sz w:val="32"/>
          <w:rtl/>
        </w:rPr>
        <w:footnoteReference w:id="314"/>
      </w:r>
      <w:r w:rsidRPr="00064619">
        <w:rPr>
          <w:rFonts w:cs="Taher"/>
          <w:vertAlign w:val="superscript"/>
          <w:rtl/>
        </w:rPr>
        <w:t>)</w:t>
      </w:r>
      <w:r w:rsidRPr="00EA09EB">
        <w:rPr>
          <w:rFonts w:hint="cs"/>
          <w:rtl/>
        </w:rPr>
        <w:t>، «أنا لا أطلب لنفسي أيّ وظيفة سوى هداية الشعب والحكومة»</w:t>
      </w:r>
      <w:r w:rsidRPr="00064619">
        <w:rPr>
          <w:rFonts w:cs="Taher"/>
          <w:vertAlign w:val="superscript"/>
          <w:rtl/>
        </w:rPr>
        <w:t>(</w:t>
      </w:r>
      <w:r w:rsidRPr="00064619">
        <w:rPr>
          <w:rStyle w:val="FootnoteReference"/>
          <w:rFonts w:cs="Taher"/>
          <w:sz w:val="32"/>
          <w:rtl/>
        </w:rPr>
        <w:footnoteReference w:id="315"/>
      </w:r>
      <w:r w:rsidRPr="00064619">
        <w:rPr>
          <w:rFonts w:cs="Taher"/>
          <w:vertAlign w:val="superscript"/>
          <w:rtl/>
        </w:rPr>
        <w:t>)</w:t>
      </w:r>
      <w:r w:rsidRPr="00EA09EB">
        <w:rPr>
          <w:rFonts w:hint="cs"/>
          <w:rtl/>
        </w:rPr>
        <w:t>، «أنا وباقي رجال الدين لن نشغل أيّ منصب. وظيفة رجال الدين هي إرشاد الحكومات»</w:t>
      </w:r>
      <w:r w:rsidRPr="00064619">
        <w:rPr>
          <w:rFonts w:cs="Taher"/>
          <w:vertAlign w:val="superscript"/>
          <w:rtl/>
        </w:rPr>
        <w:t>(</w:t>
      </w:r>
      <w:r w:rsidRPr="00064619">
        <w:rPr>
          <w:rStyle w:val="FootnoteReference"/>
          <w:rFonts w:cs="Taher"/>
          <w:sz w:val="32"/>
          <w:rtl/>
        </w:rPr>
        <w:footnoteReference w:id="316"/>
      </w:r>
      <w:r w:rsidRPr="00064619">
        <w:rPr>
          <w:rFonts w:cs="Taher"/>
          <w:vertAlign w:val="superscript"/>
          <w:rtl/>
        </w:rPr>
        <w:t>)</w:t>
      </w:r>
      <w:r w:rsidRPr="00EA09EB">
        <w:rPr>
          <w:rFonts w:hint="cs"/>
          <w:rtl/>
        </w:rPr>
        <w:t>.</w:t>
      </w:r>
    </w:p>
    <w:p w:rsidR="00EA09EB" w:rsidRPr="00EA09EB" w:rsidRDefault="00EA09EB" w:rsidP="00CF6991">
      <w:pPr>
        <w:pStyle w:val="Normal87"/>
        <w:rPr>
          <w:rtl/>
        </w:rPr>
      </w:pPr>
      <w:r w:rsidRPr="007A340E">
        <w:rPr>
          <w:rFonts w:hint="cs"/>
          <w:b/>
          <w:bCs/>
          <w:rtl/>
        </w:rPr>
        <w:t>المرحلة الرابعة</w:t>
      </w:r>
      <w:r w:rsidRPr="00EA09EB">
        <w:rPr>
          <w:rFonts w:hint="cs"/>
          <w:rtl/>
        </w:rPr>
        <w:t xml:space="preserve">: وهي السنوات العشر الأخيرة الزاخرة من حياة السيد الخمينيّ في طهران. وفي هذه المرحلة قام السيد الخميني بطرح ولاية الفقيه. ومنذ سنة 1366هـ.ش </w:t>
      </w:r>
      <w:r>
        <w:rPr>
          <w:rFonts w:hint="cs"/>
          <w:rtl/>
        </w:rPr>
        <w:t xml:space="preserve">/ </w:t>
      </w:r>
      <w:r w:rsidRPr="00EA09EB">
        <w:rPr>
          <w:rFonts w:hint="cs"/>
          <w:rtl/>
        </w:rPr>
        <w:t>1987 م فما بعد طرح نظرية «الولاية التعيينيّة المطلقة للفقيه».</w:t>
      </w:r>
    </w:p>
    <w:p w:rsidR="00EA09EB" w:rsidRPr="00A32FC0" w:rsidRDefault="00EA09EB" w:rsidP="00CF6991">
      <w:pPr>
        <w:pStyle w:val="Normal84"/>
        <w:rPr>
          <w:rtl/>
        </w:rPr>
      </w:pPr>
      <w:r w:rsidRPr="00A32FC0">
        <w:rPr>
          <w:rFonts w:hint="cs"/>
          <w:rtl/>
        </w:rPr>
        <w:t>وفي هذه المرحلة أشار</w:t>
      </w:r>
      <w:r>
        <w:rPr>
          <w:rFonts w:hint="cs"/>
          <w:rtl/>
        </w:rPr>
        <w:t xml:space="preserve"> السيد الخميني</w:t>
      </w:r>
      <w:r w:rsidRPr="00A32FC0">
        <w:rPr>
          <w:rFonts w:hint="cs"/>
          <w:rtl/>
        </w:rPr>
        <w:t xml:space="preserve"> ـ في موردين على الأقلّ ـ إلى الأسباب التي جعلته يغيّر رأيه من القول بـ «الدور الإرشادي والإشرافي للفقهاء» إلى القول بـ «الولاية التدبيرية والإجرائية»: </w:t>
      </w:r>
    </w:p>
    <w:p w:rsidR="00EA09EB" w:rsidRPr="00EA09EB" w:rsidRDefault="00EA09EB" w:rsidP="00CF6991">
      <w:pPr>
        <w:pStyle w:val="Normal87"/>
        <w:rPr>
          <w:rtl/>
        </w:rPr>
      </w:pPr>
      <w:r w:rsidRPr="007A340E">
        <w:rPr>
          <w:rFonts w:hint="cs"/>
          <w:b/>
          <w:bCs/>
          <w:rtl/>
        </w:rPr>
        <w:t>المورد الأوّل</w:t>
      </w:r>
      <w:r w:rsidRPr="00284A72">
        <w:rPr>
          <w:rFonts w:hint="cs"/>
          <w:rtl/>
        </w:rPr>
        <w:t>: قال</w:t>
      </w:r>
      <w:r w:rsidR="00284A72">
        <w:rPr>
          <w:rFonts w:hint="cs"/>
          <w:rtl/>
        </w:rPr>
        <w:t xml:space="preserve"> السيد الخميني</w:t>
      </w:r>
      <w:r w:rsidR="00DD2A48" w:rsidRPr="00284A72">
        <w:rPr>
          <w:rFonts w:hint="cs"/>
          <w:rtl/>
        </w:rPr>
        <w:t xml:space="preserve"> في</w:t>
      </w:r>
      <w:r w:rsidRPr="00284A72">
        <w:rPr>
          <w:rFonts w:hint="cs"/>
          <w:rtl/>
        </w:rPr>
        <w:t xml:space="preserve"> 30/3</w:t>
      </w:r>
      <w:r w:rsidRPr="00EA09EB">
        <w:rPr>
          <w:rFonts w:hint="cs"/>
          <w:rtl/>
        </w:rPr>
        <w:t xml:space="preserve">/1361هـ.ش </w:t>
      </w:r>
      <w:r>
        <w:rPr>
          <w:rFonts w:hint="cs"/>
          <w:rtl/>
        </w:rPr>
        <w:t xml:space="preserve">/ </w:t>
      </w:r>
      <w:r w:rsidRPr="00EA09EB">
        <w:rPr>
          <w:rFonts w:hint="cs"/>
          <w:rtl/>
        </w:rPr>
        <w:t>1982 م: «أنا منذ بداية الأمر، وعندما بدأت بشائر الانتصار تظهر لنا، كنت أقول، سواء في المقابلات الصحفية التي أجريتها مع صحفيّين من الخارج، وحتّى في النجف وباريس، أم في الكلام الذي كنت أقوله خارج هذا الإطار</w:t>
      </w:r>
      <w:r w:rsidR="00DD2A48">
        <w:rPr>
          <w:rFonts w:hint="cs"/>
          <w:rtl/>
        </w:rPr>
        <w:t>،</w:t>
      </w:r>
      <w:r w:rsidRPr="00EA09EB">
        <w:rPr>
          <w:rFonts w:hint="cs"/>
          <w:rtl/>
        </w:rPr>
        <w:t xml:space="preserve"> إن وظيفة رجال الدين أرفع من هذه المسائل الإجرائية. وإذا انتصر الإسلام فعلى رجال الدين أن يعودوا إلى أعمالهم. ولكن بعد أن عدنا، وأصبحنا داخل المعركة، رأينا أنّه إذا طلبنا من رجال الدين أن يعودوا إلى مساجدهم ليتولّوا شؤونها وقعت البلاد بين فكَّيْ أمريكا أو الاتحاد السوفياتي. وقد كان لنا تجربة في هذا الأمر، ولاحظنا كيف أنّ أشخاصاً كانوا على رأس السلطة، ولم يكونوا من رجال الدين، والذين كان بعضهم من المتديّنين، لم تكن توجُّهاتهم متَّفقة مع ما كنّا نطمح إليه من الاستقلال، وبناء أنفسنا بأنفسنا، وعدم الخضوع للقوى العظمى. وحيث إننا رأينا أنّه لن نتمكَّن من إيجاد أشخاص قادرين على إيصال هذا الشعب إلى الهدف الذي قدّم في سبيله شبابه</w:t>
      </w:r>
      <w:r w:rsidR="00DD2A48">
        <w:rPr>
          <w:rFonts w:hint="cs"/>
          <w:rtl/>
        </w:rPr>
        <w:t>،</w:t>
      </w:r>
      <w:r w:rsidRPr="00EA09EB">
        <w:rPr>
          <w:rFonts w:hint="cs"/>
          <w:rtl/>
        </w:rPr>
        <w:t xml:space="preserve"> رأينا أنّه من الضروري أن يكون رئيس جمهوريّتنا من علماء الدين.... وكما أشرنا سابقاً، وفي عدّة مناسبات، إلى أنّه لم يكن البناء على أن تصبح الأمور بهذا الشكل، والآن أقول: إنه في اليوم الذي نرى فيه وجود مجموعة أفراد من غير رجال الدين قادرين على أن يديروا البلاد بما يرضي الله فسوف يتنحى السيد الخامنئي عن منصبه، ليعود إلى وظيفته كرجل دين، وكذلك بقية رجال الدين. نحن لسنا ممَّنْ يقول كلمة يرى فيها مصلحة للإسلام، ثم يدرك أنه أخطأ في قوله ولا يعود عن خطئه. وإذا أدركنا يوماً ما بأنّ ما نقوله اليوم خطأ وجب علينا أن نتداركه، فنحن نسعى خلف المصلحة، ولا نسعى للتمسك بأقوالنا... ونحن اليوم نَعْدِل عمّا كنّا قد قلناه في المقابلات الصحفية، وبشكل مؤقَّت. عندما يتمكَّن أحد من غير رجال الدين من إدارة البلاد سوف يقوم رجال الدين بالتنحّي جانباً، والعودة إلى وظائفهم، وتحويل السلطة الإجرائية إلى الأشخاص الذين يعملون للإسلام...»</w:t>
      </w:r>
      <w:r w:rsidRPr="00064619">
        <w:rPr>
          <w:rFonts w:cs="Taher"/>
          <w:sz w:val="32"/>
          <w:vertAlign w:val="superscript"/>
          <w:rtl/>
        </w:rPr>
        <w:t>(</w:t>
      </w:r>
      <w:r w:rsidRPr="00064619">
        <w:rPr>
          <w:rStyle w:val="FootnoteReference"/>
          <w:rFonts w:cs="Taher"/>
          <w:sz w:val="32"/>
          <w:rtl/>
        </w:rPr>
        <w:footnoteReference w:id="317"/>
      </w:r>
      <w:r w:rsidRPr="00064619">
        <w:rPr>
          <w:rFonts w:cs="Taher"/>
          <w:sz w:val="32"/>
          <w:vertAlign w:val="superscript"/>
          <w:rtl/>
        </w:rPr>
        <w:t>)</w:t>
      </w:r>
      <w:r w:rsidRPr="00EA09EB">
        <w:rPr>
          <w:rFonts w:hint="cs"/>
          <w:rtl/>
        </w:rPr>
        <w:t>.</w:t>
      </w:r>
    </w:p>
    <w:p w:rsidR="00EA09EB" w:rsidRPr="00EA09EB" w:rsidRDefault="00EA09EB" w:rsidP="00CF6991">
      <w:pPr>
        <w:pStyle w:val="Normal84"/>
        <w:rPr>
          <w:rtl/>
        </w:rPr>
      </w:pPr>
      <w:r w:rsidRPr="007A340E">
        <w:rPr>
          <w:rFonts w:hint="cs"/>
          <w:b/>
          <w:bCs/>
          <w:rtl/>
        </w:rPr>
        <w:t>المورد الثاني</w:t>
      </w:r>
      <w:r w:rsidRPr="00EA09EB">
        <w:rPr>
          <w:rFonts w:hint="cs"/>
          <w:rtl/>
        </w:rPr>
        <w:t xml:space="preserve">: صرّح في 20/9/1362هـ.ش </w:t>
      </w:r>
      <w:r>
        <w:rPr>
          <w:rFonts w:hint="cs"/>
          <w:rtl/>
        </w:rPr>
        <w:t xml:space="preserve">/ </w:t>
      </w:r>
      <w:r w:rsidRPr="00EA09EB">
        <w:rPr>
          <w:rFonts w:hint="cs"/>
          <w:rtl/>
        </w:rPr>
        <w:t>1983 م ـ وللمرّة الثانية ـ في لقاء مع مجلس صيانة الدستور بالعدول عن رأيه، فقال: «المهم هو أننا نريد أن ندير الأمور طبقاً لشريعة الإسلام. فإذا كنا قد أخطأنا سابقاً فعلينا أن نعترف بخطئنا. وهذا هو معنى عدول الفقهاء من فتوى إلى فتوى. فعندما يعدل الفقيه عن فتواه فهذا يعني أنه قد كان مشتبهاً وعَدَلَ عن اشتباهه. وعلى فقهاء مجلس صيانة الدستور وأعضاء شورى القضاء العليا أن يكونوا كذلك، بحيث إذا أخطأوا في مسألة أن تكون لهم الجرأة بأن يقولوا: إننا أخطأنا، وأن يرجعوا عن خطئهم. فنحن غير معصومين. قبل الثورة كنت أتصوّر أنه بعد انتصار الثورة سوف يكون هناك أفراد صالحون يديرون الأمور طبقاً للإسلام. ولذلك قلتُ مراراً: إن على رجال الدين أن يعودوا إلى أعمالهم الخاصة. وتبيّن فيما بعد أنّ الأمر ليس كذلك. فأكثرهم لم يكونوا صالحين. وتبيَّن أن كلامي الذي قلتُه لم يكُنْ صحيحاً، فأعلنتُ بشكلٍ صريح أنّني قد أخطأت. وهذا كلّه لأجل أننا نريد أن نطبِّق الإسلام. وعلى هذا الأساس فإنّه من الممكن أن أكون قد قلتُ بالأمس شيئاً وأعدل عنه اليوم، ثم أعدل إلى شيءٍ آخر غداً، فلا يعقل أن أتمسَّك اليوم بكلامٍ فقط لأنّه صدر منّي بالأمس...»</w:t>
      </w:r>
      <w:r w:rsidRPr="00064619">
        <w:rPr>
          <w:rFonts w:cs="Taher"/>
          <w:sz w:val="32"/>
          <w:vertAlign w:val="superscript"/>
          <w:rtl/>
        </w:rPr>
        <w:t>(</w:t>
      </w:r>
      <w:r w:rsidRPr="00064619">
        <w:rPr>
          <w:rStyle w:val="FootnoteReference"/>
          <w:rFonts w:cs="Taher"/>
          <w:sz w:val="32"/>
          <w:rtl/>
        </w:rPr>
        <w:footnoteReference w:id="318"/>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Pr>
          <w:rFonts w:hint="cs"/>
          <w:rtl/>
          <w:lang w:bidi="ar-LB"/>
        </w:rPr>
        <w:t>وهنا</w:t>
      </w:r>
      <w:r w:rsidRPr="00A32FC0">
        <w:rPr>
          <w:rFonts w:hint="cs"/>
          <w:rtl/>
          <w:lang w:bidi="ar-LB"/>
        </w:rPr>
        <w:t>ك قولان في ما يخصّ الفكر السياسي</w:t>
      </w:r>
      <w:r>
        <w:rPr>
          <w:rFonts w:hint="cs"/>
          <w:rtl/>
          <w:lang w:bidi="ar-LB"/>
        </w:rPr>
        <w:t xml:space="preserve"> للسيد</w:t>
      </w:r>
      <w:r w:rsidRPr="00A32FC0">
        <w:rPr>
          <w:rFonts w:hint="cs"/>
          <w:rtl/>
          <w:lang w:bidi="ar-LB"/>
        </w:rPr>
        <w:t xml:space="preserve"> الخمينيّ، من جهة تطوّره: قول بوحدة رأيه طوال عمره؛ وقولٌ بتعدُّد آرائه.</w:t>
      </w:r>
    </w:p>
    <w:p w:rsidR="00EA09EB" w:rsidRPr="00A32FC0" w:rsidRDefault="00EA09EB" w:rsidP="00CF6991">
      <w:pPr>
        <w:pStyle w:val="Normal84"/>
        <w:rPr>
          <w:rtl/>
        </w:rPr>
      </w:pPr>
      <w:r w:rsidRPr="00A32FC0">
        <w:rPr>
          <w:rFonts w:hint="cs"/>
          <w:rtl/>
        </w:rPr>
        <w:t xml:space="preserve">يرى أصحاب القول الأول أن </w:t>
      </w:r>
      <w:r>
        <w:rPr>
          <w:rFonts w:hint="cs"/>
          <w:rtl/>
        </w:rPr>
        <w:t>السيد</w:t>
      </w:r>
      <w:r w:rsidRPr="00A32FC0">
        <w:rPr>
          <w:rFonts w:hint="cs"/>
          <w:rtl/>
        </w:rPr>
        <w:t xml:space="preserve"> الخمينيّ آمن منذ البداية بنظرية الولاية التعيينية للفقيه، إلاّ أنّ بعض المقتضيات الزمنيّة والمكانيّة حالت دون إبراز هذه النظريّة بجميع أبعادها، فاكتفى بإظهار قسم منها. ولذلك يجب إرجاء كلّ ما هو متشابه من كلمات</w:t>
      </w:r>
      <w:r>
        <w:rPr>
          <w:rFonts w:hint="cs"/>
          <w:rtl/>
        </w:rPr>
        <w:t>ه</w:t>
      </w:r>
      <w:r w:rsidRPr="00A32FC0">
        <w:rPr>
          <w:rFonts w:hint="cs"/>
          <w:rtl/>
        </w:rPr>
        <w:t xml:space="preserve"> إلى ما هو محكم منها، ولذلك لا يمكن اعتبار «نظرية نظارة الفقيه» رأياً حقيقيّاً من آرائه في </w:t>
      </w:r>
      <w:r>
        <w:rPr>
          <w:rFonts w:hint="cs"/>
          <w:rtl/>
        </w:rPr>
        <w:t>أيّ</w:t>
      </w:r>
      <w:r w:rsidRPr="00A32FC0">
        <w:rPr>
          <w:rFonts w:hint="cs"/>
          <w:rtl/>
        </w:rPr>
        <w:t xml:space="preserve"> مرحلة من مراحل حياته. وهذا يستدعي توخّي الدقّة عند استخراج آراء </w:t>
      </w:r>
      <w:r>
        <w:rPr>
          <w:rFonts w:hint="cs"/>
          <w:rtl/>
        </w:rPr>
        <w:t>السيد الخميني</w:t>
      </w:r>
      <w:r w:rsidRPr="00A32FC0">
        <w:rPr>
          <w:rFonts w:hint="cs"/>
          <w:rtl/>
        </w:rPr>
        <w:t xml:space="preserve"> من الكتب والخطابات الموجَّهة لغير المتخصِّصين، بحيث يكون المرجع الأساسي في هذه المسائل مبانيه الفقهيّة وآراءه السياسيّة التي لا تحتمل الشكّ.</w:t>
      </w:r>
    </w:p>
    <w:p w:rsidR="00EA09EB" w:rsidRPr="00A32FC0" w:rsidRDefault="00EA09EB" w:rsidP="00DD2A48">
      <w:pPr>
        <w:rPr>
          <w:rtl/>
          <w:lang w:bidi="ar-LB"/>
        </w:rPr>
      </w:pPr>
      <w:r w:rsidRPr="00A32FC0">
        <w:rPr>
          <w:rFonts w:hint="cs"/>
          <w:rtl/>
          <w:lang w:bidi="ar-LB"/>
        </w:rPr>
        <w:t>وأما أصحاب القول الثاني فإنهم؛ بالعودة إلى كلام</w:t>
      </w:r>
      <w:r>
        <w:rPr>
          <w:rFonts w:hint="cs"/>
          <w:rtl/>
          <w:lang w:bidi="ar-LB"/>
        </w:rPr>
        <w:t>ه</w:t>
      </w:r>
      <w:r w:rsidRPr="00A32FC0">
        <w:rPr>
          <w:rFonts w:hint="cs"/>
          <w:rtl/>
          <w:lang w:bidi="ar-LB"/>
        </w:rPr>
        <w:t xml:space="preserve"> الصريح حول العدول وتغيير وجهة النظر واعترافه الجليل بالخطأ، لم يَعُدْ أمامهم أدنى شكّ في القول بتطوّر وتعدّد آرائه السياسية. فبحجّة عدم توفُّر أفراد صالحين من غير الفقهاء ورجال الدين</w:t>
      </w:r>
      <w:r w:rsidR="00DD2A48">
        <w:rPr>
          <w:rFonts w:hint="cs"/>
          <w:rtl/>
          <w:lang w:bidi="ar-LB"/>
        </w:rPr>
        <w:t>،</w:t>
      </w:r>
      <w:r w:rsidRPr="00A32FC0">
        <w:rPr>
          <w:rFonts w:hint="cs"/>
          <w:rtl/>
          <w:lang w:bidi="ar-LB"/>
        </w:rPr>
        <w:t xml:space="preserve"> قام بالعدول بشكل مؤقَّت عن نظرية نظارة وإرشاد الفقيه إلى القول بتصدّي الفقهاء ورجال الدين للأمور الإجرائيّة والتدبيريّة.</w:t>
      </w:r>
    </w:p>
    <w:p w:rsidR="00EA09EB" w:rsidRPr="00A32FC0" w:rsidRDefault="00EA09EB" w:rsidP="00EA09EB">
      <w:pPr>
        <w:rPr>
          <w:rtl/>
          <w:lang w:bidi="ar-LB"/>
        </w:rPr>
      </w:pPr>
      <w:r w:rsidRPr="00A32FC0">
        <w:rPr>
          <w:rFonts w:hint="cs"/>
          <w:rtl/>
          <w:lang w:bidi="ar-LB"/>
        </w:rPr>
        <w:t xml:space="preserve">وعلى </w:t>
      </w:r>
      <w:r>
        <w:rPr>
          <w:rFonts w:hint="cs"/>
          <w:rtl/>
          <w:lang w:bidi="ar-LB"/>
        </w:rPr>
        <w:t>أيّ</w:t>
      </w:r>
      <w:r w:rsidRPr="00A32FC0">
        <w:rPr>
          <w:rFonts w:hint="cs"/>
          <w:rtl/>
          <w:lang w:bidi="ar-LB"/>
        </w:rPr>
        <w:t xml:space="preserve"> حال فإنّ</w:t>
      </w:r>
      <w:r>
        <w:rPr>
          <w:rFonts w:hint="cs"/>
          <w:rtl/>
          <w:lang w:bidi="ar-LB"/>
        </w:rPr>
        <w:t xml:space="preserve"> السيد الخميني</w:t>
      </w:r>
      <w:r w:rsidRPr="00A32FC0">
        <w:rPr>
          <w:rFonts w:hint="cs"/>
          <w:rtl/>
          <w:lang w:bidi="ar-LB"/>
        </w:rPr>
        <w:t xml:space="preserve"> قد تبنّى نظريّة نظارة الفقيه في مرحلة من مراحل حياته. ما جعل أصحاب القول الأوّل يرون أن هذا التبنّي كان دعائيّاً، وبياناً لإحدى مراتب الولاية. فيما يرى أصحاب القول الثاني أن هذا التبنّي كان واقعيّاً</w:t>
      </w:r>
      <w:r>
        <w:rPr>
          <w:rFonts w:hint="cs"/>
          <w:rtl/>
          <w:lang w:bidi="ar-LB"/>
        </w:rPr>
        <w:t xml:space="preserve"> وحقيقيّاً، هذا أولاً.</w:t>
      </w:r>
    </w:p>
    <w:p w:rsidR="00EA09EB" w:rsidRPr="00A32FC0" w:rsidRDefault="00EA09EB" w:rsidP="00CF6991">
      <w:pPr>
        <w:pStyle w:val="Normal93"/>
        <w:rPr>
          <w:rtl/>
        </w:rPr>
      </w:pPr>
      <w:r w:rsidRPr="00A32FC0">
        <w:rPr>
          <w:rFonts w:hint="cs"/>
          <w:rtl/>
        </w:rPr>
        <w:t>وأمّا ثانياً فإنّ هذه النظرية لم تكن في حال من الأحوال مخالفة للشرع، و</w:t>
      </w:r>
      <w:r>
        <w:rPr>
          <w:rFonts w:hint="cs"/>
          <w:rtl/>
        </w:rPr>
        <w:t>إلاّ لم يَقُم فقيه كبير، كالسيد الخميني</w:t>
      </w:r>
      <w:r w:rsidRPr="00A32FC0">
        <w:rPr>
          <w:rFonts w:hint="cs"/>
          <w:rtl/>
        </w:rPr>
        <w:t>، بطرحها.</w:t>
      </w:r>
    </w:p>
    <w:p w:rsidR="00EA09EB" w:rsidRPr="00A32FC0" w:rsidRDefault="00EA09EB" w:rsidP="00CF6991">
      <w:pPr>
        <w:pStyle w:val="Normal93"/>
        <w:rPr>
          <w:rtl/>
        </w:rPr>
      </w:pPr>
      <w:r w:rsidRPr="00A32FC0">
        <w:rPr>
          <w:rFonts w:hint="cs"/>
          <w:rtl/>
        </w:rPr>
        <w:t>وأمّا ثالثاً فإنّ السبب الحقيقيّ الذي جعل</w:t>
      </w:r>
      <w:r>
        <w:rPr>
          <w:rFonts w:hint="cs"/>
          <w:rtl/>
        </w:rPr>
        <w:t>ه</w:t>
      </w:r>
      <w:r w:rsidRPr="00A32FC0">
        <w:rPr>
          <w:rFonts w:hint="cs"/>
          <w:rtl/>
        </w:rPr>
        <w:t xml:space="preserve"> يَعْدِل، مؤقَّتاً، عن هذه النظرية لم يكن ضعف مبانيها وأسسها، وإنما كان عدم توفّر الشر</w:t>
      </w:r>
      <w:r>
        <w:rPr>
          <w:rFonts w:hint="cs"/>
          <w:rtl/>
        </w:rPr>
        <w:t>وط الزمانية والمكانية لتطبيقها.</w:t>
      </w:r>
    </w:p>
    <w:p w:rsidR="00EA09EB" w:rsidRDefault="00EA09EB" w:rsidP="00CF6991">
      <w:pPr>
        <w:pStyle w:val="Normal93"/>
        <w:rPr>
          <w:rtl/>
        </w:rPr>
      </w:pPr>
      <w:r>
        <w:rPr>
          <w:rFonts w:hint="cs"/>
          <w:rtl/>
        </w:rPr>
        <w:t>6</w:t>
      </w:r>
      <w:r w:rsidRPr="00A32FC0">
        <w:rPr>
          <w:rtl/>
        </w:rPr>
        <w:t>ـ</w:t>
      </w:r>
      <w:r w:rsidRPr="00A32FC0">
        <w:rPr>
          <w:rFonts w:hint="cs"/>
          <w:rtl/>
        </w:rPr>
        <w:t xml:space="preserve"> يعد الشهيد مرتضى مطهري من جملة القائلين بنظرية </w:t>
      </w:r>
      <w:r>
        <w:rPr>
          <w:rFonts w:hint="cs"/>
          <w:rtl/>
        </w:rPr>
        <w:t>نظارة</w:t>
      </w:r>
      <w:r w:rsidRPr="00A32FC0">
        <w:rPr>
          <w:rFonts w:hint="cs"/>
          <w:rtl/>
        </w:rPr>
        <w:t xml:space="preserve"> الفقيه </w:t>
      </w:r>
      <w:r w:rsidRPr="00F159BE">
        <w:rPr>
          <w:rFonts w:hint="cs"/>
          <w:rtl/>
        </w:rPr>
        <w:t xml:space="preserve">حيث إن </w:t>
      </w:r>
      <w:r>
        <w:rPr>
          <w:rFonts w:hint="cs"/>
          <w:rtl/>
        </w:rPr>
        <w:t>(</w:t>
      </w:r>
      <w:r w:rsidRPr="00F159BE">
        <w:rPr>
          <w:rFonts w:hint="cs"/>
          <w:rtl/>
        </w:rPr>
        <w:t>ولاية الفقيه</w:t>
      </w:r>
      <w:r>
        <w:rPr>
          <w:rFonts w:hint="cs"/>
          <w:rtl/>
        </w:rPr>
        <w:t>)</w:t>
      </w:r>
      <w:r w:rsidRPr="00F159BE">
        <w:rPr>
          <w:rFonts w:hint="cs"/>
          <w:rtl/>
        </w:rPr>
        <w:t>، من وجهة نظره، لا تعني أن يكون الفقيه على رأس هرم الدولة والسلطة، والقيام بإدارة الدولة، والإمساك بمقاليدها على المستوى العملي، وإنما يتلخّص دور الفقيه في البلد الإسلامي (الذي ينظر فيه المواطنون إلى الإسلام بوصفه أيديولوجيا، ويتمسَّكون به على هذا الأساس)، هو دور المنظِّر الأيديولوجي، وليس دور الحاكِم. وفي الأساس فإن</w:t>
      </w:r>
      <w:r>
        <w:rPr>
          <w:rFonts w:hint="cs"/>
          <w:rtl/>
        </w:rPr>
        <w:t>ّ</w:t>
      </w:r>
      <w:r w:rsidRPr="00F159BE">
        <w:rPr>
          <w:rFonts w:hint="cs"/>
          <w:rtl/>
        </w:rPr>
        <w:t xml:space="preserve"> الفقيه يتم</w:t>
      </w:r>
      <w:r>
        <w:rPr>
          <w:rFonts w:hint="cs"/>
          <w:rtl/>
        </w:rPr>
        <w:t>ّ</w:t>
      </w:r>
      <w:r w:rsidRPr="00F159BE">
        <w:rPr>
          <w:rFonts w:hint="cs"/>
          <w:rtl/>
        </w:rPr>
        <w:t xml:space="preserve"> انتخابه من قبل الناس أنفسهم. وإن</w:t>
      </w:r>
      <w:r>
        <w:rPr>
          <w:rFonts w:hint="cs"/>
          <w:rtl/>
        </w:rPr>
        <w:t>ّ</w:t>
      </w:r>
      <w:r w:rsidRPr="00F159BE">
        <w:rPr>
          <w:rFonts w:hint="cs"/>
          <w:rtl/>
        </w:rPr>
        <w:t xml:space="preserve"> مسؤولية الأيديولوجي تتلخ</w:t>
      </w:r>
      <w:r>
        <w:rPr>
          <w:rFonts w:hint="cs"/>
          <w:rtl/>
        </w:rPr>
        <w:t>َّ</w:t>
      </w:r>
      <w:r w:rsidRPr="00F159BE">
        <w:rPr>
          <w:rFonts w:hint="cs"/>
          <w:rtl/>
        </w:rPr>
        <w:t>ص في الإشراف على التطبيق الصحيح لهذه الأيديولوجيا. فهو الذي يدرس ويقرّ</w:t>
      </w:r>
      <w:r>
        <w:rPr>
          <w:rFonts w:hint="cs"/>
          <w:rtl/>
        </w:rPr>
        <w:t>ِ</w:t>
      </w:r>
      <w:r w:rsidRPr="00F159BE">
        <w:rPr>
          <w:rFonts w:hint="cs"/>
          <w:rtl/>
        </w:rPr>
        <w:t>ر صلاحية م</w:t>
      </w:r>
      <w:r>
        <w:rPr>
          <w:rFonts w:hint="cs"/>
          <w:rtl/>
        </w:rPr>
        <w:t>َ</w:t>
      </w:r>
      <w:r w:rsidRPr="00F159BE">
        <w:rPr>
          <w:rFonts w:hint="cs"/>
          <w:rtl/>
        </w:rPr>
        <w:t>ن</w:t>
      </w:r>
      <w:r>
        <w:rPr>
          <w:rFonts w:hint="cs"/>
          <w:rtl/>
        </w:rPr>
        <w:t>ْ</w:t>
      </w:r>
      <w:r w:rsidRPr="00F159BE">
        <w:rPr>
          <w:rFonts w:hint="cs"/>
          <w:rtl/>
        </w:rPr>
        <w:t xml:space="preserve"> يتول</w:t>
      </w:r>
      <w:r>
        <w:rPr>
          <w:rFonts w:hint="cs"/>
          <w:rtl/>
        </w:rPr>
        <w:t>ّ</w:t>
      </w:r>
      <w:r w:rsidRPr="00F159BE">
        <w:rPr>
          <w:rFonts w:hint="cs"/>
          <w:rtl/>
        </w:rPr>
        <w:t>ى تطبيق القانون</w:t>
      </w:r>
      <w:r>
        <w:rPr>
          <w:rFonts w:hint="cs"/>
          <w:rtl/>
        </w:rPr>
        <w:t>،</w:t>
      </w:r>
      <w:r w:rsidRPr="00F159BE">
        <w:rPr>
          <w:rFonts w:hint="cs"/>
          <w:rtl/>
        </w:rPr>
        <w:t xml:space="preserve"> والذي يريد أن يتسن</w:t>
      </w:r>
      <w:r>
        <w:rPr>
          <w:rFonts w:hint="cs"/>
          <w:rtl/>
        </w:rPr>
        <w:t>َّ</w:t>
      </w:r>
      <w:r w:rsidRPr="00F159BE">
        <w:rPr>
          <w:rFonts w:hint="cs"/>
          <w:rtl/>
        </w:rPr>
        <w:t>م منصب رئيس الدولة</w:t>
      </w:r>
      <w:r>
        <w:rPr>
          <w:rFonts w:hint="cs"/>
          <w:rtl/>
        </w:rPr>
        <w:t>،</w:t>
      </w:r>
      <w:r w:rsidRPr="00F159BE">
        <w:rPr>
          <w:rFonts w:hint="cs"/>
          <w:rtl/>
        </w:rPr>
        <w:t xml:space="preserve"> أو إدارة الأمور ضمن الإطار الأيديولوجي للإسلام.</w:t>
      </w:r>
    </w:p>
    <w:p w:rsidR="00EA09EB" w:rsidRPr="00EA09EB" w:rsidRDefault="00EA09EB" w:rsidP="007A340E">
      <w:pPr>
        <w:ind w:firstLine="283"/>
        <w:rPr>
          <w:rtl/>
        </w:rPr>
      </w:pPr>
      <w:r w:rsidRPr="00EA09EB">
        <w:rPr>
          <w:rFonts w:hint="cs"/>
          <w:rtl/>
        </w:rPr>
        <w:t>لم يكن فهم المواطنين لـ «ولاية الفقيه» آنذاك (في عصر المشروطة والحركة الدستورية)، ولا في الوقت الراهن، يقوم على تولّي علماء الدين والفقهاء مقاليد السلطة بأنفسهم، وإنَّما كان هذا التصوُّر يقوم على أساس أنّ الفقيه إنّما يُصادق على صلاحية مَنْ يتصدّى لإدارة البلاد والمجتمع الإسلامي، ويتمكَّن من تطبيق قوانين الوطنية الإسلامية»</w:t>
      </w:r>
      <w:r w:rsidRPr="00064619">
        <w:rPr>
          <w:rFonts w:cs="Taher"/>
          <w:sz w:val="32"/>
          <w:vertAlign w:val="superscript"/>
          <w:rtl/>
        </w:rPr>
        <w:t>(</w:t>
      </w:r>
      <w:r w:rsidRPr="00064619">
        <w:rPr>
          <w:rStyle w:val="FootnoteReference"/>
          <w:rFonts w:cs="Taher"/>
          <w:sz w:val="32"/>
          <w:rtl/>
        </w:rPr>
        <w:footnoteReference w:id="319"/>
      </w:r>
      <w:r w:rsidRPr="00064619">
        <w:rPr>
          <w:rFonts w:cs="Taher"/>
          <w:sz w:val="32"/>
          <w:vertAlign w:val="superscript"/>
          <w:rtl/>
        </w:rPr>
        <w:t>)</w:t>
      </w:r>
      <w:r w:rsidRPr="00EA09EB">
        <w:rPr>
          <w:rFonts w:hint="cs"/>
          <w:rtl/>
        </w:rPr>
        <w:t>.</w:t>
      </w:r>
    </w:p>
    <w:p w:rsidR="00EA09EB" w:rsidRPr="00F159BE" w:rsidRDefault="00EA09EB" w:rsidP="00CF6991">
      <w:pPr>
        <w:pStyle w:val="Normal93"/>
        <w:rPr>
          <w:rtl/>
        </w:rPr>
      </w:pPr>
      <w:r w:rsidRPr="00FE1B99">
        <w:rPr>
          <w:rFonts w:hint="cs"/>
          <w:rtl/>
        </w:rPr>
        <w:t xml:space="preserve">وقد صرَّح الأستاذ الشهيد مطهَّري في </w:t>
      </w:r>
      <w:r w:rsidR="00DD2A48">
        <w:rPr>
          <w:rFonts w:hint="cs"/>
          <w:rtl/>
        </w:rPr>
        <w:t>موضوع</w:t>
      </w:r>
      <w:r w:rsidRPr="00FE1B99">
        <w:rPr>
          <w:rFonts w:hint="cs"/>
          <w:rtl/>
        </w:rPr>
        <w:t xml:space="preserve"> (المؤسسة الدينية والثورة الإسلامية) قائلاً: «إن سبب نجاح علماء الشيعة في ريادتهم للثورات الكبرى على طول التاريخ، وإخفاق</w:t>
      </w:r>
      <w:r w:rsidRPr="00F159BE">
        <w:rPr>
          <w:rFonts w:hint="cs"/>
          <w:rtl/>
        </w:rPr>
        <w:t xml:space="preserve"> غيرهم من العلماء في هذا الشأن</w:t>
      </w:r>
      <w:r>
        <w:rPr>
          <w:rFonts w:hint="cs"/>
          <w:rtl/>
        </w:rPr>
        <w:t>،</w:t>
      </w:r>
      <w:r w:rsidRPr="00F159BE">
        <w:rPr>
          <w:rFonts w:hint="cs"/>
          <w:rtl/>
        </w:rPr>
        <w:t xml:space="preserve"> يعود إلى سبب</w:t>
      </w:r>
      <w:r>
        <w:rPr>
          <w:rFonts w:hint="cs"/>
          <w:rtl/>
        </w:rPr>
        <w:t>َ</w:t>
      </w:r>
      <w:r w:rsidRPr="00F159BE">
        <w:rPr>
          <w:rFonts w:hint="cs"/>
          <w:rtl/>
        </w:rPr>
        <w:t>ي</w:t>
      </w:r>
      <w:r>
        <w:rPr>
          <w:rFonts w:hint="cs"/>
          <w:rtl/>
        </w:rPr>
        <w:t>ْ</w:t>
      </w:r>
      <w:r w:rsidRPr="00F159BE">
        <w:rPr>
          <w:rFonts w:hint="cs"/>
          <w:rtl/>
        </w:rPr>
        <w:t>ن رئيس</w:t>
      </w:r>
      <w:r>
        <w:rPr>
          <w:rFonts w:hint="cs"/>
          <w:rtl/>
        </w:rPr>
        <w:t>َ</w:t>
      </w:r>
      <w:r w:rsidRPr="00F159BE">
        <w:rPr>
          <w:rFonts w:hint="cs"/>
          <w:rtl/>
        </w:rPr>
        <w:t>ي</w:t>
      </w:r>
      <w:r>
        <w:rPr>
          <w:rFonts w:hint="cs"/>
          <w:rtl/>
        </w:rPr>
        <w:t>ْ</w:t>
      </w:r>
      <w:r w:rsidRPr="00F159BE">
        <w:rPr>
          <w:rFonts w:hint="cs"/>
          <w:rtl/>
        </w:rPr>
        <w:t>ن، وهما:</w:t>
      </w:r>
    </w:p>
    <w:p w:rsidR="00EA09EB" w:rsidRPr="00EA09EB" w:rsidRDefault="00EA09EB" w:rsidP="00CF6991">
      <w:pPr>
        <w:pStyle w:val="Normal93"/>
        <w:rPr>
          <w:rtl/>
        </w:rPr>
      </w:pPr>
      <w:r w:rsidRPr="007A340E">
        <w:rPr>
          <w:rFonts w:hint="cs"/>
          <w:b/>
          <w:bCs/>
          <w:rtl/>
        </w:rPr>
        <w:t>أوّلاً</w:t>
      </w:r>
      <w:r w:rsidRPr="00EA09EB">
        <w:rPr>
          <w:rFonts w:hint="cs"/>
          <w:rtl/>
        </w:rPr>
        <w:t>: الطابع الخاصّ الذي يطبع المؤسَّسة الدينية الشيعية، والذي يتمثَّل بالثقافة التي ينشأ عليها علماء الشيعة؛ فإنّ الطبيعة الذاتية للثقافة الشيعية هي طبيعة ديناميكية وحيوية ومحرِّكة وثورية.</w:t>
      </w:r>
    </w:p>
    <w:p w:rsidR="00EA09EB" w:rsidRPr="00EA09EB" w:rsidRDefault="00EA09EB" w:rsidP="007A340E">
      <w:pPr>
        <w:ind w:firstLine="283"/>
        <w:rPr>
          <w:rtl/>
        </w:rPr>
      </w:pPr>
      <w:r w:rsidRPr="007A340E">
        <w:rPr>
          <w:rFonts w:hint="cs"/>
          <w:b/>
          <w:bCs/>
          <w:rtl/>
        </w:rPr>
        <w:t>ثانياً</w:t>
      </w:r>
      <w:r w:rsidRPr="00EA09EB">
        <w:rPr>
          <w:rFonts w:hint="cs"/>
          <w:rtl/>
        </w:rPr>
        <w:t>: إنّ المؤسَّسة الدينية والعلمية لدى الشيعة ـ والتي أرسى الأئمّة الأطهار</w:t>
      </w:r>
      <w:r w:rsidR="007A340E">
        <w:rPr>
          <w:rFonts w:hint="cs"/>
          <w:rtl/>
        </w:rPr>
        <w:t>^</w:t>
      </w:r>
      <w:r w:rsidRPr="00EA09EB">
        <w:rPr>
          <w:rFonts w:hint="cs"/>
          <w:rtl/>
        </w:rPr>
        <w:t xml:space="preserve"> قواعدها ـ قامت منذ البداية على أساس التضادّ والمعارضة مع السلطات الحاكمة.</w:t>
      </w:r>
    </w:p>
    <w:p w:rsidR="00EA09EB" w:rsidRPr="00F159BE" w:rsidRDefault="00EA09EB" w:rsidP="00CF6991">
      <w:pPr>
        <w:pStyle w:val="Normal93"/>
        <w:rPr>
          <w:rtl/>
        </w:rPr>
      </w:pPr>
      <w:r w:rsidRPr="00F159BE">
        <w:rPr>
          <w:rFonts w:hint="cs"/>
          <w:rtl/>
        </w:rPr>
        <w:t>تعتمد المؤس</w:t>
      </w:r>
      <w:r>
        <w:rPr>
          <w:rFonts w:hint="cs"/>
          <w:rtl/>
        </w:rPr>
        <w:t>َّ</w:t>
      </w:r>
      <w:r w:rsidRPr="00F159BE">
        <w:rPr>
          <w:rFonts w:hint="cs"/>
          <w:rtl/>
        </w:rPr>
        <w:t>سة الدينية الشيعية ـ من الناحية المعنوية والروحية ـ على الله سبحانه وتعالى، كما تستند ـ من الناحية الاجتماعية ـ على الناس. ولذلك لم يكن علماء الشيعة يوماً ما من الذين يركنون إلى الحاكم والسلطة أبداً. وأما في المقلب الآخر فقد كان علماء السن</w:t>
      </w:r>
      <w:r>
        <w:rPr>
          <w:rFonts w:hint="cs"/>
          <w:rtl/>
        </w:rPr>
        <w:t>ّ</w:t>
      </w:r>
      <w:r w:rsidRPr="00F159BE">
        <w:rPr>
          <w:rFonts w:hint="cs"/>
          <w:rtl/>
        </w:rPr>
        <w:t>ة منذ البداية تبعاً لمنظومة السلطة وجز</w:t>
      </w:r>
      <w:r>
        <w:rPr>
          <w:rFonts w:hint="cs"/>
          <w:rtl/>
        </w:rPr>
        <w:t>ءاً منها</w:t>
      </w:r>
      <w:r w:rsidRPr="00F159BE">
        <w:rPr>
          <w:rFonts w:hint="cs"/>
          <w:rtl/>
        </w:rPr>
        <w:t>... وعليه يمكن لنا أن نختزل هذا السبب باستقلالية علماء الشيعة في القرارات التي يت</w:t>
      </w:r>
      <w:r>
        <w:rPr>
          <w:rFonts w:hint="cs"/>
          <w:rtl/>
        </w:rPr>
        <w:t>َّ</w:t>
      </w:r>
      <w:r w:rsidRPr="00F159BE">
        <w:rPr>
          <w:rFonts w:hint="cs"/>
          <w:rtl/>
        </w:rPr>
        <w:t>خذونها في مواجهة الدولة وغيرها من المؤس</w:t>
      </w:r>
      <w:r>
        <w:rPr>
          <w:rFonts w:hint="cs"/>
          <w:rtl/>
        </w:rPr>
        <w:t>َّ</w:t>
      </w:r>
      <w:r w:rsidRPr="00F159BE">
        <w:rPr>
          <w:rFonts w:hint="cs"/>
          <w:rtl/>
        </w:rPr>
        <w:t>سات الاجتماعية. فلم تكن المؤس</w:t>
      </w:r>
      <w:r>
        <w:rPr>
          <w:rFonts w:hint="cs"/>
          <w:rtl/>
        </w:rPr>
        <w:t>َّ</w:t>
      </w:r>
      <w:r w:rsidRPr="00F159BE">
        <w:rPr>
          <w:rFonts w:hint="cs"/>
          <w:rtl/>
        </w:rPr>
        <w:t>سة الشيعية تأتمر يوماً بأوامر الدولة</w:t>
      </w:r>
      <w:r>
        <w:rPr>
          <w:rFonts w:hint="cs"/>
          <w:rtl/>
        </w:rPr>
        <w:t>،</w:t>
      </w:r>
      <w:r w:rsidRPr="00F159BE">
        <w:rPr>
          <w:rFonts w:hint="cs"/>
          <w:rtl/>
        </w:rPr>
        <w:t xml:space="preserve"> ولا ترفع صور رموزها. ولذلك يجب الحفاظ على هذه الميزة الحيوية للمؤس</w:t>
      </w:r>
      <w:r>
        <w:rPr>
          <w:rFonts w:hint="cs"/>
          <w:rtl/>
        </w:rPr>
        <w:t>َّ</w:t>
      </w:r>
      <w:r w:rsidRPr="00F159BE">
        <w:rPr>
          <w:rFonts w:hint="cs"/>
          <w:rtl/>
        </w:rPr>
        <w:t>سة الدينية الشيعية في المستقبل أيضاً. وهذا ما صرّ</w:t>
      </w:r>
      <w:r>
        <w:rPr>
          <w:rFonts w:hint="cs"/>
          <w:rtl/>
        </w:rPr>
        <w:t xml:space="preserve">َح به </w:t>
      </w:r>
      <w:r w:rsidR="00DD2A48">
        <w:rPr>
          <w:rFonts w:hint="cs"/>
          <w:rtl/>
        </w:rPr>
        <w:t>الإمام</w:t>
      </w:r>
      <w:r>
        <w:rPr>
          <w:rFonts w:hint="cs"/>
          <w:rtl/>
        </w:rPr>
        <w:t xml:space="preserve"> </w:t>
      </w:r>
      <w:r w:rsidRPr="00A32FC0">
        <w:rPr>
          <w:rFonts w:hint="cs"/>
          <w:rtl/>
        </w:rPr>
        <w:sym w:font="Abz Roumouz" w:char="F029"/>
      </w:r>
      <w:r w:rsidRPr="00F159BE">
        <w:rPr>
          <w:rFonts w:hint="cs"/>
          <w:rtl/>
        </w:rPr>
        <w:t>نفسه، حيث قال: لا أرضى بأن يتول</w:t>
      </w:r>
      <w:r>
        <w:rPr>
          <w:rFonts w:hint="cs"/>
          <w:rtl/>
        </w:rPr>
        <w:t>ّ</w:t>
      </w:r>
      <w:r w:rsidRPr="00F159BE">
        <w:rPr>
          <w:rFonts w:hint="cs"/>
          <w:rtl/>
        </w:rPr>
        <w:t>ى علماء الدين مناصب في الدولة</w:t>
      </w:r>
      <w:r>
        <w:rPr>
          <w:rFonts w:hint="cs"/>
          <w:rtl/>
        </w:rPr>
        <w:t>،</w:t>
      </w:r>
      <w:r w:rsidRPr="00F159BE">
        <w:rPr>
          <w:rFonts w:hint="cs"/>
          <w:rtl/>
        </w:rPr>
        <w:t xml:space="preserve"> حت</w:t>
      </w:r>
      <w:r>
        <w:rPr>
          <w:rFonts w:hint="cs"/>
          <w:rtl/>
        </w:rPr>
        <w:t>ّ</w:t>
      </w:r>
      <w:r w:rsidRPr="00F159BE">
        <w:rPr>
          <w:rFonts w:hint="cs"/>
          <w:rtl/>
        </w:rPr>
        <w:t>ى في إطار نظام الجمهورية الإسلامية.</w:t>
      </w:r>
    </w:p>
    <w:p w:rsidR="00EA09EB" w:rsidRDefault="00EA09EB" w:rsidP="00CF6991">
      <w:pPr>
        <w:pStyle w:val="Normal93"/>
        <w:rPr>
          <w:rtl/>
          <w:lang w:bidi="ar-AE"/>
        </w:rPr>
      </w:pPr>
      <w:r w:rsidRPr="00EA09EB">
        <w:rPr>
          <w:rFonts w:hint="cs"/>
          <w:rtl/>
        </w:rPr>
        <w:t>ومع ذلك هنالك أمورٌ تدخل ضمن صلاحيّات المؤسَّسة الدينية، من قبيل: التعليم والقضاء وما إلى ذلك... ولكنْ لا ينبغي لعلماء الدين الانخراط في الوظائف الحكومية، وإنَّما عليهم الوقوف خارجها، والإشراف على أدائها وهدايتها وتوجيهها»</w:t>
      </w:r>
      <w:r w:rsidRPr="00064619">
        <w:rPr>
          <w:rFonts w:cs="Taher"/>
          <w:vertAlign w:val="superscript"/>
          <w:rtl/>
        </w:rPr>
        <w:t>(</w:t>
      </w:r>
      <w:r w:rsidRPr="00064619">
        <w:rPr>
          <w:rStyle w:val="FootnoteReference"/>
          <w:rFonts w:cs="Taher"/>
          <w:sz w:val="32"/>
          <w:rtl/>
        </w:rPr>
        <w:footnoteReference w:id="320"/>
      </w:r>
      <w:r w:rsidRPr="00064619">
        <w:rPr>
          <w:rFonts w:cs="Taher"/>
          <w:vertAlign w:val="superscript"/>
          <w:rtl/>
        </w:rPr>
        <w:t>)</w:t>
      </w:r>
      <w:r w:rsidRPr="00FE1B99">
        <w:rPr>
          <w:rFonts w:hint="cs"/>
          <w:rtl/>
          <w:lang w:bidi="ar-AE"/>
        </w:rPr>
        <w:t>.</w:t>
      </w:r>
    </w:p>
    <w:p w:rsidR="00EA09EB" w:rsidRPr="00A32FC0" w:rsidRDefault="00EA09EB" w:rsidP="00EA09EB">
      <w:pPr>
        <w:rPr>
          <w:rtl/>
          <w:lang w:bidi="ar-LB"/>
        </w:rPr>
      </w:pPr>
      <w:r w:rsidRPr="00A32FC0">
        <w:rPr>
          <w:rFonts w:hint="cs"/>
          <w:rtl/>
          <w:lang w:bidi="ar-LB"/>
        </w:rPr>
        <w:t xml:space="preserve">وبملاحظة ما ذكره الشهيد مطهري قام الشيخ المنتظري بالتأكيد على نظريّة </w:t>
      </w:r>
      <w:r w:rsidRPr="00A32FC0">
        <w:rPr>
          <w:rFonts w:hint="cs"/>
          <w:rtl/>
        </w:rPr>
        <w:t>«</w:t>
      </w:r>
      <w:r w:rsidRPr="00A32FC0">
        <w:rPr>
          <w:rFonts w:hint="cs"/>
          <w:rtl/>
          <w:lang w:bidi="ar-LB"/>
        </w:rPr>
        <w:t>نظارة الفقيه</w:t>
      </w:r>
      <w:r w:rsidRPr="00A32FC0">
        <w:rPr>
          <w:rFonts w:hint="cs"/>
          <w:rtl/>
        </w:rPr>
        <w:t>»،</w:t>
      </w:r>
      <w:r w:rsidRPr="00A32FC0">
        <w:rPr>
          <w:rFonts w:hint="cs"/>
          <w:rtl/>
          <w:lang w:bidi="ar-LB"/>
        </w:rPr>
        <w:t xml:space="preserve"> وعلى طول المرحلة الثالث</w:t>
      </w:r>
      <w:r>
        <w:rPr>
          <w:rFonts w:hint="cs"/>
          <w:rtl/>
          <w:lang w:bidi="ar-LB"/>
        </w:rPr>
        <w:t>ة من مراحل الفكر السياسيّ للسيد</w:t>
      </w:r>
      <w:r w:rsidRPr="00A32FC0">
        <w:rPr>
          <w:rFonts w:hint="cs"/>
          <w:rtl/>
          <w:lang w:bidi="ar-LB"/>
        </w:rPr>
        <w:t xml:space="preserve"> الخميني، حيث يقول: </w:t>
      </w:r>
      <w:r w:rsidRPr="00A32FC0">
        <w:rPr>
          <w:rFonts w:hint="cs"/>
          <w:rtl/>
        </w:rPr>
        <w:t>«</w:t>
      </w:r>
      <w:r w:rsidRPr="00A32FC0">
        <w:rPr>
          <w:rFonts w:hint="cs"/>
          <w:rtl/>
          <w:lang w:bidi="ar-LB"/>
        </w:rPr>
        <w:t xml:space="preserve">الهدف الأساسي من ولاية الفقيه هو إجراء وتنفيذ الأحكام والمقرَّرات الإسلامية وإدارة أمور المسلمين طبقاً للمعايير الإسلامية. ويتمّ ذلك إمّا بتصدّي الفقيه وإمّا بتأييده وإشرافه على السلطة الإجرائية في حال كانت السلطة منتخَبة من قِبَل الشعب (طبقاً لما يوجبه دستورنا). وفي الواقع </w:t>
      </w:r>
      <w:r w:rsidRPr="007D560B">
        <w:rPr>
          <w:rFonts w:hint="cs"/>
          <w:rtl/>
          <w:lang w:bidi="ar-LB"/>
        </w:rPr>
        <w:t>فإنّ ولاية الفقيه تعني ولاية الفقه أي أحكام الله على سلوك البشر.</w:t>
      </w:r>
      <w:r w:rsidRPr="00A32FC0">
        <w:rPr>
          <w:rFonts w:hint="cs"/>
          <w:rtl/>
          <w:lang w:bidi="ar-LB"/>
        </w:rPr>
        <w:t xml:space="preserve"> وفي طبيعة الحال فإنّ كلّ فرد مسلم </w:t>
      </w:r>
      <w:r w:rsidRPr="00A32FC0">
        <w:rPr>
          <w:rtl/>
          <w:lang w:bidi="ar-LB"/>
        </w:rPr>
        <w:t>ـ</w:t>
      </w:r>
      <w:r w:rsidRPr="00A32FC0">
        <w:rPr>
          <w:rFonts w:hint="cs"/>
          <w:rtl/>
          <w:lang w:bidi="ar-LB"/>
        </w:rPr>
        <w:t xml:space="preserve"> طبقاً لاعتقاده الديني </w:t>
      </w:r>
      <w:r w:rsidRPr="00A32FC0">
        <w:rPr>
          <w:rtl/>
          <w:lang w:bidi="ar-LB"/>
        </w:rPr>
        <w:t>ـ</w:t>
      </w:r>
      <w:r w:rsidRPr="00A32FC0">
        <w:rPr>
          <w:rFonts w:hint="cs"/>
          <w:rtl/>
          <w:lang w:bidi="ar-LB"/>
        </w:rPr>
        <w:t xml:space="preserve"> يرغب بإجراء وتنفيذ أحكام الإسلام، وفي النهاية فإن إسلامية النظام تقتضي أن يكون الفقيه العادل، وهو المتخصِّص بالشؤون الإسلامية، مشرِفاً على عملية إدارة الدولة. وهذا الأمر لا يتنافى مع أن يتولّى كلّ متخصِّص في مجال الثقافة والاقتصاد والسياسة ما هو مجال اختصاصه، بل يجب أن يكون الأمر كذلك، وإلاّ سوف يكون هناك خيانة. وما يتناسب مع تخصُّص الفقيه هو إسلاميّة مقرَّرات الدولة، وعدم تعارض سياساتها العامة مع أحكام الشرع. وقد ورد في دستورنا أن إحدى وظائف القائد هي: </w:t>
      </w:r>
      <w:r w:rsidRPr="00A32FC0">
        <w:rPr>
          <w:rFonts w:hint="cs"/>
          <w:rtl/>
        </w:rPr>
        <w:t>«</w:t>
      </w:r>
      <w:r w:rsidRPr="00A32FC0">
        <w:rPr>
          <w:rFonts w:hint="cs"/>
          <w:rtl/>
          <w:lang w:bidi="ar-LB"/>
        </w:rPr>
        <w:t>الإشراف على حسن إجراء السياسات العامة للدولة</w:t>
      </w:r>
      <w:r w:rsidRPr="00A32FC0">
        <w:rPr>
          <w:rFonts w:hint="cs"/>
          <w:rtl/>
        </w:rPr>
        <w:t>»</w:t>
      </w:r>
      <w:r w:rsidRPr="00A32FC0">
        <w:rPr>
          <w:rFonts w:hint="cs"/>
          <w:rtl/>
          <w:lang w:bidi="ar-LB"/>
        </w:rPr>
        <w:t>. مع ملاحظة أن السياسات العامّة للدولة لابدّ أن تكون قائمة على أساس الموازين الإسلاميّة</w:t>
      </w:r>
      <w:r w:rsidRPr="00A32FC0">
        <w:rPr>
          <w:rFonts w:hint="cs"/>
          <w:rtl/>
        </w:rPr>
        <w:t>»</w:t>
      </w:r>
      <w:r w:rsidRPr="00064619">
        <w:rPr>
          <w:rFonts w:cs="Taher"/>
          <w:vertAlign w:val="superscript"/>
          <w:rtl/>
          <w:lang w:bidi="ar-LB"/>
        </w:rPr>
        <w:t>(</w:t>
      </w:r>
      <w:r w:rsidRPr="00064619">
        <w:rPr>
          <w:rStyle w:val="FootnoteReference"/>
          <w:rFonts w:cs="Taher"/>
          <w:sz w:val="32"/>
          <w:rtl/>
          <w:lang w:bidi="ar-LB"/>
        </w:rPr>
        <w:footnoteReference w:id="321"/>
      </w:r>
      <w:r w:rsidRPr="00064619">
        <w:rPr>
          <w:rFonts w:cs="Taher"/>
          <w:vertAlign w:val="superscript"/>
          <w:rtl/>
          <w:lang w:bidi="ar-LB"/>
        </w:rPr>
        <w:t>)</w:t>
      </w:r>
      <w:r w:rsidRPr="00A32FC0">
        <w:rPr>
          <w:rFonts w:hint="cs"/>
          <w:rtl/>
          <w:lang w:bidi="ar-LB"/>
        </w:rPr>
        <w:t>.</w:t>
      </w:r>
    </w:p>
    <w:p w:rsidR="00EA09EB" w:rsidRPr="00A32FC0" w:rsidRDefault="00EA09EB" w:rsidP="00CF6991">
      <w:pPr>
        <w:pStyle w:val="Normal84"/>
        <w:spacing w:line="197" w:lineRule="auto"/>
        <w:rPr>
          <w:rtl/>
        </w:rPr>
      </w:pPr>
      <w:r w:rsidRPr="00A32FC0">
        <w:rPr>
          <w:rFonts w:hint="cs"/>
          <w:rtl/>
        </w:rPr>
        <w:t>إنّ النظرية الأخيرة للشهيد السيد محمد باقر الصدر، وهي «خلافة الإنسان وشهادة المرجع»، مبتنية أيضاً على «نظارة الفقيه»</w:t>
      </w:r>
      <w:r w:rsidR="00DD2A48" w:rsidRPr="00064619">
        <w:rPr>
          <w:rFonts w:cs="Taher"/>
          <w:vertAlign w:val="superscript"/>
          <w:rtl/>
        </w:rPr>
        <w:t>(</w:t>
      </w:r>
      <w:r w:rsidR="00DD2A48" w:rsidRPr="00064619">
        <w:rPr>
          <w:rStyle w:val="FootnoteReference"/>
          <w:rFonts w:cs="Taher"/>
          <w:sz w:val="32"/>
          <w:rtl/>
        </w:rPr>
        <w:footnoteReference w:id="322"/>
      </w:r>
      <w:r w:rsidR="00DD2A48" w:rsidRPr="00064619">
        <w:rPr>
          <w:rFonts w:cs="Taher"/>
          <w:vertAlign w:val="superscript"/>
          <w:rtl/>
        </w:rPr>
        <w:t>)</w:t>
      </w:r>
      <w:r w:rsidRPr="00A32FC0">
        <w:rPr>
          <w:rFonts w:hint="cs"/>
          <w:rtl/>
        </w:rPr>
        <w:t>. وبما أن نظريّة الفقهاء الثلاثة المتقدِّم ذكرهم مبتنية على المشروعية الإلهية الشعبيّة، بمعنى أن رضا الشعب هو أحد ركيزتَيْ المشروعية السياسية، بينما يبتني بحث الحكومة الولائية على المشروعية الإلهيّة المباشرة، بمعنى عدم دِخالة رأي الناس في المشروعية السياسية، فسوف نرجئ البحث حول الآراء الثلاثة المذكورة إلى مجالٍ آخر.</w:t>
      </w:r>
    </w:p>
    <w:p w:rsidR="007A340E" w:rsidRDefault="00EA09EB" w:rsidP="007A340E">
      <w:pPr>
        <w:pStyle w:val="Heading2"/>
        <w:jc w:val="center"/>
        <w:rPr>
          <w:rtl/>
          <w:lang w:bidi="ar-LB"/>
        </w:rPr>
      </w:pPr>
      <w:r w:rsidRPr="00A32FC0">
        <w:rPr>
          <w:rtl/>
          <w:lang w:bidi="ar-LB"/>
        </w:rPr>
        <w:br w:type="page"/>
      </w:r>
    </w:p>
    <w:p w:rsidR="007A340E" w:rsidRDefault="007A340E" w:rsidP="007A340E">
      <w:pPr>
        <w:rPr>
          <w:rtl/>
          <w:lang w:bidi="ar-LB"/>
        </w:rPr>
        <w:sectPr w:rsidR="007A340E" w:rsidSect="009003FC">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43" w:name="_Toc413658826"/>
      <w:r w:rsidRPr="00E2207F">
        <w:rPr>
          <w:rFonts w:hint="cs"/>
          <w:rtl/>
          <w:lang w:bidi="ar-LB"/>
        </w:rPr>
        <w:t>الفصل العاشر: الوكالة عن الناس</w:t>
      </w:r>
      <w:bookmarkEnd w:id="43"/>
    </w:p>
    <w:p w:rsidR="00EA09EB" w:rsidRPr="00A32FC0" w:rsidRDefault="00EA09EB" w:rsidP="00EA09EB">
      <w:pPr>
        <w:rPr>
          <w:rtl/>
          <w:lang w:bidi="ar-LB"/>
        </w:rPr>
      </w:pPr>
      <w:r w:rsidRPr="00A32FC0">
        <w:rPr>
          <w:rFonts w:hint="cs"/>
          <w:rtl/>
          <w:lang w:bidi="ar-LB"/>
        </w:rPr>
        <w:t xml:space="preserve">على مبنى </w:t>
      </w:r>
      <w:r w:rsidRPr="00A32FC0">
        <w:rPr>
          <w:rFonts w:hint="cs"/>
          <w:rtl/>
        </w:rPr>
        <w:t>«</w:t>
      </w:r>
      <w:r w:rsidRPr="00A32FC0">
        <w:rPr>
          <w:rFonts w:hint="cs"/>
          <w:rtl/>
          <w:lang w:bidi="ar-LB"/>
        </w:rPr>
        <w:t>المشروعية الإلهيّة المباشرة</w:t>
      </w:r>
      <w:r w:rsidRPr="00A32FC0">
        <w:rPr>
          <w:rFonts w:hint="cs"/>
          <w:rtl/>
        </w:rPr>
        <w:t>»</w:t>
      </w:r>
      <w:r w:rsidRPr="00A32FC0">
        <w:rPr>
          <w:rFonts w:hint="cs"/>
          <w:rtl/>
          <w:lang w:bidi="ar-LB"/>
        </w:rPr>
        <w:t xml:space="preserve"> فإنّ </w:t>
      </w:r>
      <w:r w:rsidRPr="00A32FC0">
        <w:rPr>
          <w:rFonts w:hint="cs"/>
          <w:rtl/>
        </w:rPr>
        <w:t>«</w:t>
      </w:r>
      <w:r w:rsidRPr="00A32FC0">
        <w:rPr>
          <w:rFonts w:hint="cs"/>
          <w:rtl/>
          <w:lang w:bidi="ar-LB"/>
        </w:rPr>
        <w:t>الولاية على الناس</w:t>
      </w:r>
      <w:r w:rsidRPr="00A32FC0">
        <w:rPr>
          <w:rFonts w:hint="cs"/>
          <w:rtl/>
        </w:rPr>
        <w:t>»</w:t>
      </w:r>
      <w:r w:rsidRPr="00A32FC0">
        <w:rPr>
          <w:rFonts w:hint="cs"/>
          <w:rtl/>
          <w:lang w:bidi="ar-LB"/>
        </w:rPr>
        <w:t xml:space="preserve"> هي أهمّ نحو من أنحاء العلاقة بين الحاكم الدينيّ والناس.</w:t>
      </w:r>
    </w:p>
    <w:p w:rsidR="00EA09EB" w:rsidRPr="00A32FC0" w:rsidRDefault="00EA09EB" w:rsidP="00CF6991">
      <w:pPr>
        <w:pStyle w:val="Normal84"/>
        <w:rPr>
          <w:rtl/>
        </w:rPr>
      </w:pPr>
      <w:r w:rsidRPr="00A32FC0">
        <w:rPr>
          <w:rFonts w:hint="cs"/>
          <w:rtl/>
        </w:rPr>
        <w:t xml:space="preserve">وتوخِّياً لفهم أدقّ لمعنى الولاية، ومن باب «تعرف الأشياء بأضدادها»، علينا أن نقارن هذا النحو من العلاقة بالأنحاء الأخرى منها، المبتنية على «المشروعية الإلهية الشعبية». وسوف تكشف لنا هذه المقارنة الكثير من النقاط الخفية والغامضة حول «الحكومة الولائية». </w:t>
      </w:r>
    </w:p>
    <w:p w:rsidR="00EA09EB" w:rsidRPr="00EA09EB" w:rsidRDefault="00EA09EB" w:rsidP="00CF6991">
      <w:pPr>
        <w:pStyle w:val="Normal84"/>
        <w:rPr>
          <w:rtl/>
        </w:rPr>
      </w:pPr>
      <w:r w:rsidRPr="00EA09EB">
        <w:rPr>
          <w:rFonts w:hint="cs"/>
          <w:rtl/>
        </w:rPr>
        <w:t>إن علاقة الحاكم الديني مع الناس في جميع النظريات المبتنية على المشروعية الإلهية الشعبيّة</w:t>
      </w:r>
      <w:r w:rsidRPr="00064619">
        <w:rPr>
          <w:rFonts w:cs="Taher"/>
          <w:sz w:val="32"/>
          <w:vertAlign w:val="superscript"/>
          <w:rtl/>
        </w:rPr>
        <w:t>(</w:t>
      </w:r>
      <w:r w:rsidRPr="00064619">
        <w:rPr>
          <w:rStyle w:val="FootnoteReference"/>
          <w:rFonts w:cs="Taher"/>
          <w:sz w:val="32"/>
          <w:rtl/>
        </w:rPr>
        <w:footnoteReference w:id="323"/>
      </w:r>
      <w:r w:rsidRPr="00064619">
        <w:rPr>
          <w:rFonts w:cs="Taher"/>
          <w:sz w:val="32"/>
          <w:vertAlign w:val="superscript"/>
          <w:rtl/>
        </w:rPr>
        <w:t>)</w:t>
      </w:r>
      <w:r w:rsidRPr="00EA09EB">
        <w:rPr>
          <w:rFonts w:hint="cs"/>
          <w:rtl/>
        </w:rPr>
        <w:t xml:space="preserve"> هي علاقة «الوكالة»، أي إنّ الحاكم الدينيّ هو وكيل الناس وممثِّلهم في القيام بالخدمات العامة.</w:t>
      </w:r>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المعنى اللغويّ للوكالة هو التفويض. </w:t>
      </w:r>
    </w:p>
    <w:p w:rsidR="00EA09EB" w:rsidRPr="00A32FC0" w:rsidRDefault="00EA09EB" w:rsidP="00EA09EB">
      <w:pPr>
        <w:rPr>
          <w:rtl/>
          <w:lang w:bidi="ar-LB"/>
        </w:rPr>
      </w:pPr>
      <w:r w:rsidRPr="00A32FC0">
        <w:rPr>
          <w:rFonts w:hint="cs"/>
          <w:rtl/>
          <w:lang w:bidi="ar-LB"/>
        </w:rPr>
        <w:t>وينقسم تفويض الغير (الوكالة بالمعنى الأعمّ) إلى ثلاثة أقسام:</w:t>
      </w:r>
    </w:p>
    <w:p w:rsidR="00EA09EB" w:rsidRPr="00EA09EB" w:rsidRDefault="00EA09EB" w:rsidP="007A340E">
      <w:pPr>
        <w:ind w:firstLine="283"/>
        <w:rPr>
          <w:rtl/>
        </w:rPr>
      </w:pPr>
      <w:r w:rsidRPr="007A340E">
        <w:rPr>
          <w:rFonts w:hint="cs"/>
          <w:b/>
          <w:bCs/>
          <w:rtl/>
        </w:rPr>
        <w:t>الأول</w:t>
      </w:r>
      <w:r w:rsidRPr="00EA09EB">
        <w:rPr>
          <w:rFonts w:hint="cs"/>
          <w:rtl/>
        </w:rPr>
        <w:t>: الإذن للغير فقط.</w:t>
      </w:r>
    </w:p>
    <w:p w:rsidR="00EA09EB" w:rsidRPr="00EA09EB" w:rsidRDefault="00EA09EB" w:rsidP="007A340E">
      <w:pPr>
        <w:ind w:firstLine="283"/>
        <w:rPr>
          <w:rtl/>
        </w:rPr>
      </w:pPr>
      <w:r w:rsidRPr="007A340E">
        <w:rPr>
          <w:rFonts w:hint="cs"/>
          <w:b/>
          <w:bCs/>
          <w:rtl/>
        </w:rPr>
        <w:t>الثاني</w:t>
      </w:r>
      <w:r w:rsidRPr="00EA09EB">
        <w:rPr>
          <w:rFonts w:hint="cs"/>
          <w:rtl/>
        </w:rPr>
        <w:t>: الاستنابة الخاصّة في التصرُّف.</w:t>
      </w:r>
    </w:p>
    <w:p w:rsidR="00EA09EB" w:rsidRPr="00EA09EB" w:rsidRDefault="00EA09EB" w:rsidP="007A340E">
      <w:pPr>
        <w:ind w:firstLine="283"/>
        <w:rPr>
          <w:rtl/>
        </w:rPr>
      </w:pPr>
      <w:r w:rsidRPr="007A340E">
        <w:rPr>
          <w:rFonts w:hint="cs"/>
          <w:b/>
          <w:bCs/>
          <w:rtl/>
        </w:rPr>
        <w:t>الثالث</w:t>
      </w:r>
      <w:r w:rsidRPr="00EA09EB">
        <w:rPr>
          <w:rFonts w:hint="cs"/>
          <w:rtl/>
        </w:rPr>
        <w:t>: جعل سلطة مستقلّة للغير.</w:t>
      </w:r>
    </w:p>
    <w:p w:rsidR="00EA09EB" w:rsidRPr="00A32FC0" w:rsidRDefault="00EA09EB" w:rsidP="00EA09EB">
      <w:pPr>
        <w:rPr>
          <w:rtl/>
          <w:lang w:bidi="ar-LB"/>
        </w:rPr>
      </w:pPr>
      <w:r w:rsidRPr="00A32FC0">
        <w:rPr>
          <w:rFonts w:hint="cs"/>
          <w:rtl/>
          <w:lang w:bidi="ar-LB"/>
        </w:rPr>
        <w:t>لا تعتبر الوكالة بالمعنى الأوّل عقداً، بل إيقاعاً. وأمّا الوكالة بالمعنى الثاني (الوكالة بالمعنى الأخصّ) فهي عقدٌ جائزٌ. والوكالة بالمعنى الثالث عقدٌ لازمٌ، وهي عقدٌ خاصّ لم يكن مدرجاً في العناوين الفقهيّة المألوفة، وإن كان من العقود التي أمضاها الشارع.</w:t>
      </w:r>
    </w:p>
    <w:p w:rsidR="00EA09EB" w:rsidRPr="00EA09EB" w:rsidRDefault="00EA09EB" w:rsidP="00CF6991">
      <w:pPr>
        <w:pStyle w:val="Normal87"/>
        <w:rPr>
          <w:rtl/>
        </w:rPr>
      </w:pPr>
      <w:r w:rsidRPr="00EA09EB">
        <w:rPr>
          <w:rFonts w:hint="cs"/>
          <w:rtl/>
        </w:rPr>
        <w:t>وعلى هذا الأساس فإن الحكومة معاهدة بين الطرفين، وتعاهد متقابل بين الحاكم والناس، وعقد شرعيّ بين الأمّة والحاكم المنتخب</w:t>
      </w:r>
      <w:r w:rsidRPr="00064619">
        <w:rPr>
          <w:rFonts w:cs="Taher"/>
          <w:sz w:val="32"/>
          <w:vertAlign w:val="superscript"/>
          <w:rtl/>
        </w:rPr>
        <w:t>(</w:t>
      </w:r>
      <w:r w:rsidRPr="00064619">
        <w:rPr>
          <w:rStyle w:val="FootnoteReference"/>
          <w:rFonts w:cs="Taher"/>
          <w:sz w:val="32"/>
          <w:rtl/>
        </w:rPr>
        <w:footnoteReference w:id="324"/>
      </w:r>
      <w:r w:rsidRPr="00064619">
        <w:rPr>
          <w:rFonts w:cs="Taher"/>
          <w:sz w:val="32"/>
          <w:vertAlign w:val="superscript"/>
          <w:rtl/>
        </w:rPr>
        <w:t>)</w:t>
      </w:r>
      <w:r w:rsidRPr="00EA09EB">
        <w:rPr>
          <w:rFonts w:hint="cs"/>
          <w:rtl/>
        </w:rPr>
        <w:t xml:space="preserve">. </w:t>
      </w:r>
    </w:p>
    <w:p w:rsidR="00EA09EB" w:rsidRPr="00A32FC0" w:rsidRDefault="00EA09EB" w:rsidP="00EA09EB">
      <w:pPr>
        <w:rPr>
          <w:rtl/>
          <w:lang w:bidi="ar-LB"/>
        </w:rPr>
      </w:pPr>
      <w:r w:rsidRPr="00A32FC0">
        <w:rPr>
          <w:rFonts w:hint="cs"/>
          <w:rtl/>
          <w:lang w:bidi="ar-LB"/>
        </w:rPr>
        <w:t>وتجنباً للخلط بين المعنى الثاني والمعنى الثالث من الوكالة سوف نصطلح على المعنى الثاني بالوكالة، وعلى المعنى الثالث بالمعاهدة.</w:t>
      </w:r>
    </w:p>
    <w:p w:rsidR="00EA09EB" w:rsidRPr="00A32FC0" w:rsidRDefault="00EA09EB" w:rsidP="00CF6991">
      <w:pPr>
        <w:pStyle w:val="Normal87"/>
        <w:rPr>
          <w:rtl/>
        </w:rPr>
      </w:pPr>
      <w:r w:rsidRPr="00A32FC0">
        <w:rPr>
          <w:rFonts w:hint="cs"/>
          <w:rtl/>
        </w:rPr>
        <w:t>2</w:t>
      </w:r>
      <w:r w:rsidRPr="00A32FC0">
        <w:rPr>
          <w:rtl/>
        </w:rPr>
        <w:t>ـ</w:t>
      </w:r>
      <w:r w:rsidRPr="00A32FC0">
        <w:rPr>
          <w:rFonts w:hint="cs"/>
          <w:rtl/>
        </w:rPr>
        <w:t xml:space="preserve"> كلّ فعل يقوم به فاعل ما بشكل مباشر، إمّا أن يرتبط به شخصيّاً، وإمّا أن يرتبط بالغير.</w:t>
      </w:r>
    </w:p>
    <w:p w:rsidR="00EA09EB" w:rsidRPr="00A32FC0" w:rsidRDefault="00EA09EB" w:rsidP="00CF6991">
      <w:pPr>
        <w:pStyle w:val="Normal87"/>
        <w:rPr>
          <w:rtl/>
        </w:rPr>
      </w:pPr>
      <w:r w:rsidRPr="00A32FC0">
        <w:rPr>
          <w:rFonts w:hint="cs"/>
          <w:rtl/>
        </w:rPr>
        <w:t xml:space="preserve">ففي الفرض الأول ليس هناك أيّ اعتبار أو جعل، لكون الفاعل مختاراً في تصرُّفه بشؤونه، ولا دخالة لأحد في فعله. </w:t>
      </w:r>
    </w:p>
    <w:p w:rsidR="00EA09EB" w:rsidRPr="00A32FC0" w:rsidRDefault="00EA09EB" w:rsidP="00CF6991">
      <w:pPr>
        <w:pStyle w:val="Normal84"/>
        <w:rPr>
          <w:rtl/>
        </w:rPr>
      </w:pPr>
      <w:r w:rsidRPr="00EA09EB">
        <w:rPr>
          <w:rFonts w:hint="cs"/>
          <w:rtl/>
        </w:rPr>
        <w:t>أمّا في الفرض الثاني فإن الفاعل يتصدّى للقيام بأعمال الغير، ويُقرِّر عنهم طبقاً لمصالحهم. وهذا التصدي يمكن أن يكون على نحوين: إمّا أن يكون طبقاً لوكالة ونيابة عن الغير؛ وإمّا على أساس الولاية على الغير</w:t>
      </w:r>
      <w:r w:rsidRPr="00064619">
        <w:rPr>
          <w:rFonts w:cs="Taher"/>
          <w:vertAlign w:val="superscript"/>
          <w:rtl/>
        </w:rPr>
        <w:t>(</w:t>
      </w:r>
      <w:r w:rsidRPr="00064619">
        <w:rPr>
          <w:rStyle w:val="FootnoteReference"/>
          <w:rFonts w:cs="Taher"/>
          <w:sz w:val="32"/>
          <w:rtl/>
        </w:rPr>
        <w:footnoteReference w:id="325"/>
      </w:r>
      <w:r w:rsidRPr="00064619">
        <w:rPr>
          <w:rFonts w:cs="Taher"/>
          <w:vertAlign w:val="superscript"/>
          <w:rtl/>
        </w:rPr>
        <w:t>)</w:t>
      </w:r>
      <w:r w:rsidRPr="00A32FC0">
        <w:rPr>
          <w:rFonts w:hint="cs"/>
          <w:rtl/>
        </w:rPr>
        <w:t>. ولذلك فإن الوجه المشترك بين الولاية والوكالة هو القيام بشؤون الغير.</w:t>
      </w:r>
    </w:p>
    <w:p w:rsidR="00EA09EB" w:rsidRPr="00EA09EB" w:rsidRDefault="00EA09EB" w:rsidP="00EA09EB">
      <w:pPr>
        <w:rPr>
          <w:rtl/>
        </w:rPr>
      </w:pPr>
      <w:r w:rsidRPr="00A32FC0">
        <w:rPr>
          <w:rFonts w:hint="cs"/>
          <w:rtl/>
          <w:lang w:bidi="ar-LB"/>
        </w:rPr>
        <w:t>إنّ المراد من الوكالة هو الاستنابة في التصرُّف بالنحو الذي يكون فيه النائب بمنزلة المنوب عنه، وعمله هو عمل المنوب عنه</w:t>
      </w:r>
      <w:r w:rsidRPr="00064619">
        <w:rPr>
          <w:rFonts w:cs="Taher"/>
          <w:vertAlign w:val="superscript"/>
          <w:rtl/>
          <w:lang w:bidi="ar-LB"/>
        </w:rPr>
        <w:t>(</w:t>
      </w:r>
      <w:r w:rsidRPr="00064619">
        <w:rPr>
          <w:rStyle w:val="FootnoteReference"/>
          <w:rFonts w:cs="Taher"/>
          <w:sz w:val="32"/>
          <w:rtl/>
          <w:lang w:bidi="ar-LB"/>
        </w:rPr>
        <w:footnoteReference w:id="326"/>
      </w:r>
      <w:r w:rsidRPr="00064619">
        <w:rPr>
          <w:rFonts w:cs="Taher"/>
          <w:vertAlign w:val="superscript"/>
          <w:rtl/>
          <w:lang w:bidi="ar-LB"/>
        </w:rPr>
        <w:t>)</w:t>
      </w:r>
      <w:r w:rsidRPr="00EA09EB">
        <w:rPr>
          <w:rFonts w:hint="cs"/>
          <w:rtl/>
        </w:rPr>
        <w:t>. والوكيل يتصرَّف بموجب وكالة من الموكِّل، ويتحمَّل الموكِّل مسؤولية تصرُّف الوكيل. وفي الواقع فإن الوكيل هو وسيلة وآلة للقيام بالفعل. والفرد إمّا أن يقوم بالعمل بشكل مباشر، وإمّا عن طريق النيابة والوكالة. وفي كلا الحالين (المباشرة أو الوكالة) فإنّ الفعل منسوب إليه.</w:t>
      </w:r>
    </w:p>
    <w:p w:rsidR="00EA09EB" w:rsidRPr="00A32FC0" w:rsidRDefault="00EA09EB" w:rsidP="00EA09EB">
      <w:pPr>
        <w:rPr>
          <w:rtl/>
          <w:lang w:bidi="ar-LB"/>
        </w:rPr>
      </w:pPr>
      <w:r w:rsidRPr="0010360A">
        <w:rPr>
          <w:rFonts w:hint="cs"/>
          <w:rtl/>
          <w:lang w:bidi="ar-LB"/>
        </w:rPr>
        <w:t>3</w:t>
      </w:r>
      <w:r w:rsidRPr="0010360A">
        <w:rPr>
          <w:rtl/>
          <w:lang w:bidi="ar-LB"/>
        </w:rPr>
        <w:t>ـ</w:t>
      </w:r>
      <w:r w:rsidRPr="0010360A">
        <w:rPr>
          <w:rFonts w:hint="cs"/>
          <w:rtl/>
          <w:lang w:bidi="ar-LB"/>
        </w:rPr>
        <w:t xml:space="preserve"> أركان الوكالة.</w:t>
      </w:r>
      <w:r>
        <w:rPr>
          <w:rFonts w:hint="cs"/>
          <w:rtl/>
          <w:lang w:bidi="ar-LB"/>
        </w:rPr>
        <w:t xml:space="preserve"> ف</w:t>
      </w:r>
      <w:r w:rsidRPr="00A32FC0">
        <w:rPr>
          <w:rFonts w:hint="cs"/>
          <w:rtl/>
          <w:lang w:bidi="ar-LB"/>
        </w:rPr>
        <w:t xml:space="preserve">للوكالة أركان ثلاثة: الموكِّل، الوكيل، والأمر الموكَّل فيه. </w:t>
      </w:r>
    </w:p>
    <w:p w:rsidR="00EA09EB" w:rsidRPr="00A32FC0" w:rsidRDefault="00EA09EB" w:rsidP="00EA09EB">
      <w:pPr>
        <w:rPr>
          <w:rtl/>
          <w:lang w:bidi="ar-LB"/>
        </w:rPr>
      </w:pPr>
      <w:r w:rsidRPr="00A32FC0">
        <w:rPr>
          <w:rFonts w:hint="cs"/>
          <w:rtl/>
          <w:lang w:bidi="ar-LB"/>
        </w:rPr>
        <w:t>والموك</w:t>
      </w:r>
      <w:r w:rsidR="00DD2A48">
        <w:rPr>
          <w:rFonts w:hint="cs"/>
          <w:rtl/>
          <w:lang w:bidi="ar-LB"/>
        </w:rPr>
        <w:t>ِّ</w:t>
      </w:r>
      <w:r w:rsidRPr="00A32FC0">
        <w:rPr>
          <w:rFonts w:hint="cs"/>
          <w:rtl/>
          <w:lang w:bidi="ar-LB"/>
        </w:rPr>
        <w:t xml:space="preserve">ل أو المنوب عنه أو المستنيب هو الشخص الذي يوكِّل الغير بالقيام بأموره. </w:t>
      </w:r>
    </w:p>
    <w:p w:rsidR="00EA09EB" w:rsidRPr="00A32FC0" w:rsidRDefault="00EA09EB" w:rsidP="00EA09EB">
      <w:pPr>
        <w:rPr>
          <w:rtl/>
          <w:lang w:bidi="ar-LB"/>
        </w:rPr>
      </w:pPr>
      <w:r w:rsidRPr="00A32FC0">
        <w:rPr>
          <w:rFonts w:hint="cs"/>
          <w:rtl/>
          <w:lang w:bidi="ar-LB"/>
        </w:rPr>
        <w:t xml:space="preserve">والوكيل أو النائب هو الشخص الذي يقبل أن يقوم بأعمال الغير نيابةً عنه، وله، وبالشكل الذي يريده. </w:t>
      </w:r>
    </w:p>
    <w:p w:rsidR="00EA09EB" w:rsidRPr="00A32FC0" w:rsidRDefault="00EA09EB" w:rsidP="00EA09EB">
      <w:pPr>
        <w:rPr>
          <w:rtl/>
          <w:lang w:bidi="ar-LB"/>
        </w:rPr>
      </w:pPr>
      <w:r w:rsidRPr="00A32FC0">
        <w:rPr>
          <w:rFonts w:hint="cs"/>
          <w:rtl/>
          <w:lang w:bidi="ar-LB"/>
        </w:rPr>
        <w:t xml:space="preserve">والأمر الموكَّل فيه هو الأمر أو الأمور التي قام الموكِّل بتعيين الوكيل لأجلها. </w:t>
      </w:r>
    </w:p>
    <w:p w:rsidR="00EA09EB" w:rsidRPr="00A32FC0" w:rsidRDefault="00EA09EB" w:rsidP="00EA09EB">
      <w:pPr>
        <w:rPr>
          <w:rtl/>
          <w:lang w:bidi="ar-LB"/>
        </w:rPr>
      </w:pPr>
      <w:r w:rsidRPr="0010360A">
        <w:rPr>
          <w:rFonts w:hint="cs"/>
          <w:rtl/>
          <w:lang w:bidi="ar-LB"/>
        </w:rPr>
        <w:t>4</w:t>
      </w:r>
      <w:r w:rsidRPr="0010360A">
        <w:rPr>
          <w:rtl/>
          <w:lang w:bidi="ar-LB"/>
        </w:rPr>
        <w:t>ـ</w:t>
      </w:r>
      <w:r w:rsidRPr="0010360A">
        <w:rPr>
          <w:rFonts w:hint="cs"/>
          <w:rtl/>
          <w:lang w:bidi="ar-LB"/>
        </w:rPr>
        <w:t xml:space="preserve"> أقسام الوكالة. </w:t>
      </w:r>
      <w:r>
        <w:rPr>
          <w:rFonts w:hint="cs"/>
          <w:rtl/>
          <w:lang w:bidi="ar-LB"/>
        </w:rPr>
        <w:t>و</w:t>
      </w:r>
      <w:r w:rsidRPr="00A32FC0">
        <w:rPr>
          <w:rFonts w:hint="cs"/>
          <w:rtl/>
          <w:lang w:bidi="ar-LB"/>
        </w:rPr>
        <w:t>يمكن تقسيم الوكالة من حيثيات مختلفة:</w:t>
      </w:r>
    </w:p>
    <w:p w:rsidR="00EA09EB" w:rsidRPr="00EA09EB" w:rsidRDefault="00EA09EB" w:rsidP="007A340E">
      <w:pPr>
        <w:ind w:firstLine="283"/>
        <w:rPr>
          <w:rtl/>
        </w:rPr>
      </w:pPr>
      <w:r w:rsidRPr="007A340E">
        <w:rPr>
          <w:rFonts w:hint="cs"/>
          <w:b/>
          <w:bCs/>
          <w:rtl/>
        </w:rPr>
        <w:t>التقسيم الأوّل</w:t>
      </w:r>
      <w:r w:rsidRPr="00EA09EB">
        <w:rPr>
          <w:rFonts w:hint="cs"/>
          <w:rtl/>
        </w:rPr>
        <w:t>: أقسام الوكالة من حيث وحدة وتعدّد الموكِّل.</w:t>
      </w:r>
    </w:p>
    <w:p w:rsidR="00EA09EB" w:rsidRPr="00A32FC0" w:rsidRDefault="00EA09EB" w:rsidP="00EA09EB">
      <w:pPr>
        <w:rPr>
          <w:rtl/>
          <w:lang w:bidi="ar-LB"/>
        </w:rPr>
      </w:pPr>
      <w:r w:rsidRPr="00A32FC0">
        <w:rPr>
          <w:rFonts w:hint="cs"/>
          <w:rtl/>
          <w:lang w:bidi="ar-LB"/>
        </w:rPr>
        <w:t>إذا كان مورد الوكالة ملكاً شخصيّاً، أو حقّاً خاصّاً بفرد واحد، فالوكالة تنعقد من قبل موكِّل واحد؛ أمّا إذا كان مورد الوكالة مشاعاً، بحيث كان ملكاً أو حقّاً لأفرادٍ متعدّدين، فإن الوكالة تنعقد من طرف موكلين متعدِّدين للوكيل.</w:t>
      </w:r>
    </w:p>
    <w:p w:rsidR="00EA09EB" w:rsidRPr="00EA09EB" w:rsidRDefault="00EA09EB" w:rsidP="007A340E">
      <w:pPr>
        <w:ind w:firstLine="283"/>
        <w:rPr>
          <w:rtl/>
        </w:rPr>
      </w:pPr>
      <w:r w:rsidRPr="007A340E">
        <w:rPr>
          <w:rFonts w:hint="cs"/>
          <w:b/>
          <w:bCs/>
          <w:rtl/>
        </w:rPr>
        <w:t>التقسيم الثاني</w:t>
      </w:r>
      <w:r w:rsidRPr="00EA09EB">
        <w:rPr>
          <w:rFonts w:hint="cs"/>
          <w:rtl/>
        </w:rPr>
        <w:t>: أقسام الوكالة من حيث الموكَّل فيه؛ إذ إمّا أن يكون الموكَّل فيه من الأمور الخاصّة؛ وإمّا أن يكون من الأمور العامة.</w:t>
      </w:r>
    </w:p>
    <w:p w:rsidR="00EA09EB" w:rsidRPr="00A32FC0" w:rsidRDefault="00EA09EB" w:rsidP="00EA09EB">
      <w:pPr>
        <w:rPr>
          <w:rtl/>
          <w:lang w:bidi="ar-LB"/>
        </w:rPr>
      </w:pPr>
      <w:r w:rsidRPr="00A32FC0">
        <w:rPr>
          <w:rFonts w:hint="cs"/>
          <w:rtl/>
          <w:lang w:bidi="ar-LB"/>
        </w:rPr>
        <w:t xml:space="preserve">وفي القسم الأوّل يجعل الناس وكيلاً للقيام بأمورهم الشخصية والخاصة، كالتوكيل بشراء بيت. </w:t>
      </w:r>
    </w:p>
    <w:p w:rsidR="00EA09EB" w:rsidRPr="00A32FC0" w:rsidRDefault="00EA09EB" w:rsidP="00CF6991">
      <w:pPr>
        <w:pStyle w:val="Normal87"/>
        <w:rPr>
          <w:rtl/>
        </w:rPr>
      </w:pPr>
      <w:r w:rsidRPr="00A32FC0">
        <w:rPr>
          <w:rFonts w:hint="cs"/>
          <w:rtl/>
        </w:rPr>
        <w:t>وفي القسم الثاني يقوم أفراد المجتمع (المواطنين)، الذين هم مالكون لمصيرهم ومقدراتهم، ومسلَّطون على أموالهم وأنفسهم، بانتخاب ممثِّل عنهم للقيام بالخدمات العامة، من قبيل: نظم الأمور، الأمن، الدفاع، الخدمات الصحيّة، و.... وبهذا يكون الممثِّل وكيلاً من قِبَل الناس للتصدّي للشؤون العامة.</w:t>
      </w:r>
    </w:p>
    <w:p w:rsidR="00EA09EB" w:rsidRPr="00EA09EB" w:rsidRDefault="00EA09EB" w:rsidP="00CF6991">
      <w:pPr>
        <w:pStyle w:val="Normal87"/>
        <w:rPr>
          <w:rtl/>
        </w:rPr>
      </w:pPr>
      <w:r w:rsidRPr="007A340E">
        <w:rPr>
          <w:rFonts w:hint="cs"/>
          <w:b/>
          <w:bCs/>
          <w:rtl/>
        </w:rPr>
        <w:t>التقسيم الثالث</w:t>
      </w:r>
      <w:r w:rsidRPr="00EA09EB">
        <w:rPr>
          <w:rFonts w:hint="cs"/>
          <w:rtl/>
        </w:rPr>
        <w:t xml:space="preserve">: الوكالة من حيث الموكَّل فيه إمّا أن تكون خاصّة؛ وإمّا أن تكون عامة؛ وإمّا أن تكون مطلقة؛ وإمّا أن تكون مقيَّدة ومشروطة. </w:t>
      </w:r>
    </w:p>
    <w:p w:rsidR="00EA09EB" w:rsidRPr="00A32FC0" w:rsidRDefault="00EA09EB" w:rsidP="00CF6991">
      <w:pPr>
        <w:pStyle w:val="Normal87"/>
        <w:rPr>
          <w:rtl/>
        </w:rPr>
      </w:pPr>
      <w:r w:rsidRPr="00A32FC0">
        <w:rPr>
          <w:rFonts w:hint="cs"/>
          <w:rtl/>
        </w:rPr>
        <w:t>نص الوكالة هو الذي يحدّد إذا كانت الوكالة عامّة، أو خاصّة بمورد من الموارد، أو مقيَّدة ومشروطة بشرط خاصّ، أو مطلقة.</w:t>
      </w:r>
    </w:p>
    <w:p w:rsidR="00EA09EB" w:rsidRPr="005C7346" w:rsidRDefault="00EA09EB" w:rsidP="00CF6991">
      <w:pPr>
        <w:pStyle w:val="Normal87"/>
        <w:rPr>
          <w:rtl/>
        </w:rPr>
      </w:pPr>
      <w:r w:rsidRPr="005C7346">
        <w:rPr>
          <w:rFonts w:hint="cs"/>
          <w:rtl/>
        </w:rPr>
        <w:t>5</w:t>
      </w:r>
      <w:r w:rsidRPr="005C7346">
        <w:rPr>
          <w:rtl/>
        </w:rPr>
        <w:t>ـ</w:t>
      </w:r>
      <w:r w:rsidRPr="005C7346">
        <w:rPr>
          <w:rFonts w:hint="cs"/>
          <w:rtl/>
        </w:rPr>
        <w:t xml:space="preserve"> أحكام الوكالة (مقارنة مع أحكام الولاية):</w:t>
      </w:r>
    </w:p>
    <w:p w:rsidR="00EA09EB" w:rsidRPr="00EA09EB" w:rsidRDefault="00EA09EB" w:rsidP="00CF6991">
      <w:pPr>
        <w:pStyle w:val="Normal87"/>
        <w:rPr>
          <w:rtl/>
        </w:rPr>
      </w:pPr>
      <w:r w:rsidRPr="007A340E">
        <w:rPr>
          <w:rFonts w:hint="cs"/>
          <w:b/>
          <w:bCs/>
          <w:rtl/>
        </w:rPr>
        <w:t>الأول</w:t>
      </w:r>
      <w:r w:rsidRPr="00EA09EB">
        <w:rPr>
          <w:rFonts w:hint="cs"/>
          <w:rtl/>
        </w:rPr>
        <w:t>: الوكالة عقد، لا إيقاع، ولا حكم، وإنما هي عقد جائز</w:t>
      </w:r>
      <w:r w:rsidRPr="00064619">
        <w:rPr>
          <w:rFonts w:cs="Taher"/>
          <w:sz w:val="32"/>
          <w:vertAlign w:val="superscript"/>
          <w:rtl/>
        </w:rPr>
        <w:t>(</w:t>
      </w:r>
      <w:r w:rsidRPr="00064619">
        <w:rPr>
          <w:rStyle w:val="FootnoteReference"/>
          <w:rFonts w:cs="Taher"/>
          <w:sz w:val="32"/>
          <w:rtl/>
        </w:rPr>
        <w:footnoteReference w:id="327"/>
      </w:r>
      <w:r w:rsidRPr="00064619">
        <w:rPr>
          <w:rFonts w:cs="Taher"/>
          <w:sz w:val="32"/>
          <w:vertAlign w:val="superscript"/>
          <w:rtl/>
        </w:rPr>
        <w:t>)</w:t>
      </w:r>
      <w:r w:rsidRPr="00EA09EB">
        <w:rPr>
          <w:rFonts w:hint="cs"/>
          <w:rtl/>
        </w:rPr>
        <w:t>؛ أما الولاية فهي حكم، وليست عقداً، ولا إيقاعاً، وإنما هي حكم وضعيّ.</w:t>
      </w:r>
    </w:p>
    <w:p w:rsidR="00EA09EB" w:rsidRPr="00EA09EB" w:rsidRDefault="00EA09EB" w:rsidP="00CF6991">
      <w:pPr>
        <w:pStyle w:val="Normal87"/>
        <w:rPr>
          <w:rtl/>
        </w:rPr>
      </w:pPr>
      <w:r w:rsidRPr="007A340E">
        <w:rPr>
          <w:rFonts w:hint="cs"/>
          <w:b/>
          <w:bCs/>
          <w:rtl/>
        </w:rPr>
        <w:t>الثاني</w:t>
      </w:r>
      <w:r w:rsidR="00DD2A48">
        <w:rPr>
          <w:rFonts w:hint="cs"/>
          <w:rtl/>
        </w:rPr>
        <w:t>: تنعقد الوكال</w:t>
      </w:r>
      <w:r w:rsidRPr="00EA09EB">
        <w:rPr>
          <w:rFonts w:hint="cs"/>
          <w:rtl/>
        </w:rPr>
        <w:t>ة برضا الطرفين، أي إيجاب الموكِّل وقبول الوكيل؛ وأمّا في الولاية فليس رضا المولّى عليه شرطاً مطلقاً، بل إنّه في الولايات القهريّة لا يشترط رضا الولي. وتعتبر الولاية على الناس من الولايات القهريّة.</w:t>
      </w:r>
    </w:p>
    <w:p w:rsidR="00EA09EB" w:rsidRPr="00EA09EB" w:rsidRDefault="00EA09EB" w:rsidP="007A340E">
      <w:pPr>
        <w:ind w:firstLine="283"/>
        <w:rPr>
          <w:rtl/>
        </w:rPr>
      </w:pPr>
      <w:r w:rsidRPr="007A340E">
        <w:rPr>
          <w:rFonts w:hint="cs"/>
          <w:b/>
          <w:bCs/>
          <w:rtl/>
        </w:rPr>
        <w:t>الثالث</w:t>
      </w:r>
      <w:r w:rsidRPr="00EA09EB">
        <w:rPr>
          <w:rFonts w:hint="cs"/>
          <w:rtl/>
        </w:rPr>
        <w:t>: تصحّ الوكالة في جميع الأمور المباحة التي لا تُشترط المباشرة شرعاً في إنجازها</w:t>
      </w:r>
      <w:r w:rsidRPr="00064619">
        <w:rPr>
          <w:rFonts w:cs="Taher"/>
          <w:sz w:val="32"/>
          <w:vertAlign w:val="superscript"/>
          <w:rtl/>
          <w:lang w:bidi="ar-LB"/>
        </w:rPr>
        <w:t>(</w:t>
      </w:r>
      <w:r w:rsidRPr="00064619">
        <w:rPr>
          <w:rStyle w:val="FootnoteReference"/>
          <w:rFonts w:cs="Taher"/>
          <w:sz w:val="32"/>
          <w:rtl/>
          <w:lang w:bidi="ar-LB"/>
        </w:rPr>
        <w:footnoteReference w:id="328"/>
      </w:r>
      <w:r w:rsidRPr="00064619">
        <w:rPr>
          <w:rFonts w:cs="Taher"/>
          <w:sz w:val="32"/>
          <w:vertAlign w:val="superscript"/>
          <w:rtl/>
          <w:lang w:bidi="ar-LB"/>
        </w:rPr>
        <w:t>)</w:t>
      </w:r>
      <w:r w:rsidRPr="00EA09EB">
        <w:rPr>
          <w:rFonts w:hint="cs"/>
          <w:rtl/>
        </w:rPr>
        <w:t>، والموكِّل هو الذي يعيّن الموارد الموكَّل فيها؛ وأمّا بالنسبة إلى الولاية فإنّ الشارع هو الذي يعيِّن حدودها، وليس للولي أو للمولّى عليه أيّ علاقة بهذا الموضوع.</w:t>
      </w:r>
    </w:p>
    <w:p w:rsidR="00EA09EB" w:rsidRPr="00EA09EB" w:rsidRDefault="00EA09EB" w:rsidP="007A340E">
      <w:pPr>
        <w:ind w:firstLine="283"/>
        <w:rPr>
          <w:rtl/>
        </w:rPr>
      </w:pPr>
      <w:r w:rsidRPr="007A340E">
        <w:rPr>
          <w:rFonts w:hint="cs"/>
          <w:b/>
          <w:bCs/>
          <w:rtl/>
        </w:rPr>
        <w:t>الرابع</w:t>
      </w:r>
      <w:r w:rsidRPr="00EA09EB">
        <w:rPr>
          <w:rFonts w:hint="cs"/>
          <w:rtl/>
        </w:rPr>
        <w:t>: الأمور الموكَّل فيها في الوكالة هي عبارة عن أمورٍ للموكِّل فيها حقّ المباشرة والقيام بها</w:t>
      </w:r>
      <w:r w:rsidRPr="00064619">
        <w:rPr>
          <w:rFonts w:cs="Taher"/>
          <w:sz w:val="32"/>
          <w:vertAlign w:val="superscript"/>
          <w:rtl/>
          <w:lang w:bidi="ar-LB"/>
        </w:rPr>
        <w:t>(</w:t>
      </w:r>
      <w:r w:rsidRPr="00064619">
        <w:rPr>
          <w:rStyle w:val="FootnoteReference"/>
          <w:rFonts w:cs="Taher"/>
          <w:sz w:val="32"/>
          <w:rtl/>
          <w:lang w:bidi="ar-LB"/>
        </w:rPr>
        <w:footnoteReference w:id="329"/>
      </w:r>
      <w:r w:rsidRPr="00064619">
        <w:rPr>
          <w:rFonts w:cs="Taher"/>
          <w:sz w:val="32"/>
          <w:vertAlign w:val="superscript"/>
          <w:rtl/>
          <w:lang w:bidi="ar-LB"/>
        </w:rPr>
        <w:t>)</w:t>
      </w:r>
      <w:r w:rsidRPr="00EA09EB">
        <w:rPr>
          <w:rFonts w:hint="cs"/>
          <w:rtl/>
        </w:rPr>
        <w:t>؛ أمّا موارد الولاية فهي عبارة عن أمورٍ ليس للمولّى عليه صلاحية المباشرة أو القيام بها. ففي هذا الإطار يعتبر المولّى عليه فاقداً لأهليّة التصرُّف.</w:t>
      </w:r>
    </w:p>
    <w:p w:rsidR="00EA09EB" w:rsidRPr="00EA09EB" w:rsidRDefault="00EA09EB" w:rsidP="007A340E">
      <w:pPr>
        <w:ind w:firstLine="283"/>
        <w:rPr>
          <w:rtl/>
        </w:rPr>
      </w:pPr>
      <w:r w:rsidRPr="007A340E">
        <w:rPr>
          <w:rFonts w:hint="cs"/>
          <w:b/>
          <w:bCs/>
          <w:rtl/>
        </w:rPr>
        <w:t>الخامس</w:t>
      </w:r>
      <w:r w:rsidRPr="00EA09EB">
        <w:rPr>
          <w:rFonts w:hint="cs"/>
          <w:rtl/>
        </w:rPr>
        <w:t>: الأصل في الوكالة هو جوازها في كلّ شيءٍ</w:t>
      </w:r>
      <w:r w:rsidRPr="00064619">
        <w:rPr>
          <w:rFonts w:cs="Taher"/>
          <w:sz w:val="32"/>
          <w:vertAlign w:val="superscript"/>
          <w:rtl/>
          <w:lang w:bidi="ar-LB"/>
        </w:rPr>
        <w:t>(</w:t>
      </w:r>
      <w:r w:rsidRPr="00064619">
        <w:rPr>
          <w:rStyle w:val="FootnoteReference"/>
          <w:rFonts w:cs="Taher"/>
          <w:sz w:val="32"/>
          <w:rtl/>
          <w:lang w:bidi="ar-LB"/>
        </w:rPr>
        <w:footnoteReference w:id="330"/>
      </w:r>
      <w:r w:rsidRPr="00064619">
        <w:rPr>
          <w:rFonts w:cs="Taher"/>
          <w:sz w:val="32"/>
          <w:vertAlign w:val="superscript"/>
          <w:rtl/>
          <w:lang w:bidi="ar-LB"/>
        </w:rPr>
        <w:t>)</w:t>
      </w:r>
      <w:r w:rsidRPr="00EA09EB">
        <w:rPr>
          <w:rFonts w:hint="cs"/>
          <w:rtl/>
        </w:rPr>
        <w:t>؛ بينما الأصل في الولاية هو عدمها. وبعبارة أخرى: إن عدم جواز الوكالة</w:t>
      </w:r>
      <w:r w:rsidR="00DD2A48">
        <w:rPr>
          <w:rFonts w:hint="cs"/>
          <w:rtl/>
        </w:rPr>
        <w:t xml:space="preserve"> يحتاج إلى دليلٍ، كما أن إثبات الولاية</w:t>
      </w:r>
      <w:r w:rsidRPr="00EA09EB">
        <w:rPr>
          <w:rFonts w:hint="cs"/>
          <w:rtl/>
        </w:rPr>
        <w:t xml:space="preserve"> يحتاج إلى دليل. </w:t>
      </w:r>
    </w:p>
    <w:p w:rsidR="00EA09EB" w:rsidRPr="00EA09EB" w:rsidRDefault="00EA09EB" w:rsidP="00CF6991">
      <w:pPr>
        <w:pStyle w:val="Normal87"/>
        <w:rPr>
          <w:rtl/>
        </w:rPr>
      </w:pPr>
      <w:r w:rsidRPr="007A340E">
        <w:rPr>
          <w:rFonts w:hint="cs"/>
          <w:b/>
          <w:bCs/>
          <w:rtl/>
        </w:rPr>
        <w:t>السادس</w:t>
      </w:r>
      <w:r w:rsidRPr="00EA09EB">
        <w:rPr>
          <w:rFonts w:hint="cs"/>
          <w:rtl/>
        </w:rPr>
        <w:t>: يعود الرأي والتصميم في الوكالة إلى الموكِّل، وعلى الوكيل أن يقوم بالعمل بما يراه الموكِّل، فرأي الموكِّل هو المقدَّم في الوكالة؛ وأمّا في الولاية فإن الرأي والقرار يختصّان بالوليّ، وعلى المولّى عليهم أن يعملوا طبقاً لما يراه الوليّ صواباً، فرأيُه دائماً مقدَّم</w:t>
      </w:r>
      <w:r w:rsidRPr="00064619">
        <w:rPr>
          <w:rFonts w:cs="Taher"/>
          <w:sz w:val="32"/>
          <w:vertAlign w:val="superscript"/>
          <w:rtl/>
        </w:rPr>
        <w:t>(</w:t>
      </w:r>
      <w:r w:rsidRPr="00064619">
        <w:rPr>
          <w:rStyle w:val="FootnoteReference"/>
          <w:rFonts w:cs="Taher"/>
          <w:sz w:val="32"/>
          <w:rtl/>
        </w:rPr>
        <w:footnoteReference w:id="331"/>
      </w:r>
      <w:r w:rsidRPr="00064619">
        <w:rPr>
          <w:rFonts w:cs="Taher"/>
          <w:sz w:val="32"/>
          <w:vertAlign w:val="superscript"/>
          <w:rtl/>
        </w:rPr>
        <w:t>)</w:t>
      </w:r>
      <w:r w:rsidRPr="00EA09EB">
        <w:rPr>
          <w:rFonts w:hint="cs"/>
          <w:rtl/>
        </w:rPr>
        <w:t>. وبعبارة أخرى: الملاك والمعيار في الوكالة شرعاً هو رضا الموكِّل، لا الوكيل، وأمّا في الولاية فإنّ الملاك والمعيار هو رضا الوليّ، لا المولّى عليه.</w:t>
      </w:r>
    </w:p>
    <w:p w:rsidR="00EA09EB" w:rsidRPr="00EA09EB" w:rsidRDefault="00EA09EB" w:rsidP="007A340E">
      <w:pPr>
        <w:ind w:firstLine="283"/>
        <w:rPr>
          <w:rtl/>
        </w:rPr>
      </w:pPr>
      <w:r w:rsidRPr="007A340E">
        <w:rPr>
          <w:rFonts w:hint="cs"/>
          <w:b/>
          <w:bCs/>
          <w:rtl/>
        </w:rPr>
        <w:t>السابع</w:t>
      </w:r>
      <w:r w:rsidRPr="00EA09EB">
        <w:rPr>
          <w:rFonts w:hint="cs"/>
          <w:rtl/>
        </w:rPr>
        <w:t>: يعتبر في الوكالة رشد الوكيل والموكِّل</w:t>
      </w:r>
      <w:r w:rsidRPr="00064619">
        <w:rPr>
          <w:rFonts w:cs="Taher"/>
          <w:sz w:val="32"/>
          <w:vertAlign w:val="superscript"/>
          <w:rtl/>
          <w:lang w:bidi="ar-LB"/>
        </w:rPr>
        <w:t>(</w:t>
      </w:r>
      <w:r w:rsidRPr="00064619">
        <w:rPr>
          <w:rStyle w:val="FootnoteReference"/>
          <w:rFonts w:cs="Taher"/>
          <w:sz w:val="32"/>
          <w:rtl/>
          <w:lang w:bidi="ar-LB"/>
        </w:rPr>
        <w:footnoteReference w:id="332"/>
      </w:r>
      <w:r w:rsidRPr="00064619">
        <w:rPr>
          <w:rFonts w:cs="Taher"/>
          <w:sz w:val="32"/>
          <w:vertAlign w:val="superscript"/>
          <w:rtl/>
          <w:lang w:bidi="ar-LB"/>
        </w:rPr>
        <w:t>)</w:t>
      </w:r>
      <w:r w:rsidRPr="00EA09EB">
        <w:rPr>
          <w:rFonts w:hint="cs"/>
          <w:rtl/>
        </w:rPr>
        <w:t>؛ أمّا في الولاية فالولي الشرعيّ هو الرشيد، أمّا المولّى عليهم فيُعتبرون محجوراً عليهم في دائرة الولاية. ولا تتحقَّق الولاية الشرعية بدون محجورية المولّى عليهم في الشؤون العامّة.</w:t>
      </w:r>
    </w:p>
    <w:p w:rsidR="00EA09EB" w:rsidRPr="00EA09EB" w:rsidRDefault="00EA09EB" w:rsidP="007A340E">
      <w:pPr>
        <w:ind w:firstLine="283"/>
        <w:rPr>
          <w:rtl/>
        </w:rPr>
      </w:pPr>
      <w:r w:rsidRPr="007A340E">
        <w:rPr>
          <w:rFonts w:hint="cs"/>
          <w:b/>
          <w:bCs/>
          <w:rtl/>
        </w:rPr>
        <w:t>الثامن</w:t>
      </w:r>
      <w:r w:rsidRPr="00EA09EB">
        <w:rPr>
          <w:rFonts w:hint="cs"/>
          <w:rtl/>
        </w:rPr>
        <w:t>: تعيين وعزل الوكيل بيد الموكِّل؛ وليس تعيين وعزل الوليّ الشرعيّ بيد المولّى عليهم</w:t>
      </w:r>
      <w:r w:rsidRPr="00064619">
        <w:rPr>
          <w:rFonts w:cs="Taher"/>
          <w:sz w:val="32"/>
          <w:vertAlign w:val="superscript"/>
          <w:rtl/>
          <w:lang w:bidi="ar-LB"/>
        </w:rPr>
        <w:t>(</w:t>
      </w:r>
      <w:r w:rsidRPr="00064619">
        <w:rPr>
          <w:rStyle w:val="FootnoteReference"/>
          <w:rFonts w:cs="Taher"/>
          <w:sz w:val="32"/>
          <w:rtl/>
          <w:lang w:bidi="ar-LB"/>
        </w:rPr>
        <w:footnoteReference w:id="333"/>
      </w:r>
      <w:r w:rsidRPr="00064619">
        <w:rPr>
          <w:rFonts w:cs="Taher"/>
          <w:sz w:val="32"/>
          <w:vertAlign w:val="superscript"/>
          <w:rtl/>
          <w:lang w:bidi="ar-LB"/>
        </w:rPr>
        <w:t>)</w:t>
      </w:r>
      <w:r w:rsidRPr="00EA09EB">
        <w:rPr>
          <w:rFonts w:hint="cs"/>
          <w:rtl/>
        </w:rPr>
        <w:t>.</w:t>
      </w:r>
    </w:p>
    <w:p w:rsidR="00EA09EB" w:rsidRPr="00EA09EB" w:rsidRDefault="00EA09EB" w:rsidP="00CF6991">
      <w:pPr>
        <w:pStyle w:val="Normal87"/>
        <w:rPr>
          <w:rtl/>
        </w:rPr>
      </w:pPr>
      <w:r w:rsidRPr="007A340E">
        <w:rPr>
          <w:rFonts w:hint="cs"/>
          <w:b/>
          <w:bCs/>
          <w:rtl/>
        </w:rPr>
        <w:t>التاسع</w:t>
      </w:r>
      <w:r w:rsidRPr="00EA09EB">
        <w:rPr>
          <w:rFonts w:hint="cs"/>
          <w:rtl/>
        </w:rPr>
        <w:t>: يعتبر الوكيل مسؤولاً أمام الموكِّل، ويمكن للموكِّل محاسبة الوكيل، كما يمكن له الإشراف على وكالته؛ أمّا الوليّ الشرعيّ فهو ليس مسؤولاً أمام المولّى عليهم، ولا يُلْزِمه الشرع بتقديم الإجابات عن أسئلتهم، فهو مسؤول أمام الله فقط.</w:t>
      </w:r>
    </w:p>
    <w:p w:rsidR="00EA09EB" w:rsidRPr="00EA09EB" w:rsidRDefault="00EA09EB" w:rsidP="007A340E">
      <w:pPr>
        <w:ind w:firstLine="283"/>
        <w:rPr>
          <w:rtl/>
        </w:rPr>
      </w:pPr>
      <w:r w:rsidRPr="007A340E">
        <w:rPr>
          <w:rFonts w:hint="cs"/>
          <w:b/>
          <w:bCs/>
          <w:rtl/>
        </w:rPr>
        <w:t>العاشر</w:t>
      </w:r>
      <w:r w:rsidRPr="00EA09EB">
        <w:rPr>
          <w:rFonts w:hint="cs"/>
          <w:rtl/>
        </w:rPr>
        <w:t>: للموكِّل «الحقّ في اختيار» وانتخاب الوكيل من بين الأفراد الصالحين للوكالة. وبعبارة أخرى: إن الوكيل منتَخَب من قِبَل الموكِّل؛ أمّا في الولاية فإن المولى عليهم ليسوا أصحاب حقّ (أو إنهم غير مجازين باستيفاء حقوقهم؛ بسبب كونهم محجوراً عليهم) حتى يكون لهم حقّ الانتخاب. والوظيفة الوحيدة للمولّى عليهم هي قبول ولاية الوليّ المعيَّن. وهناك فرق كبير بين «حقّ الانتخاب» و«وظيفة القبول»</w:t>
      </w:r>
      <w:r w:rsidRPr="00064619">
        <w:rPr>
          <w:rFonts w:cs="Taher"/>
          <w:sz w:val="32"/>
          <w:vertAlign w:val="superscript"/>
          <w:rtl/>
        </w:rPr>
        <w:t>(</w:t>
      </w:r>
      <w:r w:rsidRPr="00064619">
        <w:rPr>
          <w:rStyle w:val="FootnoteReference"/>
          <w:rFonts w:cs="Taher"/>
          <w:sz w:val="32"/>
          <w:rtl/>
        </w:rPr>
        <w:footnoteReference w:id="334"/>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الحادي عشر</w:t>
      </w:r>
      <w:r w:rsidRPr="00EA09EB">
        <w:rPr>
          <w:rFonts w:hint="cs"/>
          <w:rtl/>
        </w:rPr>
        <w:t>: وكالة الوكيل مقيَّدة بمدّة زمنية معينة، ولا تصحّ الوكالة بدون تعيين المدّة. وتنقضي الوكالة بانقضاء المدّة. أمّا ولاية الوليّ الشرعيّ على الناس فتستمرّ مدى حياته</w:t>
      </w:r>
      <w:r w:rsidRPr="00064619">
        <w:rPr>
          <w:rFonts w:cs="Taher"/>
          <w:sz w:val="32"/>
          <w:vertAlign w:val="superscript"/>
          <w:rtl/>
          <w:lang w:bidi="ar-LB"/>
        </w:rPr>
        <w:t>(</w:t>
      </w:r>
      <w:r w:rsidRPr="00064619">
        <w:rPr>
          <w:rStyle w:val="FootnoteReference"/>
          <w:rFonts w:cs="Taher"/>
          <w:sz w:val="32"/>
          <w:rtl/>
          <w:lang w:bidi="ar-LB"/>
        </w:rPr>
        <w:footnoteReference w:id="335"/>
      </w:r>
      <w:r w:rsidRPr="00064619">
        <w:rPr>
          <w:rFonts w:cs="Taher"/>
          <w:sz w:val="32"/>
          <w:vertAlign w:val="superscript"/>
          <w:rtl/>
          <w:lang w:bidi="ar-LB"/>
        </w:rPr>
        <w:t>)</w:t>
      </w:r>
      <w:r w:rsidRPr="00EA09EB">
        <w:rPr>
          <w:rFonts w:hint="cs"/>
          <w:rtl/>
        </w:rPr>
        <w:t>، ولا يجوز تحديدها بمدّة زمنيّة معيّنة.</w:t>
      </w:r>
    </w:p>
    <w:p w:rsidR="00EA09EB" w:rsidRPr="00EA09EB" w:rsidRDefault="00EA09EB" w:rsidP="007A340E">
      <w:pPr>
        <w:ind w:firstLine="283"/>
        <w:rPr>
          <w:rtl/>
        </w:rPr>
      </w:pPr>
      <w:r w:rsidRPr="007A340E">
        <w:rPr>
          <w:rFonts w:hint="cs"/>
          <w:b/>
          <w:bCs/>
          <w:rtl/>
        </w:rPr>
        <w:t>الثاني عشر</w:t>
      </w:r>
      <w:r w:rsidRPr="00EA09EB">
        <w:rPr>
          <w:rFonts w:hint="cs"/>
          <w:rtl/>
        </w:rPr>
        <w:t>: بما أن عقد الوكالة جائزٌ لكلا الطرفين فللوكيل الحقّ في الاستقالة وعزل نفسه</w:t>
      </w:r>
      <w:r w:rsidRPr="00064619">
        <w:rPr>
          <w:rFonts w:cs="Taher"/>
          <w:sz w:val="32"/>
          <w:vertAlign w:val="superscript"/>
          <w:rtl/>
          <w:lang w:bidi="ar-LB"/>
        </w:rPr>
        <w:t>(</w:t>
      </w:r>
      <w:r w:rsidRPr="00064619">
        <w:rPr>
          <w:rStyle w:val="FootnoteReference"/>
          <w:rFonts w:cs="Taher"/>
          <w:sz w:val="32"/>
          <w:rtl/>
          <w:lang w:bidi="ar-LB"/>
        </w:rPr>
        <w:footnoteReference w:id="336"/>
      </w:r>
      <w:r w:rsidRPr="00064619">
        <w:rPr>
          <w:rFonts w:cs="Taher"/>
          <w:sz w:val="32"/>
          <w:vertAlign w:val="superscript"/>
          <w:rtl/>
          <w:lang w:bidi="ar-LB"/>
        </w:rPr>
        <w:t>)</w:t>
      </w:r>
      <w:r w:rsidRPr="00EA09EB">
        <w:rPr>
          <w:rFonts w:hint="cs"/>
          <w:rtl/>
        </w:rPr>
        <w:t>. وبما أن الولاية حكم، وليست حقّاً أو عقداً، فليس للوليّ الشرعيّ حقّ الاستقالة ما دام يتمتَّع بالشروط المعتبرة، ويجب عليه أن يبقى في منصبه، والقيام بوظائفه، والتصدّي للشؤون العامّة.</w:t>
      </w:r>
    </w:p>
    <w:p w:rsidR="00EA09EB" w:rsidRPr="00EA09EB" w:rsidRDefault="00EA09EB" w:rsidP="00EA09EB">
      <w:pPr>
        <w:rPr>
          <w:rtl/>
        </w:rPr>
      </w:pPr>
      <w:r w:rsidRPr="007A340E">
        <w:rPr>
          <w:rFonts w:hint="cs"/>
          <w:b/>
          <w:bCs/>
          <w:rtl/>
        </w:rPr>
        <w:t>الثالث عشر</w:t>
      </w:r>
      <w:r w:rsidRPr="00EA09EB">
        <w:rPr>
          <w:rFonts w:hint="cs"/>
          <w:rtl/>
        </w:rPr>
        <w:t>: تسقط الولاية بموت أحد الطرفين: الوكيل؛ أو الموكِّل</w:t>
      </w:r>
      <w:r w:rsidRPr="00064619">
        <w:rPr>
          <w:rFonts w:cs="Taher"/>
          <w:sz w:val="32"/>
          <w:vertAlign w:val="superscript"/>
          <w:rtl/>
          <w:lang w:bidi="ar-LB"/>
        </w:rPr>
        <w:t>(</w:t>
      </w:r>
      <w:r w:rsidRPr="00064619">
        <w:rPr>
          <w:rStyle w:val="FootnoteReference"/>
          <w:rFonts w:cs="Taher"/>
          <w:sz w:val="32"/>
          <w:rtl/>
          <w:lang w:bidi="ar-LB"/>
        </w:rPr>
        <w:footnoteReference w:id="337"/>
      </w:r>
      <w:r w:rsidRPr="00064619">
        <w:rPr>
          <w:rFonts w:cs="Taher"/>
          <w:sz w:val="32"/>
          <w:vertAlign w:val="superscript"/>
          <w:rtl/>
          <w:lang w:bidi="ar-LB"/>
        </w:rPr>
        <w:t>)</w:t>
      </w:r>
      <w:r w:rsidRPr="00EA09EB">
        <w:rPr>
          <w:rFonts w:hint="cs"/>
          <w:rtl/>
        </w:rPr>
        <w:t>. أمّا الولاية فإنها لا تسقط بموت جاعل الولاية، أو الوليّ الشرعيّ. بل إنّه بموت الوليّ الشرعيّ تنتقل الولاية على الناس تلقائياً إلى وليّ آخر. ولذلك إذا كان المستند في الولاية الشرعيّة للفقهاء على الناس هو مقبولة عمر بن حنظلة فبموت الإمام الصادق</w:t>
      </w:r>
      <w:r>
        <w:rPr>
          <w:rFonts w:hint="cs"/>
          <w:rtl/>
        </w:rPr>
        <w:t>×</w:t>
      </w:r>
      <w:r w:rsidRPr="00EA09EB">
        <w:rPr>
          <w:rFonts w:hint="cs"/>
          <w:rtl/>
        </w:rPr>
        <w:t xml:space="preserve"> لا تسقط ولاية الفقهاء، إلاّ إذا أسقطها أحدٌ من الأئمة اللاحقين، الأمر الذي لم يتحقَّق، أمّا وكلاؤه</w:t>
      </w:r>
      <w:r>
        <w:rPr>
          <w:rFonts w:hint="cs"/>
          <w:rtl/>
        </w:rPr>
        <w:t>×</w:t>
      </w:r>
      <w:r w:rsidRPr="00EA09EB">
        <w:rPr>
          <w:rFonts w:hint="cs"/>
          <w:rtl/>
        </w:rPr>
        <w:t xml:space="preserve"> فينعزلون عن الوكالة بموته</w:t>
      </w:r>
      <w:r>
        <w:rPr>
          <w:rFonts w:hint="cs"/>
          <w:rtl/>
        </w:rPr>
        <w:t>×</w:t>
      </w:r>
      <w:r w:rsidRPr="00064619">
        <w:rPr>
          <w:rFonts w:cs="Taher"/>
          <w:sz w:val="32"/>
          <w:vertAlign w:val="superscript"/>
          <w:rtl/>
        </w:rPr>
        <w:t>(</w:t>
      </w:r>
      <w:r w:rsidRPr="00064619">
        <w:rPr>
          <w:rStyle w:val="FootnoteReference"/>
          <w:rFonts w:cs="Taher"/>
          <w:sz w:val="32"/>
          <w:rtl/>
        </w:rPr>
        <w:footnoteReference w:id="338"/>
      </w:r>
      <w:r w:rsidRPr="00064619">
        <w:rPr>
          <w:rFonts w:cs="Taher"/>
          <w:sz w:val="32"/>
          <w:vertAlign w:val="superscript"/>
          <w:rtl/>
        </w:rPr>
        <w:t>)</w:t>
      </w:r>
      <w:r w:rsidRPr="00EA09EB">
        <w:rPr>
          <w:rFonts w:hint="cs"/>
          <w:rtl/>
        </w:rPr>
        <w:t xml:space="preserve">. </w:t>
      </w:r>
    </w:p>
    <w:p w:rsidR="00EA09EB" w:rsidRPr="00EA09EB" w:rsidRDefault="00EA09EB" w:rsidP="007A340E">
      <w:pPr>
        <w:ind w:firstLine="283"/>
        <w:rPr>
          <w:rtl/>
        </w:rPr>
      </w:pPr>
      <w:r w:rsidRPr="007A340E">
        <w:rPr>
          <w:rFonts w:hint="cs"/>
          <w:b/>
          <w:bCs/>
          <w:rtl/>
        </w:rPr>
        <w:t>الرابع عشر</w:t>
      </w:r>
      <w:r w:rsidRPr="00EA09EB">
        <w:rPr>
          <w:rFonts w:hint="cs"/>
          <w:rtl/>
        </w:rPr>
        <w:t>: يمكن أن تكون المرأة وكيلاً، إلاّ أنها لا يمكن أن تكون وليّاً؛ وذلك لأن الذكورة أحد شروط الولاية الشرعيّة</w:t>
      </w:r>
      <w:r w:rsidRPr="00064619">
        <w:rPr>
          <w:rFonts w:cs="Taher"/>
          <w:sz w:val="32"/>
          <w:vertAlign w:val="superscript"/>
          <w:rtl/>
          <w:lang w:bidi="ar-LB"/>
        </w:rPr>
        <w:t>(</w:t>
      </w:r>
      <w:r w:rsidRPr="00064619">
        <w:rPr>
          <w:rStyle w:val="FootnoteReference"/>
          <w:rFonts w:cs="Taher"/>
          <w:sz w:val="32"/>
          <w:rtl/>
          <w:lang w:bidi="ar-LB"/>
        </w:rPr>
        <w:footnoteReference w:id="339"/>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الخامس عشر</w:t>
      </w:r>
      <w:r w:rsidRPr="00EA09EB">
        <w:rPr>
          <w:rFonts w:hint="cs"/>
          <w:rtl/>
        </w:rPr>
        <w:t>: من الشروط الأساسيّة في توكيل الناس في شؤونهم العامّة</w:t>
      </w:r>
      <w:r w:rsidRPr="00064619">
        <w:rPr>
          <w:rFonts w:cs="Taher"/>
          <w:sz w:val="32"/>
          <w:vertAlign w:val="superscript"/>
          <w:rtl/>
          <w:lang w:bidi="ar-LB"/>
        </w:rPr>
        <w:t>(</w:t>
      </w:r>
      <w:r w:rsidRPr="00064619">
        <w:rPr>
          <w:rStyle w:val="FootnoteReference"/>
          <w:rFonts w:cs="Taher"/>
          <w:sz w:val="32"/>
          <w:rtl/>
          <w:lang w:bidi="ar-LB"/>
        </w:rPr>
        <w:footnoteReference w:id="340"/>
      </w:r>
      <w:r w:rsidRPr="00064619">
        <w:rPr>
          <w:rFonts w:cs="Taher"/>
          <w:sz w:val="32"/>
          <w:vertAlign w:val="superscript"/>
          <w:rtl/>
          <w:lang w:bidi="ar-LB"/>
        </w:rPr>
        <w:t>)</w:t>
      </w:r>
      <w:r w:rsidRPr="00EA09EB">
        <w:rPr>
          <w:rFonts w:hint="cs"/>
          <w:rtl/>
        </w:rPr>
        <w:t xml:space="preserve"> هو إيمان الوكيل وخبرته. ومن أهمّ الشروط الأساسية للولاية على الناس في الأمور العامّة: الفقاهة؛ والعدالة.</w:t>
      </w:r>
    </w:p>
    <w:p w:rsidR="00EA09EB" w:rsidRPr="00EA09EB" w:rsidRDefault="00EA09EB" w:rsidP="00DD2A48">
      <w:pPr>
        <w:ind w:firstLine="283"/>
        <w:rPr>
          <w:rtl/>
        </w:rPr>
      </w:pPr>
      <w:r w:rsidRPr="007A340E">
        <w:rPr>
          <w:rFonts w:hint="cs"/>
          <w:b/>
          <w:bCs/>
          <w:rtl/>
        </w:rPr>
        <w:t>السادس عشر</w:t>
      </w:r>
      <w:r w:rsidRPr="00EA09EB">
        <w:rPr>
          <w:rFonts w:hint="cs"/>
          <w:rtl/>
        </w:rPr>
        <w:t xml:space="preserve">: «بما أن المعيار في اتخاذ القرار في الولاية هو تشخيص الولي، والمعيار في اتخاذ القرار في </w:t>
      </w:r>
      <w:r w:rsidR="00DD2A48">
        <w:rPr>
          <w:rFonts w:hint="cs"/>
          <w:rtl/>
        </w:rPr>
        <w:t>الوكالة</w:t>
      </w:r>
      <w:r w:rsidRPr="00EA09EB">
        <w:rPr>
          <w:rFonts w:hint="cs"/>
          <w:rtl/>
        </w:rPr>
        <w:t xml:space="preserve"> تشخيص الموكل وتحديد الحدود من قبله، إذن فالجمع بين الولاية والوكالة غير ممكن. لأنه لا يمكن لشخص مختار أن يعين لنفسه قيّماً ووليّاً. لأن معنى سلطة الإنسان على نفسه وماله هو أن كل ما كان يستطيع أن يفعله من الأعمال الصحيحة مباشرةً يمكن له أن يفّوضه إلى غيره، لا أنه يجعله يسيطر على سلطته بحيث يمكنه أن يفوض سلطته إلى غيره ويجعله حاكماً وولياً وقيّماً له تمام الاختيار عليه، ويصبح هو مسلوب الحكم والولاية على نفسه»</w:t>
      </w:r>
      <w:r w:rsidRPr="00064619">
        <w:rPr>
          <w:rFonts w:cs="Taher" w:hint="cs"/>
          <w:sz w:val="32"/>
          <w:vertAlign w:val="superscript"/>
          <w:rtl/>
        </w:rPr>
        <w:t>(</w:t>
      </w:r>
      <w:r w:rsidRPr="00064619">
        <w:rPr>
          <w:rFonts w:cs="Taher"/>
          <w:sz w:val="32"/>
          <w:vertAlign w:val="superscript"/>
          <w:rtl/>
        </w:rPr>
        <w:footnoteReference w:id="341"/>
      </w:r>
      <w:r w:rsidRPr="00064619">
        <w:rPr>
          <w:rFonts w:cs="Taher" w:hint="cs"/>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على هذا الأساس فإن الفقيه إمّا أن يكون ولياً على الناس، وإمّا أن يكون وكيلاً عنهم. ومن المستحيل قيام المولّى عليهم بتوكيل وليّهم الشرعيّ. فللفقيه في الحكومة الولائيّة ولاية على الناس في شؤونهم العامّة، لكنّه ليس وكيلاً عنهم. والقول بوكالة الفقيه من قبل الناس هو إنكار لولاية الفقيه على الناس.</w:t>
      </w:r>
    </w:p>
    <w:p w:rsidR="00EA09EB" w:rsidRPr="00EA09EB" w:rsidRDefault="00EA09EB" w:rsidP="00CF6991">
      <w:pPr>
        <w:pStyle w:val="Normal87"/>
        <w:rPr>
          <w:rtl/>
        </w:rPr>
      </w:pPr>
      <w:r w:rsidRPr="00EA09EB">
        <w:rPr>
          <w:rFonts w:hint="cs"/>
          <w:rtl/>
        </w:rPr>
        <w:t>6</w:t>
      </w:r>
      <w:r w:rsidRPr="00EA09EB">
        <w:rPr>
          <w:rtl/>
        </w:rPr>
        <w:t>ـ</w:t>
      </w:r>
      <w:r w:rsidRPr="00EA09EB">
        <w:rPr>
          <w:rFonts w:hint="cs"/>
          <w:rtl/>
        </w:rPr>
        <w:t xml:space="preserve"> طُرح موضوع الوكالة في الأمور الخاصّة في الفقه الشيعي منذ البدايات، بحيث تُعَدّ من الضروريّات الفقهيّة</w:t>
      </w:r>
      <w:r w:rsidRPr="00064619">
        <w:rPr>
          <w:rFonts w:cs="Taher"/>
          <w:sz w:val="32"/>
          <w:vertAlign w:val="superscript"/>
          <w:rtl/>
        </w:rPr>
        <w:t>(</w:t>
      </w:r>
      <w:r w:rsidRPr="00064619">
        <w:rPr>
          <w:rStyle w:val="FootnoteReference"/>
          <w:rFonts w:cs="Taher"/>
          <w:sz w:val="32"/>
          <w:rtl/>
        </w:rPr>
        <w:footnoteReference w:id="342"/>
      </w:r>
      <w:r w:rsidRPr="00064619">
        <w:rPr>
          <w:rFonts w:cs="Taher"/>
          <w:sz w:val="32"/>
          <w:vertAlign w:val="superscript"/>
          <w:rtl/>
        </w:rPr>
        <w:t>)</w:t>
      </w:r>
      <w:r w:rsidRPr="00EA09EB">
        <w:rPr>
          <w:rFonts w:hint="cs"/>
          <w:rtl/>
        </w:rPr>
        <w:t>. أمّا الوكالة في الشؤون العامة فقليلاً ما تعرَّض لها الفقهاء. وحتى النصف الأخير من القرن الحالي كان البحث مقتصراً على وكالة الفقهاء من الإمام الحجة</w:t>
      </w:r>
      <w:r w:rsidRPr="00EA09EB">
        <w:rPr>
          <w:rFonts w:hint="cs"/>
          <w:rtl/>
        </w:rPr>
        <w:sym w:font="Abz Roumouz" w:char="F02E"/>
      </w:r>
      <w:r w:rsidRPr="00064619">
        <w:rPr>
          <w:rFonts w:cs="Taher"/>
          <w:sz w:val="32"/>
          <w:vertAlign w:val="superscript"/>
          <w:rtl/>
        </w:rPr>
        <w:t>(</w:t>
      </w:r>
      <w:r w:rsidRPr="00064619">
        <w:rPr>
          <w:rStyle w:val="FootnoteReference"/>
          <w:rFonts w:cs="Taher"/>
          <w:sz w:val="32"/>
          <w:rtl/>
        </w:rPr>
        <w:footnoteReference w:id="343"/>
      </w:r>
      <w:r w:rsidRPr="00064619">
        <w:rPr>
          <w:rFonts w:cs="Taher"/>
          <w:sz w:val="32"/>
          <w:vertAlign w:val="superscript"/>
          <w:rtl/>
        </w:rPr>
        <w:t>)</w:t>
      </w:r>
      <w:r w:rsidRPr="00EA09EB">
        <w:rPr>
          <w:rFonts w:hint="cs"/>
          <w:rtl/>
        </w:rPr>
        <w:t>. إلاّ أنه وقبل أربعين سنة قام الشيخ مرتضى الحائري اليزدي بطرح مسألة وكالة المسؤولين عن الخدمات العامّة من قِبَل الناس في كتابه «ابتغاء الفضيلة في شرح الوسيلة»</w:t>
      </w:r>
      <w:r w:rsidRPr="00064619">
        <w:rPr>
          <w:rFonts w:cs="Taher"/>
          <w:sz w:val="32"/>
          <w:vertAlign w:val="superscript"/>
          <w:rtl/>
        </w:rPr>
        <w:t>(</w:t>
      </w:r>
      <w:r w:rsidRPr="00064619">
        <w:rPr>
          <w:rStyle w:val="FootnoteReference"/>
          <w:rFonts w:cs="Taher"/>
          <w:sz w:val="32"/>
          <w:rtl/>
        </w:rPr>
        <w:footnoteReference w:id="344"/>
      </w:r>
      <w:r w:rsidRPr="00064619">
        <w:rPr>
          <w:rFonts w:cs="Taher"/>
          <w:sz w:val="32"/>
          <w:vertAlign w:val="superscript"/>
          <w:rtl/>
        </w:rPr>
        <w:t>)</w:t>
      </w:r>
      <w:r w:rsidRPr="00EA09EB">
        <w:rPr>
          <w:rFonts w:hint="cs"/>
          <w:rtl/>
        </w:rPr>
        <w:t>. وكان يرى أن الحكومة على أساس الوكالة جائزة. وتُعَدّ وكالة الدولة من قبل المواطنين أحد أركان «نظريّة وكالة الملاك الشخصيّين للمشاع»، التي طُرحت مؤخَّراً في كتاب «حكمت وحكومت»</w:t>
      </w:r>
      <w:r w:rsidRPr="00064619">
        <w:rPr>
          <w:rFonts w:cs="Taher"/>
          <w:sz w:val="32"/>
          <w:vertAlign w:val="superscript"/>
          <w:rtl/>
        </w:rPr>
        <w:t>(</w:t>
      </w:r>
      <w:r w:rsidRPr="00064619">
        <w:rPr>
          <w:rStyle w:val="FootnoteReference"/>
          <w:rFonts w:cs="Taher"/>
          <w:sz w:val="32"/>
          <w:rtl/>
        </w:rPr>
        <w:footnoteReference w:id="345"/>
      </w:r>
      <w:r w:rsidRPr="00064619">
        <w:rPr>
          <w:rFonts w:cs="Taher"/>
          <w:sz w:val="32"/>
          <w:vertAlign w:val="superscript"/>
          <w:rtl/>
        </w:rPr>
        <w:t>)</w:t>
      </w:r>
      <w:r w:rsidRPr="00EA09EB">
        <w:rPr>
          <w:rFonts w:hint="cs"/>
          <w:rtl/>
        </w:rPr>
        <w:t>. وعلى هذا فإن القول بالوكالة ـ كالقول بالولاية ـ ليس مخالفاً للضوابط الفقهيّة، ولا خروجاً على أسس الدين</w:t>
      </w:r>
      <w:r w:rsidRPr="00064619">
        <w:rPr>
          <w:rFonts w:cs="Taher"/>
          <w:sz w:val="32"/>
          <w:vertAlign w:val="superscript"/>
          <w:rtl/>
        </w:rPr>
        <w:t>(</w:t>
      </w:r>
      <w:r w:rsidRPr="00064619">
        <w:rPr>
          <w:rStyle w:val="FootnoteReference"/>
          <w:rFonts w:cs="Taher"/>
          <w:sz w:val="32"/>
          <w:rtl/>
        </w:rPr>
        <w:footnoteReference w:id="346"/>
      </w:r>
      <w:r w:rsidRPr="00064619">
        <w:rPr>
          <w:rFonts w:cs="Taher"/>
          <w:sz w:val="32"/>
          <w:vertAlign w:val="superscript"/>
          <w:rtl/>
        </w:rPr>
        <w:t>)</w:t>
      </w:r>
      <w:r w:rsidRPr="00EA09EB">
        <w:rPr>
          <w:rFonts w:hint="cs"/>
          <w:rtl/>
        </w:rPr>
        <w:t>.</w:t>
      </w:r>
    </w:p>
    <w:p w:rsidR="00EA09EB" w:rsidRPr="005C7346" w:rsidRDefault="00EA09EB" w:rsidP="007A340E">
      <w:pPr>
        <w:pStyle w:val="Heading3"/>
        <w:rPr>
          <w:rtl/>
        </w:rPr>
      </w:pPr>
      <w:r w:rsidRPr="005C7346">
        <w:rPr>
          <w:rFonts w:hint="cs"/>
          <w:rtl/>
        </w:rPr>
        <w:t xml:space="preserve">بعض النقاط حول معنى </w:t>
      </w:r>
      <w:r w:rsidRPr="007A340E">
        <w:rPr>
          <w:rFonts w:hint="cs"/>
          <w:rtl/>
        </w:rPr>
        <w:t>الولاية</w:t>
      </w:r>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يقال أحياناً بأن العمدة الأساس للحكومة الولائية، هي حبّ الوالي للناس، ومودّته لهم، وإخلاص الناس له، وشغفهم به، والحال أننا لا نجد شيئاً حول هذا الحبّ والمودة بين الحاكم والناس في سائر الحكومات. فإذاً الحكومة الولائية هي حكومة حبّ وشغف، والفهم العميق للحكومة الولائية يتوّقف على الحبّ والشغف، وأولئك الذين لم يصلوا إلى هذه المرحلة من الحبّ والشغف لا يستطيعون فهم هذه الحكومة المقدّسة.</w:t>
      </w:r>
    </w:p>
    <w:p w:rsidR="00EA09EB" w:rsidRPr="00A32FC0" w:rsidRDefault="00EA09EB" w:rsidP="00EA09EB">
      <w:pPr>
        <w:rPr>
          <w:rtl/>
          <w:lang w:bidi="ar-LB"/>
        </w:rPr>
      </w:pPr>
      <w:r w:rsidRPr="00A32FC0">
        <w:rPr>
          <w:rFonts w:hint="cs"/>
          <w:rtl/>
          <w:lang w:bidi="ar-LB"/>
        </w:rPr>
        <w:t xml:space="preserve">ولو غضضنا النظر عن الجهود الجبّارة لمتكلِّمي الشيعة في هذا المجال، التي تدلّ على أنّ معنى الولاية هو أرفع وأرقى من الحبّ والمودّة، واعتبرنا أن معنى الولاية في الحكومة الولائية </w:t>
      </w:r>
      <w:r w:rsidRPr="00A32FC0">
        <w:rPr>
          <w:rtl/>
          <w:lang w:bidi="ar-LB"/>
        </w:rPr>
        <w:t>ـ</w:t>
      </w:r>
      <w:r w:rsidRPr="00A32FC0">
        <w:rPr>
          <w:rFonts w:hint="cs"/>
          <w:rtl/>
          <w:lang w:bidi="ar-LB"/>
        </w:rPr>
        <w:t xml:space="preserve"> هو الولاية العرفانية المعنوية</w:t>
      </w:r>
      <w:r w:rsidR="00DD2A48">
        <w:rPr>
          <w:rFonts w:hint="cs"/>
          <w:rtl/>
          <w:lang w:bidi="ar-LB"/>
        </w:rPr>
        <w:t xml:space="preserve"> ـ</w:t>
      </w:r>
      <w:r w:rsidRPr="00A32FC0">
        <w:rPr>
          <w:rFonts w:hint="cs"/>
          <w:rtl/>
          <w:lang w:bidi="ar-LB"/>
        </w:rPr>
        <w:t>، مع التسامح في القيود والضوابط العرفانية الدقيقة، وسمحنا بسراية علاقة المريد والمراد إلى الساحة الاجتماعية والسياسية، بغض النظر عمّا سوف تفرزه هذه العلاقة، مع هذا كلّه يبقى هناك سؤال جدّي وهامّ، وهو أنه على هذا الأساس كيف يمكن تعريف العلاقة بين الوليّ والناس من الناحية الحقوقية؟ وهل تُضْعِفُ المودّة والحبّ والشغف قوة ضوابط الولاية الشرعية وأحكامها؟ إن المباحث الفقهيّة والسياسيّة والحقوقيّة لا يمكن أن تنسجم مع هذا النمط الخطابي والاستنسابي.</w:t>
      </w:r>
    </w:p>
    <w:p w:rsidR="00EA09EB" w:rsidRPr="00A32FC0" w:rsidRDefault="00EA09EB" w:rsidP="00EA09EB">
      <w:pPr>
        <w:rPr>
          <w:rtl/>
          <w:lang w:bidi="ar-LB"/>
        </w:rPr>
      </w:pPr>
      <w:r w:rsidRPr="00A32FC0">
        <w:rPr>
          <w:rFonts w:hint="cs"/>
          <w:rtl/>
          <w:lang w:bidi="ar-LB"/>
        </w:rPr>
        <w:t>2</w:t>
      </w:r>
      <w:r w:rsidRPr="00A32FC0">
        <w:rPr>
          <w:rtl/>
          <w:lang w:bidi="ar-LB"/>
        </w:rPr>
        <w:t>ـ</w:t>
      </w:r>
      <w:r w:rsidRPr="00A32FC0">
        <w:rPr>
          <w:rFonts w:hint="cs"/>
          <w:rtl/>
          <w:lang w:bidi="ar-LB"/>
        </w:rPr>
        <w:t xml:space="preserve"> لا شكّ في أن المعصومين</w:t>
      </w:r>
      <w:r w:rsidR="007A340E">
        <w:rPr>
          <w:rFonts w:hint="cs"/>
          <w:rtl/>
        </w:rPr>
        <w:t>^</w:t>
      </w:r>
      <w:r w:rsidRPr="00A32FC0">
        <w:rPr>
          <w:rFonts w:hint="cs"/>
          <w:rtl/>
          <w:lang w:bidi="ar-LB"/>
        </w:rPr>
        <w:t>، وخاصّة النبي</w:t>
      </w:r>
      <w:r w:rsidRPr="00A32FC0">
        <w:rPr>
          <w:rFonts w:hint="cs"/>
          <w:rtl/>
        </w:rPr>
        <w:sym w:font="Roumouz" w:char="F02D"/>
      </w:r>
      <w:r w:rsidRPr="00A32FC0">
        <w:rPr>
          <w:rFonts w:hint="cs"/>
          <w:rtl/>
          <w:lang w:bidi="ar-LB"/>
        </w:rPr>
        <w:t xml:space="preserve"> والإمام علي</w:t>
      </w:r>
      <w:r>
        <w:rPr>
          <w:rFonts w:hint="cs"/>
          <w:rtl/>
        </w:rPr>
        <w:t>×</w:t>
      </w:r>
      <w:r w:rsidRPr="00A32FC0">
        <w:rPr>
          <w:rFonts w:hint="cs"/>
          <w:rtl/>
          <w:lang w:bidi="ar-LB"/>
        </w:rPr>
        <w:t xml:space="preserve"> والإمام الحسن</w:t>
      </w:r>
      <w:r>
        <w:rPr>
          <w:rFonts w:hint="cs"/>
          <w:rtl/>
        </w:rPr>
        <w:t>×</w:t>
      </w:r>
      <w:r w:rsidRPr="00A32FC0">
        <w:rPr>
          <w:rFonts w:hint="cs"/>
          <w:rtl/>
          <w:lang w:bidi="ar-LB"/>
        </w:rPr>
        <w:t>، مع حيازتهم لمقام الولاية والإمامة، كانوا يتولّون الزعامة السياسية والقيادة في مجتمعاتهم. فماذا كان المراد من ولاية الأئمة</w:t>
      </w:r>
      <w:r w:rsidR="007A340E">
        <w:rPr>
          <w:rFonts w:hint="cs"/>
          <w:rtl/>
        </w:rPr>
        <w:t>^</w:t>
      </w:r>
      <w:r w:rsidRPr="00A32FC0">
        <w:rPr>
          <w:rFonts w:hint="cs"/>
          <w:rtl/>
          <w:lang w:bidi="ar-LB"/>
        </w:rPr>
        <w:t xml:space="preserve"> (من ناحية الزعامة والقيادة والحكومة)؟</w:t>
      </w:r>
    </w:p>
    <w:p w:rsidR="00EA09EB" w:rsidRPr="00EA09EB" w:rsidRDefault="00EA09EB" w:rsidP="00CF6991">
      <w:pPr>
        <w:pStyle w:val="Normal84"/>
        <w:rPr>
          <w:rtl/>
        </w:rPr>
      </w:pPr>
      <w:r w:rsidRPr="00EA09EB">
        <w:rPr>
          <w:rFonts w:hint="cs"/>
          <w:rtl/>
        </w:rPr>
        <w:t>كنا قد أشرنا إلى معنى ولاية المعصومين</w:t>
      </w:r>
      <w:r w:rsidR="007A340E">
        <w:rPr>
          <w:rFonts w:hint="cs"/>
          <w:rtl/>
        </w:rPr>
        <w:t>^</w:t>
      </w:r>
      <w:r w:rsidRPr="00EA09EB">
        <w:rPr>
          <w:rFonts w:hint="cs"/>
          <w:rtl/>
        </w:rPr>
        <w:t xml:space="preserve"> ضمن البحث في الولاية الكلاميّة</w:t>
      </w:r>
      <w:r w:rsidRPr="00064619">
        <w:rPr>
          <w:rFonts w:cs="Taher"/>
          <w:sz w:val="32"/>
          <w:vertAlign w:val="superscript"/>
          <w:rtl/>
        </w:rPr>
        <w:t>(</w:t>
      </w:r>
      <w:r w:rsidRPr="00064619">
        <w:rPr>
          <w:rStyle w:val="FootnoteReference"/>
          <w:rFonts w:cs="Taher"/>
          <w:sz w:val="32"/>
          <w:rtl/>
        </w:rPr>
        <w:footnoteReference w:id="347"/>
      </w:r>
      <w:r w:rsidRPr="00064619">
        <w:rPr>
          <w:rFonts w:cs="Taher"/>
          <w:sz w:val="32"/>
          <w:vertAlign w:val="superscript"/>
          <w:rtl/>
        </w:rPr>
        <w:t>)</w:t>
      </w:r>
      <w:r w:rsidRPr="00EA09EB">
        <w:rPr>
          <w:rFonts w:hint="cs"/>
          <w:rtl/>
        </w:rPr>
        <w:t>. وسوف نتطرق بالتفصيل للبحث في الزعامة السياسية للمعصومين على أساس التعاليم القرآنية، والسنة النبوية، وسيرتهم</w:t>
      </w:r>
      <w:r w:rsidR="007A340E">
        <w:rPr>
          <w:rFonts w:hint="cs"/>
          <w:rtl/>
        </w:rPr>
        <w:t>^</w:t>
      </w:r>
      <w:r w:rsidRPr="00EA09EB">
        <w:rPr>
          <w:rFonts w:hint="cs"/>
          <w:rtl/>
        </w:rPr>
        <w:t xml:space="preserve">. وسوف نبيّن </w:t>
      </w:r>
      <w:r w:rsidR="00DD2A48">
        <w:rPr>
          <w:rFonts w:hint="cs"/>
          <w:rtl/>
        </w:rPr>
        <w:t>انه لا قيمة للعلاقة بين الحاكم الديني والناس في الفكر الشيعي</w:t>
      </w:r>
      <w:r w:rsidR="00D163BC">
        <w:rPr>
          <w:rFonts w:hint="cs"/>
          <w:rtl/>
        </w:rPr>
        <w:t xml:space="preserve"> ما لم يراع فيها منهج الائمة المعصومين^</w:t>
      </w:r>
      <w:r w:rsidRPr="00EA09EB">
        <w:rPr>
          <w:rFonts w:hint="cs"/>
          <w:rtl/>
        </w:rPr>
        <w:t>.</w:t>
      </w:r>
    </w:p>
    <w:p w:rsidR="00EA09EB" w:rsidRPr="00A32FC0" w:rsidRDefault="00EA09EB" w:rsidP="00CF6991">
      <w:pPr>
        <w:pStyle w:val="Normal84"/>
        <w:rPr>
          <w:rtl/>
        </w:rPr>
      </w:pPr>
      <w:r w:rsidRPr="00A32FC0">
        <w:rPr>
          <w:rFonts w:hint="cs"/>
          <w:rtl/>
        </w:rPr>
        <w:t>3</w:t>
      </w:r>
      <w:r w:rsidRPr="00A32FC0">
        <w:rPr>
          <w:rtl/>
        </w:rPr>
        <w:t>ـ</w:t>
      </w:r>
      <w:r w:rsidRPr="00A32FC0">
        <w:rPr>
          <w:rFonts w:hint="cs"/>
          <w:rtl/>
        </w:rPr>
        <w:t xml:space="preserve"> من المباحث التي لها أثر في فهم معنى الولاية:</w:t>
      </w:r>
    </w:p>
    <w:p w:rsidR="00EA09EB" w:rsidRPr="00A32FC0" w:rsidRDefault="00EA09EB" w:rsidP="00CF6991">
      <w:pPr>
        <w:pStyle w:val="Normal84"/>
        <w:rPr>
          <w:rtl/>
        </w:rPr>
      </w:pPr>
      <w:r w:rsidRPr="00A32FC0">
        <w:rPr>
          <w:rFonts w:hint="cs"/>
          <w:rtl/>
        </w:rPr>
        <w:t>أ</w:t>
      </w:r>
      <w:r w:rsidR="00D163BC">
        <w:rPr>
          <w:rFonts w:hint="cs"/>
          <w:rtl/>
        </w:rPr>
        <w:t xml:space="preserve"> </w:t>
      </w:r>
      <w:r w:rsidRPr="00A32FC0">
        <w:rPr>
          <w:rFonts w:hint="cs"/>
          <w:rtl/>
        </w:rPr>
        <w:t>ـ كيفية طرحها في الخطابات العامّة للثورة الإسلامية في إيران.</w:t>
      </w:r>
    </w:p>
    <w:p w:rsidR="00EA09EB" w:rsidRPr="00A32FC0" w:rsidRDefault="00EA09EB" w:rsidP="00CF6991">
      <w:pPr>
        <w:pStyle w:val="Normal84"/>
        <w:rPr>
          <w:rtl/>
        </w:rPr>
      </w:pPr>
      <w:r w:rsidRPr="00A32FC0">
        <w:rPr>
          <w:rFonts w:hint="cs"/>
          <w:rtl/>
        </w:rPr>
        <w:t xml:space="preserve">ب ـ المعنى الذي استعملت فيه مع بدايات استعمالها من قِبَل قائد الثورة </w:t>
      </w:r>
      <w:r>
        <w:rPr>
          <w:rFonts w:hint="cs"/>
          <w:rtl/>
        </w:rPr>
        <w:t>السيد</w:t>
      </w:r>
      <w:r w:rsidRPr="00A32FC0">
        <w:rPr>
          <w:rFonts w:hint="cs"/>
          <w:rtl/>
        </w:rPr>
        <w:t xml:space="preserve"> الخميني، وغيره من الشخصيّات المؤثِّرة في بدايات الثورة.</w:t>
      </w:r>
    </w:p>
    <w:p w:rsidR="00EA09EB" w:rsidRPr="00A32FC0" w:rsidRDefault="00EA09EB" w:rsidP="00CF6991">
      <w:pPr>
        <w:pStyle w:val="Normal84"/>
        <w:rPr>
          <w:rtl/>
        </w:rPr>
      </w:pPr>
      <w:r w:rsidRPr="00A32FC0">
        <w:rPr>
          <w:rFonts w:hint="cs"/>
          <w:rtl/>
        </w:rPr>
        <w:t>ج ـ كيفية تلقّي أعضاء المجلس</w:t>
      </w:r>
      <w:r w:rsidR="00D163BC">
        <w:rPr>
          <w:rFonts w:hint="cs"/>
          <w:rtl/>
        </w:rPr>
        <w:t xml:space="preserve"> ـ</w:t>
      </w:r>
      <w:r w:rsidRPr="00A32FC0">
        <w:rPr>
          <w:rFonts w:hint="cs"/>
          <w:rtl/>
        </w:rPr>
        <w:t xml:space="preserve"> الذي</w:t>
      </w:r>
      <w:r w:rsidR="00D163BC">
        <w:rPr>
          <w:rFonts w:hint="cs"/>
          <w:rtl/>
        </w:rPr>
        <w:t xml:space="preserve"> تولّى الصياغة النهائية للدستور ـ</w:t>
      </w:r>
      <w:r w:rsidRPr="00A32FC0">
        <w:rPr>
          <w:rFonts w:hint="cs"/>
          <w:rtl/>
        </w:rPr>
        <w:t xml:space="preserve"> للولاية، وكيفيّة انعكاس هذا التلقّي على نصوص الدستور، ثم كيفيّة </w:t>
      </w:r>
      <w:r w:rsidR="00D163BC">
        <w:rPr>
          <w:rFonts w:hint="cs"/>
          <w:rtl/>
        </w:rPr>
        <w:t>تأثيره</w:t>
      </w:r>
      <w:r w:rsidRPr="00A32FC0">
        <w:rPr>
          <w:rFonts w:hint="cs"/>
          <w:rtl/>
        </w:rPr>
        <w:t xml:space="preserve"> على النصّ الجديد للدستور.</w:t>
      </w:r>
    </w:p>
    <w:p w:rsidR="00EA09EB" w:rsidRPr="00A32FC0" w:rsidRDefault="00EA09EB" w:rsidP="00CF6991">
      <w:pPr>
        <w:pStyle w:val="Normal84"/>
        <w:rPr>
          <w:rtl/>
        </w:rPr>
      </w:pPr>
      <w:r w:rsidRPr="00A32FC0">
        <w:rPr>
          <w:rFonts w:hint="cs"/>
          <w:rtl/>
        </w:rPr>
        <w:t>د</w:t>
      </w:r>
      <w:r w:rsidR="00D163BC">
        <w:rPr>
          <w:rFonts w:hint="cs"/>
          <w:rtl/>
        </w:rPr>
        <w:t xml:space="preserve"> </w:t>
      </w:r>
      <w:r w:rsidRPr="00A32FC0">
        <w:rPr>
          <w:rFonts w:hint="cs"/>
          <w:rtl/>
        </w:rPr>
        <w:t>ـ كيفية، وتوقيت، سراية الولاية إلى شعارات الجماهيريّة العامة، وكيفية تلاؤمها مع مفهوم الجمهورية الإسلامية.</w:t>
      </w:r>
    </w:p>
    <w:p w:rsidR="00EA09EB" w:rsidRPr="00A32FC0" w:rsidRDefault="00EA09EB" w:rsidP="00CF6991">
      <w:pPr>
        <w:pStyle w:val="Normal84"/>
        <w:rPr>
          <w:rtl/>
        </w:rPr>
      </w:pPr>
      <w:r w:rsidRPr="00A32FC0">
        <w:rPr>
          <w:rFonts w:hint="cs"/>
          <w:rtl/>
        </w:rPr>
        <w:t>وبالاستناد إلى النقاط المذكورة سوف تَتَّخذ الولاية معنىً اجتماعياً ميدانياً، ولن يكون معناها انتزاعيّاً مجرَّداً، إنْ شاء الله.</w:t>
      </w:r>
    </w:p>
    <w:p w:rsidR="007A340E" w:rsidRDefault="00EA09EB" w:rsidP="00CF6991">
      <w:pPr>
        <w:pStyle w:val="Normal84"/>
        <w:rPr>
          <w:rtl/>
        </w:rPr>
      </w:pPr>
      <w:r w:rsidRPr="00EA09EB">
        <w:rPr>
          <w:rtl/>
        </w:rPr>
        <w:br w:type="page"/>
      </w:r>
    </w:p>
    <w:p w:rsidR="007A340E" w:rsidRDefault="007A340E" w:rsidP="007A340E">
      <w:pPr>
        <w:rPr>
          <w:rtl/>
          <w:lang w:bidi="ar-LB"/>
        </w:rPr>
        <w:sectPr w:rsidR="007A340E" w:rsidSect="009003FC">
          <w:headerReference w:type="even" r:id="rId36"/>
          <w:headerReference w:type="default" r:id="rId37"/>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9D41F1">
      <w:pPr>
        <w:pStyle w:val="Heading2"/>
        <w:jc w:val="center"/>
        <w:rPr>
          <w:rtl/>
          <w:lang w:bidi="ar-LB"/>
        </w:rPr>
      </w:pPr>
      <w:bookmarkStart w:id="44" w:name="_Toc413658827"/>
      <w:r w:rsidRPr="00E2207F">
        <w:rPr>
          <w:rFonts w:hint="cs"/>
          <w:rtl/>
          <w:lang w:bidi="ar-LB"/>
        </w:rPr>
        <w:t xml:space="preserve">الفصل الحادي عشر: </w:t>
      </w:r>
      <w:r>
        <w:rPr>
          <w:rFonts w:hint="cs"/>
          <w:rtl/>
          <w:lang w:bidi="ar-LB"/>
        </w:rPr>
        <w:t>لمحة تاريخيّة حول الولاي</w:t>
      </w:r>
      <w:r w:rsidRPr="00E2207F">
        <w:rPr>
          <w:rFonts w:hint="cs"/>
          <w:rtl/>
          <w:lang w:bidi="ar-LB"/>
        </w:rPr>
        <w:t>ة في عصر الجمهوريّة الإسلامي</w:t>
      </w:r>
      <w:r w:rsidRPr="007A340E">
        <w:rPr>
          <w:rFonts w:hint="cs"/>
          <w:rtl/>
        </w:rPr>
        <w:t>ّة</w:t>
      </w:r>
      <w:bookmarkEnd w:id="44"/>
    </w:p>
    <w:p w:rsidR="00EA09EB" w:rsidRPr="00A32FC0" w:rsidRDefault="00EA09EB" w:rsidP="00EA09EB">
      <w:pPr>
        <w:rPr>
          <w:rtl/>
          <w:lang w:bidi="ar-LB"/>
        </w:rPr>
      </w:pPr>
      <w:r w:rsidRPr="00A32FC0">
        <w:rPr>
          <w:rFonts w:hint="cs"/>
          <w:rtl/>
          <w:lang w:bidi="ar-LB"/>
        </w:rPr>
        <w:t>من المباحث التي لها تأثير هامّ في فهم معنى الولاية، وإدراك الحدود التصورية، والأبعاد الجغرافية لهذا المفهوم، دراسة كيفيّة سراية مفهوم الولاية إلى المجتمع، وزمانها.</w:t>
      </w:r>
    </w:p>
    <w:p w:rsidR="00EA09EB" w:rsidRPr="00A32FC0" w:rsidRDefault="00EA09EB" w:rsidP="00EA09EB">
      <w:pPr>
        <w:rPr>
          <w:rtl/>
          <w:lang w:bidi="ar-LB"/>
        </w:rPr>
      </w:pPr>
      <w:r w:rsidRPr="00A32FC0">
        <w:rPr>
          <w:rFonts w:hint="cs"/>
          <w:rtl/>
          <w:lang w:bidi="ar-LB"/>
        </w:rPr>
        <w:t xml:space="preserve">متى طرحت الولاية والحكومة الولائية في التاريخ السياسي المعاصر في إيران؟ وما هي خصائص النظام الملكي؟ وما هي الفروق الإسلامية بين الحكومة الولائية والحكومة الملكية؟ وهل كانت ولاية الفقيه هدفاً من أهداف النهضة الإسلامية، وتالياً من أهداف الثورة الإسلامية في إيران؟ وهل كان هناك إشارة لولاية الفقيه في بيانات </w:t>
      </w:r>
      <w:r>
        <w:rPr>
          <w:rFonts w:hint="cs"/>
          <w:rtl/>
          <w:lang w:bidi="ar-LB"/>
        </w:rPr>
        <w:t>السيد</w:t>
      </w:r>
      <w:r w:rsidRPr="00A32FC0">
        <w:rPr>
          <w:rFonts w:hint="cs"/>
          <w:rtl/>
          <w:lang w:bidi="ar-LB"/>
        </w:rPr>
        <w:t xml:space="preserve"> الخميني وحواراته الدولية المتعدِّدة حول تعريفه للنهضة الإسلامية والحكومة المنبعثة منها؟ ومتى، ولماذا، قام </w:t>
      </w:r>
      <w:r>
        <w:rPr>
          <w:rFonts w:hint="cs"/>
          <w:rtl/>
          <w:lang w:bidi="ar-LB"/>
        </w:rPr>
        <w:t>السيد</w:t>
      </w:r>
      <w:r w:rsidRPr="00A32FC0">
        <w:rPr>
          <w:rFonts w:hint="cs"/>
          <w:rtl/>
          <w:lang w:bidi="ar-LB"/>
        </w:rPr>
        <w:t xml:space="preserve"> الخميني بتغيير الشعار المحوري </w:t>
      </w:r>
      <w:r w:rsidRPr="00A32FC0">
        <w:rPr>
          <w:rFonts w:hint="cs"/>
          <w:rtl/>
        </w:rPr>
        <w:t>«</w:t>
      </w:r>
      <w:r w:rsidRPr="00A32FC0">
        <w:rPr>
          <w:rFonts w:hint="cs"/>
          <w:rtl/>
          <w:lang w:bidi="ar-LB"/>
        </w:rPr>
        <w:t xml:space="preserve">الحكومة الإسلامية» إلى </w:t>
      </w:r>
      <w:r w:rsidRPr="00A32FC0">
        <w:rPr>
          <w:rFonts w:hint="cs"/>
          <w:rtl/>
        </w:rPr>
        <w:t>«</w:t>
      </w:r>
      <w:r w:rsidRPr="00A32FC0">
        <w:rPr>
          <w:rFonts w:hint="cs"/>
          <w:rtl/>
          <w:lang w:bidi="ar-LB"/>
        </w:rPr>
        <w:t>الجمهورية الإسلاميّة</w:t>
      </w:r>
      <w:r w:rsidRPr="00A32FC0">
        <w:rPr>
          <w:rFonts w:hint="cs"/>
          <w:rtl/>
        </w:rPr>
        <w:t>»</w:t>
      </w:r>
      <w:r w:rsidRPr="00A32FC0">
        <w:rPr>
          <w:rFonts w:hint="cs"/>
          <w:rtl/>
          <w:lang w:bidi="ar-LB"/>
        </w:rPr>
        <w:t xml:space="preserve">؟ وكيف عَرَّف </w:t>
      </w:r>
      <w:r>
        <w:rPr>
          <w:rFonts w:hint="cs"/>
          <w:rtl/>
          <w:lang w:bidi="ar-LB"/>
        </w:rPr>
        <w:t>السيد</w:t>
      </w:r>
      <w:r w:rsidRPr="00A32FC0">
        <w:rPr>
          <w:rFonts w:hint="cs"/>
          <w:rtl/>
          <w:lang w:bidi="ar-LB"/>
        </w:rPr>
        <w:t xml:space="preserve"> الخميني مفهوم </w:t>
      </w:r>
      <w:r w:rsidRPr="00A32FC0">
        <w:rPr>
          <w:rFonts w:hint="cs"/>
          <w:rtl/>
        </w:rPr>
        <w:t>«</w:t>
      </w:r>
      <w:r w:rsidRPr="00A32FC0">
        <w:rPr>
          <w:rFonts w:hint="cs"/>
          <w:rtl/>
          <w:lang w:bidi="ar-LB"/>
        </w:rPr>
        <w:t>الجمهورية الإسلاميّة</w:t>
      </w:r>
      <w:r w:rsidRPr="00A32FC0">
        <w:rPr>
          <w:rFonts w:hint="cs"/>
          <w:rtl/>
        </w:rPr>
        <w:t>»</w:t>
      </w:r>
      <w:r w:rsidRPr="00A32FC0">
        <w:rPr>
          <w:rFonts w:hint="cs"/>
          <w:rtl/>
          <w:lang w:bidi="ar-LB"/>
        </w:rPr>
        <w:t xml:space="preserve"> للشعب الإيراني والعالَم؟ وهل تمّ تقديم ولاية الفقيه للناس على أنها واحدٌ من أصول الجمهورية الإسلاميّة، قبل الاستفتاء التاريخيّ العامّ حول الجمهوريّة الإسلاميّة في 12 فروردين 1358</w:t>
      </w:r>
      <w:r>
        <w:rPr>
          <w:rFonts w:hint="cs"/>
          <w:rtl/>
          <w:lang w:bidi="ar-LB"/>
        </w:rPr>
        <w:t>هـ.ش / 1979 م</w:t>
      </w:r>
      <w:r w:rsidRPr="00A32FC0">
        <w:rPr>
          <w:rFonts w:hint="cs"/>
          <w:rtl/>
          <w:lang w:bidi="ar-LB"/>
        </w:rPr>
        <w:t>؟ وكيف كانت وضعيّة مكانة ولاية الفقيه في مسوَّد</w:t>
      </w:r>
      <w:r>
        <w:rPr>
          <w:rFonts w:hint="cs"/>
          <w:rtl/>
          <w:lang w:bidi="ar-LB"/>
        </w:rPr>
        <w:t>ة الدستور؟ ولماذا لم يعرض السيد</w:t>
      </w:r>
      <w:r w:rsidRPr="00A32FC0">
        <w:rPr>
          <w:rFonts w:hint="cs"/>
          <w:rtl/>
          <w:lang w:bidi="ar-LB"/>
        </w:rPr>
        <w:t xml:space="preserve"> الخميني في بياناته لمسألة ولاية الفقيه قبل طرحها في مجلس صياغة الدستور؟ وكيف وجدت ولاية الفقيه طريقها إلى دستور الجمهورية الإسلاميّة؟ وكيف تلقّى مجلس صياغة الدستور ولاية الفقيه؟ وكيف كان تقييمه للعلاقة بين الولاية وضوابط الجمهوريّة، وحقّ السيادة الوطنية؟ وكيف كان توصيف ال</w:t>
      </w:r>
      <w:r>
        <w:rPr>
          <w:rFonts w:hint="cs"/>
          <w:rtl/>
          <w:lang w:bidi="ar-LB"/>
        </w:rPr>
        <w:t>سيد</w:t>
      </w:r>
      <w:r w:rsidRPr="00A32FC0">
        <w:rPr>
          <w:rFonts w:hint="cs"/>
          <w:rtl/>
          <w:lang w:bidi="ar-LB"/>
        </w:rPr>
        <w:t xml:space="preserve"> الخميني لولاية الفقيه؟ وبغضّ النظر عن بيانات ا</w:t>
      </w:r>
      <w:r>
        <w:rPr>
          <w:rFonts w:hint="cs"/>
          <w:rtl/>
          <w:lang w:bidi="ar-LB"/>
        </w:rPr>
        <w:t>لسيد</w:t>
      </w:r>
      <w:r w:rsidRPr="00A32FC0">
        <w:rPr>
          <w:rFonts w:hint="cs"/>
          <w:rtl/>
          <w:lang w:bidi="ar-LB"/>
        </w:rPr>
        <w:t xml:space="preserve"> الخميني كيف كان سلوكه العملي في العقد الأوّل من تحقُّق ولاية الفقيه؟ وما هي العوامل المرتبطة بمسألة ولاية الفقيه التي دعت إلى إعادة صياغة الدستور؟ وكيف كان تلقّي مجلس إعادة صياغة الدستور لولاية الفقيه؟ وما هي الصورة التي قُدِّمت للناس عن الولاية، والحكومة الولائية، في العقد الثاني من استقرار ولاية الفقيه في إيران؟ ومتى أصبحت ولاية الفقيه واحداً من الأصول، بل القلب النابض لنظام الجمهوريّة الإسلاميّة؟</w:t>
      </w:r>
    </w:p>
    <w:p w:rsidR="00EA09EB" w:rsidRPr="00A32FC0" w:rsidRDefault="00EA09EB" w:rsidP="00EA09EB">
      <w:pPr>
        <w:rPr>
          <w:rtl/>
          <w:lang w:bidi="ar-LB"/>
        </w:rPr>
      </w:pPr>
      <w:r w:rsidRPr="00A32FC0">
        <w:rPr>
          <w:rFonts w:hint="cs"/>
          <w:rtl/>
          <w:lang w:bidi="ar-LB"/>
        </w:rPr>
        <w:t xml:space="preserve">نخصِّص هذا القسم من البحث للإجابة عن هذه الأسئلة المتقدِّمة. </w:t>
      </w:r>
    </w:p>
    <w:p w:rsidR="00EA09EB" w:rsidRPr="00A32FC0" w:rsidRDefault="00EA09EB" w:rsidP="00EA09EB">
      <w:pPr>
        <w:rPr>
          <w:rtl/>
          <w:lang w:bidi="ar-LB"/>
        </w:rPr>
      </w:pPr>
      <w:r w:rsidRPr="00A32FC0">
        <w:rPr>
          <w:rFonts w:hint="cs"/>
          <w:rtl/>
          <w:lang w:bidi="ar-LB"/>
        </w:rPr>
        <w:t xml:space="preserve">إن الاهتمام بجزئيات الحكومة الولائية، ومتابعتها بشكل محسوس، وملاحظة ظروفها الزمانيّة والمكانية، سيُسهم في توضيح مفهوم الولاية. </w:t>
      </w:r>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إن الحكومة الولائية في إيران جاءت بعد الحكومة المَلَكية. يعود عمر النظام المَلَكي في إيران إلى خمسةٍ وعشرين قرناً. ق</w:t>
      </w:r>
      <w:r>
        <w:rPr>
          <w:rFonts w:hint="cs"/>
          <w:rtl/>
          <w:lang w:bidi="ar-LB"/>
        </w:rPr>
        <w:t>امت الثورة الإسلامية سنة 1357هـ.</w:t>
      </w:r>
      <w:r w:rsidRPr="00A32FC0">
        <w:rPr>
          <w:rFonts w:hint="cs"/>
          <w:rtl/>
          <w:lang w:bidi="ar-LB"/>
        </w:rPr>
        <w:t>ش</w:t>
      </w:r>
      <w:r>
        <w:rPr>
          <w:rFonts w:hint="cs"/>
          <w:rtl/>
          <w:lang w:bidi="ar-LB"/>
        </w:rPr>
        <w:t xml:space="preserve"> / 1978 م</w:t>
      </w:r>
      <w:r w:rsidRPr="00A32FC0">
        <w:rPr>
          <w:rFonts w:hint="cs"/>
          <w:rtl/>
          <w:lang w:bidi="ar-LB"/>
        </w:rPr>
        <w:t xml:space="preserve"> بالإطاحة بالنظام المَلَكي، وتأسيس الجمهورية الإسلاميّة على أنقاضه. يمكن تقسيم تاريخ النظام المَلَكي في إيران، الذي دام خمسة وعشرين قرناً</w:t>
      </w:r>
      <w:r>
        <w:rPr>
          <w:rFonts w:hint="cs"/>
          <w:rtl/>
          <w:lang w:bidi="ar-LB"/>
        </w:rPr>
        <w:t>،</w:t>
      </w:r>
      <w:r w:rsidRPr="00A32FC0">
        <w:rPr>
          <w:rFonts w:hint="cs"/>
          <w:rtl/>
          <w:lang w:bidi="ar-LB"/>
        </w:rPr>
        <w:t xml:space="preserve"> إلى عدة مراحل:</w:t>
      </w:r>
    </w:p>
    <w:p w:rsidR="00EA09EB" w:rsidRPr="00EA09EB" w:rsidRDefault="00EA09EB" w:rsidP="007A340E">
      <w:pPr>
        <w:ind w:firstLine="283"/>
        <w:rPr>
          <w:rtl/>
        </w:rPr>
      </w:pPr>
      <w:r w:rsidRPr="007A340E">
        <w:rPr>
          <w:rFonts w:hint="cs"/>
          <w:b/>
          <w:bCs/>
          <w:rtl/>
        </w:rPr>
        <w:t>الأولى</w:t>
      </w:r>
      <w:r w:rsidRPr="00EA09EB">
        <w:rPr>
          <w:rFonts w:hint="cs"/>
          <w:rtl/>
        </w:rPr>
        <w:t>: عصر الإمبراطورية (قبل الإسلام).</w:t>
      </w:r>
    </w:p>
    <w:p w:rsidR="00EA09EB" w:rsidRPr="00EA09EB" w:rsidRDefault="00EA09EB" w:rsidP="007A340E">
      <w:pPr>
        <w:ind w:firstLine="283"/>
        <w:rPr>
          <w:rtl/>
        </w:rPr>
      </w:pPr>
      <w:r w:rsidRPr="007A340E">
        <w:rPr>
          <w:rFonts w:hint="cs"/>
          <w:b/>
          <w:bCs/>
          <w:rtl/>
        </w:rPr>
        <w:t>الثانية</w:t>
      </w:r>
      <w:r w:rsidRPr="00EA09EB">
        <w:rPr>
          <w:rFonts w:hint="cs"/>
          <w:rtl/>
        </w:rPr>
        <w:t xml:space="preserve">: عصر السلاطين والحكام المسلمين من أهل السنّة (من القرن الأول إلى القرن العاشر الهجريّ). </w:t>
      </w:r>
    </w:p>
    <w:p w:rsidR="00EA09EB" w:rsidRPr="00EA09EB" w:rsidRDefault="00EA09EB" w:rsidP="007A340E">
      <w:pPr>
        <w:ind w:firstLine="283"/>
        <w:rPr>
          <w:rtl/>
        </w:rPr>
      </w:pPr>
      <w:r w:rsidRPr="007A340E">
        <w:rPr>
          <w:rFonts w:hint="cs"/>
          <w:b/>
          <w:bCs/>
          <w:rtl/>
        </w:rPr>
        <w:t>الثالثة</w:t>
      </w:r>
      <w:r w:rsidRPr="00EA09EB">
        <w:rPr>
          <w:rFonts w:hint="cs"/>
          <w:rtl/>
        </w:rPr>
        <w:t xml:space="preserve">: عصر الملوك الشيعة (من القرن العاشر إلى القرن الرابع عشر الهجريّ). </w:t>
      </w:r>
    </w:p>
    <w:p w:rsidR="00EA09EB" w:rsidRPr="00EA09EB" w:rsidRDefault="00EA09EB" w:rsidP="007A340E">
      <w:pPr>
        <w:ind w:firstLine="283"/>
        <w:rPr>
          <w:rtl/>
        </w:rPr>
      </w:pPr>
      <w:r w:rsidRPr="007A340E">
        <w:rPr>
          <w:rFonts w:hint="cs"/>
          <w:b/>
          <w:bCs/>
          <w:rtl/>
        </w:rPr>
        <w:t>الرابعة</w:t>
      </w:r>
      <w:r w:rsidRPr="00EA09EB">
        <w:rPr>
          <w:rFonts w:hint="cs"/>
          <w:rtl/>
        </w:rPr>
        <w:t>: عصر المَلَكية الدستوريّة القصير.</w:t>
      </w:r>
    </w:p>
    <w:p w:rsidR="00EA09EB" w:rsidRPr="00A32FC0" w:rsidRDefault="00EA09EB" w:rsidP="00EA09EB">
      <w:pPr>
        <w:rPr>
          <w:rtl/>
          <w:lang w:bidi="ar-LB"/>
        </w:rPr>
      </w:pPr>
      <w:r w:rsidRPr="00A32FC0">
        <w:rPr>
          <w:rFonts w:hint="cs"/>
          <w:b/>
          <w:bCs/>
          <w:rtl/>
          <w:lang w:bidi="ar-LB"/>
        </w:rPr>
        <w:t>الخامسة</w:t>
      </w:r>
      <w:r w:rsidRPr="00A32FC0">
        <w:rPr>
          <w:rFonts w:hint="cs"/>
          <w:rtl/>
          <w:lang w:bidi="ar-LB"/>
        </w:rPr>
        <w:t xml:space="preserve">: عصر حكم الملوك المحاربين للدين، والمرتبطين بالأجانب. </w:t>
      </w:r>
    </w:p>
    <w:p w:rsidR="00EA09EB" w:rsidRPr="00EA09EB" w:rsidRDefault="00EA09EB" w:rsidP="00CF6991">
      <w:pPr>
        <w:pStyle w:val="Normal87"/>
        <w:rPr>
          <w:rtl/>
        </w:rPr>
      </w:pPr>
      <w:r w:rsidRPr="00A32FC0">
        <w:rPr>
          <w:rFonts w:hint="cs"/>
          <w:rtl/>
        </w:rPr>
        <w:t>بالرغم من تغيير دين الناس (بدخولهم الإسلام في أواخر المرحلة الأولى)، وتبديل المذهب (التشيُّع في نهاية المرحلة الثانية)، والتغيير الظاهريّ للنظام من مَلَكية مطلقة إلى مَلَكية دستورية (في المرحلة الرابعة)، فقد تمكَّن نظام المَلَكية المطلقة، بما له من مقوِّمات وخصائص، من الاستمرار في هذه المنطقة طوال هذه الحقبة الطويلة. ويمكن تعداد خصائص النظام الملكي</w:t>
      </w:r>
      <w:r w:rsidRPr="00064619">
        <w:rPr>
          <w:rFonts w:cs="Taher"/>
          <w:vertAlign w:val="superscript"/>
          <w:rtl/>
        </w:rPr>
        <w:t>(</w:t>
      </w:r>
      <w:r w:rsidRPr="00064619">
        <w:rPr>
          <w:rStyle w:val="FootnoteReference"/>
          <w:rFonts w:cs="Taher"/>
          <w:sz w:val="32"/>
          <w:rtl/>
        </w:rPr>
        <w:footnoteReference w:id="348"/>
      </w:r>
      <w:r w:rsidRPr="00064619">
        <w:rPr>
          <w:rFonts w:cs="Taher"/>
          <w:vertAlign w:val="superscript"/>
          <w:rtl/>
        </w:rPr>
        <w:t>)</w:t>
      </w:r>
      <w:r w:rsidRPr="00EA09EB">
        <w:rPr>
          <w:rFonts w:hint="cs"/>
          <w:rtl/>
        </w:rPr>
        <w:t>، أو بعبارة أخرى: مقوّمات الملكية المطلقة، على النحو الآتي:</w:t>
      </w:r>
    </w:p>
    <w:p w:rsidR="00EA09EB" w:rsidRPr="00EA09EB" w:rsidRDefault="00EA09EB" w:rsidP="00CF6991">
      <w:pPr>
        <w:pStyle w:val="Normal84"/>
        <w:rPr>
          <w:rtl/>
        </w:rPr>
      </w:pPr>
      <w:r w:rsidRPr="007A340E">
        <w:rPr>
          <w:rFonts w:hint="cs"/>
          <w:b/>
          <w:bCs/>
          <w:rtl/>
        </w:rPr>
        <w:t>الأولى</w:t>
      </w:r>
      <w:r w:rsidRPr="00EA09EB">
        <w:rPr>
          <w:rFonts w:hint="cs"/>
          <w:rtl/>
        </w:rPr>
        <w:t>: في النظام المَلَكي تتمركز السلطة السياسية في شخص الملك (نظام الحاكم الفرد).</w:t>
      </w:r>
    </w:p>
    <w:p w:rsidR="00EA09EB" w:rsidRPr="00EA09EB" w:rsidRDefault="00EA09EB" w:rsidP="00CF6991">
      <w:pPr>
        <w:pStyle w:val="Normal87"/>
        <w:rPr>
          <w:rtl/>
        </w:rPr>
      </w:pPr>
      <w:r w:rsidRPr="007A340E">
        <w:rPr>
          <w:rFonts w:hint="cs"/>
          <w:b/>
          <w:bCs/>
          <w:rtl/>
        </w:rPr>
        <w:t>الثانية</w:t>
      </w:r>
      <w:r w:rsidRPr="00EA09EB">
        <w:rPr>
          <w:rFonts w:hint="cs"/>
          <w:rtl/>
        </w:rPr>
        <w:t>: في النظام الملكي السلطة السياسية لا تحاسَب، ولا يُسمح بالإشراف عليها. بمعنى أنه لا يمكن لل</w:t>
      </w:r>
      <w:r w:rsidR="00D163BC">
        <w:rPr>
          <w:rFonts w:hint="cs"/>
          <w:rtl/>
        </w:rPr>
        <w:t>ناس محاسبة الملك. ولا وجود لايّة</w:t>
      </w:r>
      <w:r w:rsidRPr="00EA09EB">
        <w:rPr>
          <w:rFonts w:hint="cs"/>
          <w:rtl/>
        </w:rPr>
        <w:t xml:space="preserve"> مؤسَّسة قانونية أو شعبية يمكنها الإشراف على تصرُّفات الملك.</w:t>
      </w:r>
    </w:p>
    <w:p w:rsidR="00EA09EB" w:rsidRPr="00EA09EB" w:rsidRDefault="00EA09EB" w:rsidP="007A340E">
      <w:pPr>
        <w:ind w:firstLine="283"/>
        <w:rPr>
          <w:rtl/>
        </w:rPr>
      </w:pPr>
      <w:r w:rsidRPr="007A340E">
        <w:rPr>
          <w:rFonts w:hint="cs"/>
          <w:b/>
          <w:bCs/>
          <w:rtl/>
        </w:rPr>
        <w:t>الثالثة</w:t>
      </w:r>
      <w:r w:rsidRPr="00EA09EB">
        <w:rPr>
          <w:rFonts w:hint="cs"/>
          <w:rtl/>
        </w:rPr>
        <w:t>: السلطة في النظام الملكي مقدَّسة. لذلك لا يسمح بانتقادها. وتعتبر الملكية وديعة إلهيّة عُهِدَ بها إلى الملك.</w:t>
      </w:r>
    </w:p>
    <w:p w:rsidR="00EA09EB" w:rsidRPr="00EA09EB" w:rsidRDefault="00EA09EB" w:rsidP="007A340E">
      <w:pPr>
        <w:ind w:firstLine="283"/>
        <w:rPr>
          <w:rtl/>
        </w:rPr>
      </w:pPr>
      <w:r w:rsidRPr="007A340E">
        <w:rPr>
          <w:rFonts w:hint="cs"/>
          <w:b/>
          <w:bCs/>
          <w:rtl/>
        </w:rPr>
        <w:t>الرابعة</w:t>
      </w:r>
      <w:r w:rsidRPr="00EA09EB">
        <w:rPr>
          <w:rFonts w:hint="cs"/>
          <w:rtl/>
        </w:rPr>
        <w:t>: سلطة الملك، في النظام الملكي، هي فوق القانون. بل إن قرارات الملك في الواقع هي القانون.</w:t>
      </w:r>
    </w:p>
    <w:p w:rsidR="00EA09EB" w:rsidRPr="00EA09EB" w:rsidRDefault="00EA09EB" w:rsidP="007A340E">
      <w:pPr>
        <w:ind w:firstLine="283"/>
        <w:rPr>
          <w:rtl/>
        </w:rPr>
      </w:pPr>
      <w:r w:rsidRPr="007A340E">
        <w:rPr>
          <w:rFonts w:hint="cs"/>
          <w:b/>
          <w:bCs/>
          <w:rtl/>
        </w:rPr>
        <w:t>الخامسة</w:t>
      </w:r>
      <w:r w:rsidRPr="00EA09EB">
        <w:rPr>
          <w:rFonts w:hint="cs"/>
          <w:rtl/>
        </w:rPr>
        <w:t>: في النظام الملكي تكون سلطة الملك وصلاحياته مطلقة، ولا حدود لها، وتشمل جميع نواحي الحياة، العامّة والخاصّة، لتمام أفراد المجتمع.</w:t>
      </w:r>
    </w:p>
    <w:p w:rsidR="00EA09EB" w:rsidRPr="00EA09EB" w:rsidRDefault="00EA09EB" w:rsidP="007A340E">
      <w:pPr>
        <w:ind w:firstLine="283"/>
        <w:rPr>
          <w:rtl/>
        </w:rPr>
      </w:pPr>
      <w:r w:rsidRPr="007A340E">
        <w:rPr>
          <w:rFonts w:hint="cs"/>
          <w:b/>
          <w:bCs/>
          <w:rtl/>
        </w:rPr>
        <w:t>السادسة</w:t>
      </w:r>
      <w:r w:rsidRPr="00EA09EB">
        <w:rPr>
          <w:rFonts w:hint="cs"/>
          <w:rtl/>
        </w:rPr>
        <w:t>: الملك مطلق التصرُّف، ومالك لرقاب الناس، وليس منتخباً من الشعب لتمثيلهم، ووظيفة الشعب الأهمّ هي الطاعة ونصرة الملك.</w:t>
      </w:r>
    </w:p>
    <w:p w:rsidR="00EA09EB" w:rsidRPr="00EA09EB" w:rsidRDefault="00EA09EB" w:rsidP="007A340E">
      <w:pPr>
        <w:ind w:firstLine="283"/>
        <w:rPr>
          <w:rtl/>
        </w:rPr>
      </w:pPr>
      <w:r w:rsidRPr="007A340E">
        <w:rPr>
          <w:rFonts w:hint="cs"/>
          <w:b/>
          <w:bCs/>
          <w:rtl/>
        </w:rPr>
        <w:t>السابعة</w:t>
      </w:r>
      <w:r w:rsidRPr="00EA09EB">
        <w:rPr>
          <w:rFonts w:hint="cs"/>
          <w:rtl/>
        </w:rPr>
        <w:t xml:space="preserve">: مدة الحكم الملكية مدى الحياة. وإبعاد الملك عن الساحة السياسيّة لا يتمّ إلاّ بإحدى طريقتين: </w:t>
      </w:r>
      <w:r w:rsidRPr="007A340E">
        <w:rPr>
          <w:rFonts w:hint="cs"/>
          <w:b/>
          <w:bCs/>
          <w:rtl/>
        </w:rPr>
        <w:t>الأولى</w:t>
      </w:r>
      <w:r w:rsidRPr="00EA09EB">
        <w:rPr>
          <w:rFonts w:hint="cs"/>
          <w:rtl/>
        </w:rPr>
        <w:t xml:space="preserve">: الموت؛ </w:t>
      </w:r>
      <w:r w:rsidRPr="007A340E">
        <w:rPr>
          <w:rFonts w:hint="cs"/>
          <w:b/>
          <w:bCs/>
          <w:rtl/>
        </w:rPr>
        <w:t>والثانية</w:t>
      </w:r>
      <w:r w:rsidRPr="00EA09EB">
        <w:rPr>
          <w:rFonts w:hint="cs"/>
          <w:rtl/>
        </w:rPr>
        <w:t>: الإطاحة به. ولا يمكن في النظام المَلَكي القيام بتغيير النظام بشكل سلميّ عن طريق السياسة والتداول.</w:t>
      </w:r>
    </w:p>
    <w:p w:rsidR="00EA09EB" w:rsidRPr="00EA09EB" w:rsidRDefault="00EA09EB" w:rsidP="00D163BC">
      <w:pPr>
        <w:ind w:firstLine="283"/>
        <w:rPr>
          <w:rtl/>
        </w:rPr>
      </w:pPr>
      <w:r w:rsidRPr="007A340E">
        <w:rPr>
          <w:rFonts w:hint="cs"/>
          <w:b/>
          <w:bCs/>
          <w:rtl/>
        </w:rPr>
        <w:t>الثامنة</w:t>
      </w:r>
      <w:r w:rsidRPr="00EA09EB">
        <w:rPr>
          <w:rFonts w:hint="cs"/>
          <w:rtl/>
        </w:rPr>
        <w:t>: الملك الأوّل من كل سلالة مَلَكية يصل دائماً إلى الحكم عن طريق الانقلاب والقوّة، ومن ثم تصبح الملكية إرثاً يتداوله الذكور من نسله (الملكية الوراثية). وفي جميع الأحوال فإن للملك الحقّ في تعيين وتسمية الملك الذي سوف يخلفه (</w:t>
      </w:r>
      <w:r w:rsidR="00D163BC">
        <w:rPr>
          <w:rFonts w:hint="cs"/>
          <w:rtl/>
        </w:rPr>
        <w:t>ولي العهد</w:t>
      </w:r>
      <w:r w:rsidRPr="00EA09EB">
        <w:rPr>
          <w:rFonts w:hint="cs"/>
          <w:rtl/>
        </w:rPr>
        <w:t>).</w:t>
      </w:r>
    </w:p>
    <w:p w:rsidR="00EA09EB" w:rsidRPr="00EA09EB" w:rsidRDefault="00EA09EB" w:rsidP="007A340E">
      <w:pPr>
        <w:ind w:firstLine="283"/>
        <w:rPr>
          <w:rtl/>
        </w:rPr>
      </w:pPr>
      <w:r w:rsidRPr="007A340E">
        <w:rPr>
          <w:rFonts w:hint="cs"/>
          <w:b/>
          <w:bCs/>
          <w:rtl/>
        </w:rPr>
        <w:t>التاسعة</w:t>
      </w:r>
      <w:r w:rsidRPr="00EA09EB">
        <w:rPr>
          <w:rFonts w:hint="cs"/>
          <w:rtl/>
        </w:rPr>
        <w:t>: المحور الأساس في النظام المَلَكي هو الولاء والتقرُّب. والميزان الأساس للمؤهِّلات السياسية والاجتماعية والاقتصادية للناس تعتمد على مدى قربهم من الملك وولائهم له. فالولاء والقرب هما المحور الذي يقابل الأهليّة والكفاءة.</w:t>
      </w:r>
    </w:p>
    <w:p w:rsidR="00EA09EB" w:rsidRPr="00EA09EB" w:rsidRDefault="00EA09EB" w:rsidP="007A340E">
      <w:pPr>
        <w:ind w:firstLine="283"/>
        <w:rPr>
          <w:rtl/>
        </w:rPr>
      </w:pPr>
      <w:r w:rsidRPr="007A340E">
        <w:rPr>
          <w:rFonts w:hint="cs"/>
          <w:b/>
          <w:bCs/>
          <w:rtl/>
        </w:rPr>
        <w:t>العاشرة</w:t>
      </w:r>
      <w:r w:rsidRPr="00EA09EB">
        <w:rPr>
          <w:rFonts w:hint="cs"/>
          <w:rtl/>
        </w:rPr>
        <w:t>: الوظيفة الأساس للنظام المَلَكي هي حفظ الأمن ونظم أمور المجتمع. ولم يكن تأمين حقوق الناس يوماً من ضمن وظائف الملكية. والحفاظ على الأمن مقدَّم على جميع الأمور (الغاية تبرِّر الوسيلة).</w:t>
      </w:r>
    </w:p>
    <w:p w:rsidR="00EA09EB" w:rsidRPr="00A32FC0" w:rsidRDefault="00EA09EB" w:rsidP="00EA09EB">
      <w:pPr>
        <w:rPr>
          <w:rtl/>
          <w:lang w:bidi="ar-LB"/>
        </w:rPr>
      </w:pPr>
      <w:r w:rsidRPr="00A32FC0">
        <w:rPr>
          <w:rFonts w:hint="cs"/>
          <w:rtl/>
          <w:lang w:bidi="ar-LB"/>
        </w:rPr>
        <w:t>بالإضافة إلى هذه الخصائص العشر الذاتية للملكية لابدّ من الإشارة إلى ثلاث خصائص عرضيَة للنظام المَلَكي:</w:t>
      </w:r>
    </w:p>
    <w:p w:rsidR="00EA09EB" w:rsidRPr="00EA09EB" w:rsidRDefault="00EA09EB" w:rsidP="007A340E">
      <w:pPr>
        <w:ind w:firstLine="283"/>
        <w:rPr>
          <w:rtl/>
        </w:rPr>
      </w:pPr>
      <w:r w:rsidRPr="007A340E">
        <w:rPr>
          <w:rFonts w:hint="cs"/>
          <w:b/>
          <w:bCs/>
          <w:rtl/>
        </w:rPr>
        <w:t>الأولى</w:t>
      </w:r>
      <w:r w:rsidRPr="00EA09EB">
        <w:rPr>
          <w:rFonts w:hint="cs"/>
          <w:rtl/>
        </w:rPr>
        <w:t>: الظلم. فالنظام المَلَكي نظام ظالم. فتمركز السلطة، والصلاحيات المطلقة، وانعدام الرقابة والمُساءلة، والحكم مدى العمر، و...، من الأسباب التي تؤدّي غالباً بالحاكم غير المعصوم إلى الظلم والاستبداد والفساد. ولذلك فإنّ هناك نوعاً من التلازم والربط بين الملك والظلم في الذاكرة الإيرانية. إلاّ أن الأدب الفارسي، وكذلك سيرة المتشرِّعة، قسّمت الملك إلى قسمين: ملك ظالم؛ وملك عادل</w:t>
      </w:r>
      <w:r w:rsidRPr="00064619">
        <w:rPr>
          <w:rFonts w:cs="Taher"/>
          <w:sz w:val="32"/>
          <w:vertAlign w:val="superscript"/>
          <w:rtl/>
          <w:lang w:bidi="ar-LB"/>
        </w:rPr>
        <w:t>(</w:t>
      </w:r>
      <w:r w:rsidRPr="00064619">
        <w:rPr>
          <w:rStyle w:val="FootnoteReference"/>
          <w:rFonts w:cs="Taher"/>
          <w:sz w:val="32"/>
          <w:rtl/>
          <w:lang w:bidi="ar-LB"/>
        </w:rPr>
        <w:footnoteReference w:id="349"/>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وبعبارة أخرى: إن الظلم يعتبر من الأمور العرضيّة للملكية، لا من ذاتيّاتها.</w:t>
      </w:r>
    </w:p>
    <w:p w:rsidR="00EA09EB" w:rsidRPr="00EA09EB" w:rsidRDefault="00EA09EB" w:rsidP="007A340E">
      <w:pPr>
        <w:ind w:firstLine="283"/>
        <w:rPr>
          <w:rtl/>
        </w:rPr>
      </w:pPr>
      <w:r w:rsidRPr="00EA09EB">
        <w:rPr>
          <w:rFonts w:hint="cs"/>
          <w:rtl/>
        </w:rPr>
        <w:t>الملك العادل هو الذي يراعي مصلحة الرعيّة التي تعيش في ظلّ حكمه بأمن ورخاء</w:t>
      </w:r>
      <w:r w:rsidRPr="00064619">
        <w:rPr>
          <w:rFonts w:cs="Taher"/>
          <w:sz w:val="32"/>
          <w:vertAlign w:val="superscript"/>
          <w:rtl/>
          <w:lang w:bidi="ar-LB"/>
        </w:rPr>
        <w:t>(</w:t>
      </w:r>
      <w:r w:rsidRPr="00064619">
        <w:rPr>
          <w:rStyle w:val="FootnoteReference"/>
          <w:rFonts w:cs="Taher"/>
          <w:sz w:val="32"/>
          <w:rtl/>
          <w:lang w:bidi="ar-LB"/>
        </w:rPr>
        <w:footnoteReference w:id="350"/>
      </w:r>
      <w:r w:rsidRPr="00064619">
        <w:rPr>
          <w:rFonts w:cs="Taher"/>
          <w:sz w:val="32"/>
          <w:vertAlign w:val="superscript"/>
          <w:rtl/>
          <w:lang w:bidi="ar-LB"/>
        </w:rPr>
        <w:t>)</w:t>
      </w:r>
      <w:r w:rsidRPr="00EA09EB">
        <w:rPr>
          <w:rFonts w:hint="cs"/>
          <w:rtl/>
        </w:rPr>
        <w:t>؛ فهو ظلّ الله</w:t>
      </w:r>
      <w:r w:rsidRPr="00064619">
        <w:rPr>
          <w:rFonts w:cs="Taher"/>
          <w:sz w:val="32"/>
          <w:vertAlign w:val="superscript"/>
          <w:rtl/>
          <w:lang w:bidi="ar-LB"/>
        </w:rPr>
        <w:t>(</w:t>
      </w:r>
      <w:r w:rsidRPr="00064619">
        <w:rPr>
          <w:rStyle w:val="FootnoteReference"/>
          <w:rFonts w:cs="Taher"/>
          <w:sz w:val="32"/>
          <w:rtl/>
          <w:lang w:bidi="ar-LB"/>
        </w:rPr>
        <w:footnoteReference w:id="351"/>
      </w:r>
      <w:r w:rsidRPr="00064619">
        <w:rPr>
          <w:rFonts w:cs="Taher"/>
          <w:sz w:val="32"/>
          <w:vertAlign w:val="superscript"/>
          <w:rtl/>
          <w:lang w:bidi="ar-LB"/>
        </w:rPr>
        <w:t>)</w:t>
      </w:r>
      <w:r w:rsidRPr="00EA09EB">
        <w:rPr>
          <w:rFonts w:hint="cs"/>
          <w:rtl/>
        </w:rPr>
        <w:t>، ويجب الدعاء لبقاء حكمه، واستمراره حتى ظهور الإمام الحجّة</w:t>
      </w:r>
      <w:r w:rsidRPr="00EA09EB">
        <w:rPr>
          <w:rFonts w:hint="cs"/>
          <w:rtl/>
        </w:rPr>
        <w:sym w:font="Abz Roumouz" w:char="F02E"/>
      </w:r>
      <w:r w:rsidRPr="00064619">
        <w:rPr>
          <w:rFonts w:cs="Taher"/>
          <w:sz w:val="32"/>
          <w:vertAlign w:val="superscript"/>
          <w:rtl/>
        </w:rPr>
        <w:t>(</w:t>
      </w:r>
      <w:r w:rsidRPr="00064619">
        <w:rPr>
          <w:rStyle w:val="FootnoteReference"/>
          <w:rFonts w:cs="Taher"/>
          <w:sz w:val="32"/>
          <w:rtl/>
        </w:rPr>
        <w:footnoteReference w:id="352"/>
      </w:r>
      <w:r w:rsidRPr="00064619">
        <w:rPr>
          <w:rFonts w:cs="Taher"/>
          <w:sz w:val="32"/>
          <w:vertAlign w:val="superscript"/>
          <w:rtl/>
        </w:rPr>
        <w:t>)</w:t>
      </w:r>
      <w:r w:rsidRPr="00EA09EB">
        <w:rPr>
          <w:rFonts w:hint="cs"/>
          <w:rtl/>
        </w:rPr>
        <w:t xml:space="preserve">. </w:t>
      </w:r>
    </w:p>
    <w:p w:rsidR="00EA09EB" w:rsidRPr="00A32FC0" w:rsidRDefault="00EA09EB" w:rsidP="00EA09EB">
      <w:pPr>
        <w:rPr>
          <w:rtl/>
          <w:lang w:bidi="ar-LB"/>
        </w:rPr>
      </w:pPr>
      <w:r w:rsidRPr="00A32FC0">
        <w:rPr>
          <w:rFonts w:hint="cs"/>
          <w:rtl/>
          <w:lang w:bidi="ar-LB"/>
        </w:rPr>
        <w:t xml:space="preserve">إن القبول بنظرية الملك العادل معادل للقبول بنظرية </w:t>
      </w:r>
      <w:r w:rsidRPr="00A32FC0">
        <w:rPr>
          <w:rFonts w:hint="cs"/>
          <w:rtl/>
        </w:rPr>
        <w:t>«</w:t>
      </w:r>
      <w:r w:rsidRPr="00A32FC0">
        <w:rPr>
          <w:rFonts w:hint="cs"/>
          <w:rtl/>
          <w:lang w:bidi="ar-LB"/>
        </w:rPr>
        <w:t>المستبدّ العادل</w:t>
      </w:r>
      <w:r w:rsidRPr="00A32FC0">
        <w:rPr>
          <w:rFonts w:hint="cs"/>
          <w:rtl/>
        </w:rPr>
        <w:t>»</w:t>
      </w:r>
      <w:r w:rsidRPr="00A32FC0">
        <w:rPr>
          <w:rFonts w:hint="cs"/>
          <w:rtl/>
          <w:lang w:bidi="ar-LB"/>
        </w:rPr>
        <w:t>. وهل يوجد أيّ مانع شرعيّ لمثل هذه النظرية؟</w:t>
      </w:r>
    </w:p>
    <w:p w:rsidR="00EA09EB" w:rsidRPr="00EA09EB" w:rsidRDefault="00EA09EB" w:rsidP="007A340E">
      <w:pPr>
        <w:ind w:firstLine="283"/>
        <w:rPr>
          <w:rtl/>
        </w:rPr>
      </w:pPr>
      <w:r w:rsidRPr="007A340E">
        <w:rPr>
          <w:rFonts w:hint="cs"/>
          <w:b/>
          <w:bCs/>
          <w:rtl/>
        </w:rPr>
        <w:t>الثانية</w:t>
      </w:r>
      <w:r w:rsidRPr="00EA09EB">
        <w:rPr>
          <w:rFonts w:hint="cs"/>
          <w:rtl/>
        </w:rPr>
        <w:t>: الارتباط والتبعية للأجنبيّ. في القرن الأخير، وتزامناً مع ازدياد القدرة السياسية والاقتصادية والثقافية في أوروبا، ومن ثم في أمريكا، من جهة، ومن جهة أخرى ضعف سلطة الملوك، وعدم قدرتهم على إدارة البلاد بحكمة، واستغراق أهل البلاط في ملذّاتهم الشخصية، وفقدان دعم الناس، هذا كلّه أدّى بالملوك إلى الاستعانة بالأجانب للحفاظ على ملكهم. وصل الارتباط بالأجنبي إلى ذروته في فترة حكم العائلة البهلويّة، وحيث إن وصول الملك البهلويّ الأوّل كان عن طريق الأجانب فإن بقاء حكمه صار رهناً بإشراف بريطانيا، ومن بعدها أمريكا، على سياسات المملكة، صغيرها وكبيرها</w:t>
      </w:r>
      <w:r w:rsidRPr="00064619">
        <w:rPr>
          <w:rFonts w:cs="Taher"/>
          <w:sz w:val="32"/>
          <w:vertAlign w:val="superscript"/>
          <w:rtl/>
          <w:lang w:bidi="ar-LB"/>
        </w:rPr>
        <w:t>(</w:t>
      </w:r>
      <w:r w:rsidRPr="00064619">
        <w:rPr>
          <w:rStyle w:val="FootnoteReference"/>
          <w:rFonts w:cs="Taher"/>
          <w:sz w:val="32"/>
          <w:rtl/>
          <w:lang w:bidi="ar-LB"/>
        </w:rPr>
        <w:footnoteReference w:id="353"/>
      </w:r>
      <w:r w:rsidRPr="00064619">
        <w:rPr>
          <w:rFonts w:cs="Taher"/>
          <w:sz w:val="32"/>
          <w:vertAlign w:val="superscript"/>
          <w:rtl/>
          <w:lang w:bidi="ar-LB"/>
        </w:rPr>
        <w:t>)</w:t>
      </w:r>
      <w:r w:rsidRPr="00EA09EB">
        <w:rPr>
          <w:rFonts w:hint="cs"/>
          <w:rtl/>
        </w:rPr>
        <w:t>. ومن الواضح أن الارتباط بالأجنبيّ يتنافى مع العنفوان الوطنيّ، كما أنه يتنافى أيضاً مع الغيرة الدينية.</w:t>
      </w:r>
    </w:p>
    <w:p w:rsidR="00EA09EB" w:rsidRPr="00A32FC0" w:rsidRDefault="00EA09EB" w:rsidP="00EA09EB">
      <w:pPr>
        <w:rPr>
          <w:rtl/>
        </w:rPr>
      </w:pPr>
      <w:r w:rsidRPr="00A32FC0">
        <w:rPr>
          <w:rFonts w:hint="cs"/>
          <w:b/>
          <w:bCs/>
          <w:rtl/>
        </w:rPr>
        <w:t>الثالث</w:t>
      </w:r>
      <w:r w:rsidRPr="00EA09EB">
        <w:rPr>
          <w:rFonts w:hint="cs"/>
          <w:rtl/>
        </w:rPr>
        <w:t xml:space="preserve">: العداء للدين ومحاربة الإسلام. كان الملوك يروِّجون ويدافعون </w:t>
      </w:r>
      <w:r w:rsidRPr="00EA09EB">
        <w:rPr>
          <w:rtl/>
        </w:rPr>
        <w:t>ـ</w:t>
      </w:r>
      <w:r w:rsidRPr="00EA09EB">
        <w:rPr>
          <w:rFonts w:hint="cs"/>
          <w:rtl/>
        </w:rPr>
        <w:t xml:space="preserve"> ظاهراً على الأقلّ </w:t>
      </w:r>
      <w:r w:rsidRPr="00EA09EB">
        <w:rPr>
          <w:rtl/>
        </w:rPr>
        <w:t>ـ</w:t>
      </w:r>
      <w:r w:rsidRPr="00EA09EB">
        <w:rPr>
          <w:rFonts w:hint="cs"/>
          <w:rtl/>
        </w:rPr>
        <w:t xml:space="preserve"> عن الدين الرسمي للبلاد. فإن المؤسسة الدينية في إيران، سواء قبل الإسلام أم بعده، كانت مؤسَّسة قويّة جدّاً، وخصوصاً بعد دخول الإيرانيّين الإسلام. في البداية كان الملوك يحكمون إيران بصفتهم ولاةً لخليفة المسلمين. وفي العصر الصفويّ أخذت العلاقة بين الملوك والفقهاء تتشدّد وتتوثَّق لدوافع مذهبيّة، حتى أصبح الملوك القاجاريون يحكمون بإذنٍ من الفقهاء. وكان السبب الرئيس الذي لعب دوراً هامّاً في الملك</w:t>
      </w:r>
      <w:r w:rsidR="00D163BC">
        <w:rPr>
          <w:rFonts w:hint="cs"/>
          <w:rtl/>
        </w:rPr>
        <w:t>ية هو المحاولات الفاشلة للبهلوي</w:t>
      </w:r>
      <w:r w:rsidRPr="00EA09EB">
        <w:rPr>
          <w:rFonts w:hint="cs"/>
          <w:rtl/>
        </w:rPr>
        <w:t xml:space="preserve"> الأول والثاني لإزالة أو إضعاف الشعائر والقيم الدينية في المجتمع</w:t>
      </w:r>
      <w:r w:rsidRPr="00064619">
        <w:rPr>
          <w:rFonts w:cs="Taher"/>
          <w:vertAlign w:val="superscript"/>
          <w:rtl/>
        </w:rPr>
        <w:t>(</w:t>
      </w:r>
      <w:r w:rsidRPr="00064619">
        <w:rPr>
          <w:rStyle w:val="FootnoteReference"/>
          <w:rFonts w:cs="Taher"/>
          <w:sz w:val="32"/>
          <w:rtl/>
        </w:rPr>
        <w:footnoteReference w:id="354"/>
      </w:r>
      <w:r w:rsidRPr="00064619">
        <w:rPr>
          <w:rFonts w:cs="Taher"/>
          <w:vertAlign w:val="superscript"/>
          <w:rtl/>
        </w:rPr>
        <w:t>)</w:t>
      </w:r>
      <w:r w:rsidRPr="00A32FC0">
        <w:rPr>
          <w:rFonts w:hint="cs"/>
          <w:rtl/>
        </w:rPr>
        <w:t>.</w:t>
      </w:r>
    </w:p>
    <w:p w:rsidR="00EA09EB" w:rsidRPr="00A32FC0" w:rsidRDefault="00EA09EB" w:rsidP="00EA09EB">
      <w:pPr>
        <w:rPr>
          <w:rtl/>
        </w:rPr>
      </w:pPr>
      <w:r w:rsidRPr="00A32FC0">
        <w:rPr>
          <w:rFonts w:hint="cs"/>
          <w:rtl/>
        </w:rPr>
        <w:t>كان ال</w:t>
      </w:r>
      <w:r>
        <w:rPr>
          <w:rFonts w:hint="cs"/>
          <w:rtl/>
        </w:rPr>
        <w:t>اعتراض الواسع الذي قام به السيد</w:t>
      </w:r>
      <w:r w:rsidRPr="00A32FC0">
        <w:rPr>
          <w:rFonts w:hint="cs"/>
          <w:rtl/>
        </w:rPr>
        <w:t xml:space="preserve"> الخميني، وغيره من مراج</w:t>
      </w:r>
      <w:r>
        <w:rPr>
          <w:rFonts w:hint="cs"/>
          <w:rtl/>
        </w:rPr>
        <w:t>ع التقليد الشيعة، في سنة 1341هـ.</w:t>
      </w:r>
      <w:r w:rsidRPr="00A32FC0">
        <w:rPr>
          <w:rFonts w:hint="cs"/>
          <w:rtl/>
        </w:rPr>
        <w:t>ش</w:t>
      </w:r>
      <w:r>
        <w:rPr>
          <w:rFonts w:hint="cs"/>
          <w:rtl/>
        </w:rPr>
        <w:t xml:space="preserve"> / 1962 م</w:t>
      </w:r>
      <w:r w:rsidRPr="00A32FC0">
        <w:rPr>
          <w:rFonts w:hint="cs"/>
          <w:rtl/>
        </w:rPr>
        <w:t xml:space="preserve">، على قانون «نظام مجالس البلديّات والولايات»، والذي تبعته انتفاضة </w:t>
      </w:r>
      <w:r>
        <w:rPr>
          <w:rFonts w:hint="cs"/>
          <w:rtl/>
        </w:rPr>
        <w:t>15 خرداد 1342هـ.</w:t>
      </w:r>
      <w:r w:rsidRPr="00A32FC0">
        <w:rPr>
          <w:rFonts w:hint="cs"/>
          <w:rtl/>
        </w:rPr>
        <w:t>ش</w:t>
      </w:r>
      <w:r>
        <w:rPr>
          <w:rFonts w:hint="cs"/>
          <w:rtl/>
        </w:rPr>
        <w:t xml:space="preserve"> / 1963 م</w:t>
      </w:r>
      <w:r w:rsidRPr="00A32FC0">
        <w:rPr>
          <w:rFonts w:hint="cs"/>
          <w:rtl/>
        </w:rPr>
        <w:t xml:space="preserve"> الشعبية</w:t>
      </w:r>
      <w:r w:rsidRPr="00064619">
        <w:rPr>
          <w:rFonts w:cs="Taher"/>
          <w:vertAlign w:val="superscript"/>
          <w:rtl/>
        </w:rPr>
        <w:t>(</w:t>
      </w:r>
      <w:r w:rsidRPr="00064619">
        <w:rPr>
          <w:rStyle w:val="FootnoteReference"/>
          <w:rFonts w:cs="Taher"/>
          <w:sz w:val="32"/>
          <w:rtl/>
        </w:rPr>
        <w:footnoteReference w:id="355"/>
      </w:r>
      <w:r w:rsidRPr="00064619">
        <w:rPr>
          <w:rFonts w:cs="Taher"/>
          <w:vertAlign w:val="superscript"/>
          <w:rtl/>
        </w:rPr>
        <w:t>)</w:t>
      </w:r>
      <w:r w:rsidRPr="00EA09EB">
        <w:rPr>
          <w:rFonts w:hint="cs"/>
          <w:rtl/>
        </w:rPr>
        <w:t>، على أمور ثلاثة، وهي: الظلم، والانتماء للأجانب، وعداء الملك للدين ومحاربته للإسلام. وقد أصرَّ السيد الخميني على إصلاح هذه الأمور الثلاثة طيلة فترة إبعاده، التي دامت خمس عشرة سنة</w:t>
      </w:r>
      <w:r w:rsidRPr="00064619">
        <w:rPr>
          <w:rFonts w:cs="Taher"/>
          <w:vertAlign w:val="superscript"/>
          <w:rtl/>
        </w:rPr>
        <w:t>(</w:t>
      </w:r>
      <w:r w:rsidRPr="00064619">
        <w:rPr>
          <w:rStyle w:val="FootnoteReference"/>
          <w:rFonts w:cs="Taher"/>
          <w:sz w:val="32"/>
          <w:rtl/>
        </w:rPr>
        <w:footnoteReference w:id="356"/>
      </w:r>
      <w:r w:rsidRPr="00064619">
        <w:rPr>
          <w:rFonts w:cs="Taher"/>
          <w:vertAlign w:val="superscript"/>
          <w:rtl/>
        </w:rPr>
        <w:t>)</w:t>
      </w:r>
      <w:r w:rsidRPr="00EA09EB">
        <w:rPr>
          <w:rFonts w:hint="cs"/>
          <w:rtl/>
        </w:rPr>
        <w:t xml:space="preserve">. وبعد الانطلاقة الجديدة للحركة الإسلامية سنة 1356هـ.ش </w:t>
      </w:r>
      <w:r>
        <w:rPr>
          <w:rFonts w:hint="cs"/>
          <w:rtl/>
        </w:rPr>
        <w:t xml:space="preserve">/ </w:t>
      </w:r>
      <w:r w:rsidRPr="00EA09EB">
        <w:rPr>
          <w:rFonts w:hint="cs"/>
          <w:rtl/>
        </w:rPr>
        <w:t xml:space="preserve">1977 م في إيران، بدأت ترسو أهداف جديدة، بالإضافة إلى التأكيد على المطالب الثلاثة الآنفة الذكر، وهذه الأهداف هي: </w:t>
      </w:r>
      <w:r w:rsidRPr="00A32FC0">
        <w:rPr>
          <w:rFonts w:hint="cs"/>
          <w:b/>
          <w:bCs/>
          <w:rtl/>
        </w:rPr>
        <w:t>أولاً</w:t>
      </w:r>
      <w:r w:rsidRPr="00EA09EB">
        <w:rPr>
          <w:rFonts w:hint="cs"/>
          <w:rtl/>
        </w:rPr>
        <w:t xml:space="preserve">: عزل الملك محمد رضا بهلوي؛ </w:t>
      </w:r>
      <w:r w:rsidRPr="00A32FC0">
        <w:rPr>
          <w:rFonts w:hint="cs"/>
          <w:b/>
          <w:bCs/>
          <w:rtl/>
        </w:rPr>
        <w:t>ثانياً</w:t>
      </w:r>
      <w:r w:rsidRPr="00EA09EB">
        <w:rPr>
          <w:rFonts w:hint="cs"/>
          <w:rtl/>
        </w:rPr>
        <w:t xml:space="preserve">: إبطال المَلَكية البهلوية؛ </w:t>
      </w:r>
      <w:r w:rsidRPr="00A32FC0">
        <w:rPr>
          <w:rFonts w:hint="cs"/>
          <w:b/>
          <w:bCs/>
          <w:rtl/>
        </w:rPr>
        <w:t>ثالثاً</w:t>
      </w:r>
      <w:r w:rsidRPr="00EA09EB">
        <w:rPr>
          <w:rFonts w:hint="cs"/>
          <w:rtl/>
        </w:rPr>
        <w:t>: وبشكل متأخِّر إبطال النظام المَلَكي</w:t>
      </w:r>
      <w:r w:rsidRPr="00064619">
        <w:rPr>
          <w:rFonts w:cs="Taher"/>
          <w:vertAlign w:val="superscript"/>
          <w:rtl/>
        </w:rPr>
        <w:t>(</w:t>
      </w:r>
      <w:r w:rsidRPr="00064619">
        <w:rPr>
          <w:rStyle w:val="FootnoteReference"/>
          <w:rFonts w:cs="Taher"/>
          <w:sz w:val="32"/>
          <w:rtl/>
        </w:rPr>
        <w:footnoteReference w:id="357"/>
      </w:r>
      <w:r w:rsidRPr="00064619">
        <w:rPr>
          <w:rFonts w:cs="Taher"/>
          <w:vertAlign w:val="superscript"/>
          <w:rtl/>
        </w:rPr>
        <w:t>)</w:t>
      </w:r>
      <w:r w:rsidRPr="00A32FC0">
        <w:rPr>
          <w:rFonts w:hint="cs"/>
          <w:rtl/>
        </w:rPr>
        <w:t>.</w:t>
      </w:r>
    </w:p>
    <w:p w:rsidR="00EA09EB" w:rsidRPr="00A32FC0" w:rsidRDefault="00EA09EB" w:rsidP="00CF6991">
      <w:pPr>
        <w:pStyle w:val="Normal84"/>
        <w:rPr>
          <w:rtl/>
        </w:rPr>
      </w:pPr>
      <w:r>
        <w:rPr>
          <w:rFonts w:hint="cs"/>
          <w:rtl/>
        </w:rPr>
        <w:t>من أهداف الثورة عام 1357هـ.</w:t>
      </w:r>
      <w:r w:rsidRPr="00A32FC0">
        <w:rPr>
          <w:rFonts w:hint="cs"/>
          <w:rtl/>
        </w:rPr>
        <w:t>ش</w:t>
      </w:r>
      <w:r w:rsidR="00D163BC">
        <w:rPr>
          <w:rFonts w:hint="cs"/>
          <w:rtl/>
        </w:rPr>
        <w:t xml:space="preserve"> /1978م</w:t>
      </w:r>
      <w:r w:rsidRPr="00A32FC0">
        <w:rPr>
          <w:rFonts w:hint="cs"/>
          <w:rtl/>
        </w:rPr>
        <w:t xml:space="preserve"> إلغاء النظام ال</w:t>
      </w:r>
      <w:r>
        <w:rPr>
          <w:rFonts w:hint="cs"/>
          <w:rtl/>
        </w:rPr>
        <w:t>مَلَكي. فقد قام السيد</w:t>
      </w:r>
      <w:r w:rsidRPr="00A32FC0">
        <w:rPr>
          <w:rFonts w:hint="cs"/>
          <w:rtl/>
        </w:rPr>
        <w:t xml:space="preserve"> الخميني بالاعتراض على بعض الخصائص الذاتيّة للملكية، من قبيل: حرمان الناس من إبداء رأيهم في النظام الملكي، وتعيين الملوك وعزلهم، والنظام الوراثي، والحكم مدى العمر في النظام الملكي، إلى أن أعلن عدم شرعية النظام المَلَكي. وكان يرى أن عدم شرعية النظام المَلَكي أمر بديهيّ</w:t>
      </w:r>
      <w:r w:rsidRPr="00064619">
        <w:rPr>
          <w:rFonts w:cs="Taher"/>
          <w:vertAlign w:val="superscript"/>
          <w:rtl/>
        </w:rPr>
        <w:t>(</w:t>
      </w:r>
      <w:r w:rsidRPr="00064619">
        <w:rPr>
          <w:rStyle w:val="FootnoteReference"/>
          <w:rFonts w:cs="Taher"/>
          <w:sz w:val="32"/>
          <w:rtl/>
        </w:rPr>
        <w:footnoteReference w:id="358"/>
      </w:r>
      <w:r w:rsidRPr="00064619">
        <w:rPr>
          <w:rFonts w:cs="Taher"/>
          <w:vertAlign w:val="superscript"/>
          <w:rtl/>
        </w:rPr>
        <w:t>)</w:t>
      </w:r>
      <w:r w:rsidRPr="00A32FC0">
        <w:rPr>
          <w:rFonts w:hint="cs"/>
          <w:rtl/>
        </w:rPr>
        <w:t>. ولو اكتفت الثورة الإسلاميّة بعزل آخر الملوك، وإسقاط العائلة البهلوية، لكان من الممكن قيام حكومة تحافظ على الخصائص الذاتيّة للنظام المَلَكي، وتقوم بإصلاح شوائب هذا النظام، ولكنْ بما أنّ الثورة قد أعلنت أن هدفها هو إسقاط النظام الملكي، وإقامة نظام إسلامي (وفيما بعد الجمهوريّة الإسلامية)، فقد كان من الطبيعي أن لا يذهب النظام الجديد باتجاه إصلاح شوائب النظام السابق، بل أن يتَّجه إلى التغيير الجذري للنظام. ولذلك فإنّه لابدّ أن</w:t>
      </w:r>
      <w:r w:rsidR="00D163BC">
        <w:rPr>
          <w:rFonts w:hint="cs"/>
          <w:rtl/>
        </w:rPr>
        <w:t xml:space="preserve"> تكون هناك فروقٌ أساسيّةٌ بين بُ</w:t>
      </w:r>
      <w:r w:rsidRPr="00A32FC0">
        <w:rPr>
          <w:rFonts w:hint="cs"/>
          <w:rtl/>
        </w:rPr>
        <w:t>نْية كلٍّ من النظامين (من جهة الخصائص التي ذكرناها)، فقد تمّ اقتراح الجمهورية في مقابل المَلَكية، والإسلاميّة في مقابل معاداة الإسلام ونبذ الدين.</w:t>
      </w:r>
    </w:p>
    <w:p w:rsidR="00EA09EB" w:rsidRPr="00EA09EB" w:rsidRDefault="00EA09EB" w:rsidP="009D41F1">
      <w:pPr>
        <w:rPr>
          <w:rtl/>
        </w:rPr>
      </w:pPr>
      <w:r w:rsidRPr="00A32FC0">
        <w:rPr>
          <w:rFonts w:hint="cs"/>
          <w:rtl/>
        </w:rPr>
        <w:t>2</w:t>
      </w:r>
      <w:r w:rsidRPr="00A32FC0">
        <w:rPr>
          <w:rtl/>
        </w:rPr>
        <w:t>ـ</w:t>
      </w:r>
      <w:r w:rsidRPr="00A32FC0">
        <w:rPr>
          <w:rFonts w:hint="cs"/>
          <w:rtl/>
        </w:rPr>
        <w:t xml:space="preserve"> يمكننا عرض</w:t>
      </w:r>
      <w:r>
        <w:rPr>
          <w:rFonts w:hint="cs"/>
          <w:rtl/>
        </w:rPr>
        <w:t xml:space="preserve"> أركان النظريّة السياسيّة للسيد</w:t>
      </w:r>
      <w:r w:rsidRPr="00A32FC0">
        <w:rPr>
          <w:rFonts w:hint="cs"/>
          <w:rtl/>
        </w:rPr>
        <w:t xml:space="preserve"> الخميني في المرحلة الثانية</w:t>
      </w:r>
      <w:r w:rsidRPr="00064619">
        <w:rPr>
          <w:rFonts w:cs="Taher"/>
          <w:vertAlign w:val="superscript"/>
          <w:rtl/>
        </w:rPr>
        <w:t>(</w:t>
      </w:r>
      <w:r w:rsidRPr="00064619">
        <w:rPr>
          <w:rStyle w:val="FootnoteReference"/>
          <w:rFonts w:cs="Taher"/>
          <w:sz w:val="32"/>
          <w:rtl/>
        </w:rPr>
        <w:footnoteReference w:id="359"/>
      </w:r>
      <w:r w:rsidRPr="00064619">
        <w:rPr>
          <w:rFonts w:cs="Taher"/>
          <w:vertAlign w:val="superscript"/>
          <w:rtl/>
        </w:rPr>
        <w:t>)</w:t>
      </w:r>
      <w:r w:rsidR="00D163BC">
        <w:rPr>
          <w:rFonts w:hint="cs"/>
          <w:rtl/>
        </w:rPr>
        <w:t xml:space="preserve"> من مراحل حياته السياسية (1332ـ </w:t>
      </w:r>
      <w:r w:rsidR="00D163BC" w:rsidRPr="009D41F1">
        <w:rPr>
          <w:rFonts w:hint="cs"/>
          <w:rtl/>
        </w:rPr>
        <w:t>1356 هـ.ش /195</w:t>
      </w:r>
      <w:r w:rsidR="009D41F1" w:rsidRPr="009D41F1">
        <w:rPr>
          <w:rFonts w:hint="cs"/>
          <w:rtl/>
        </w:rPr>
        <w:t>4</w:t>
      </w:r>
      <w:r w:rsidR="00D163BC" w:rsidRPr="009D41F1">
        <w:rPr>
          <w:rFonts w:hint="cs"/>
          <w:rtl/>
        </w:rPr>
        <w:t>ـ</w:t>
      </w:r>
      <w:r w:rsidR="009D41F1" w:rsidRPr="009D41F1">
        <w:rPr>
          <w:rFonts w:hint="cs"/>
          <w:rtl/>
        </w:rPr>
        <w:t xml:space="preserve"> </w:t>
      </w:r>
      <w:r w:rsidR="00D163BC" w:rsidRPr="009D41F1">
        <w:rPr>
          <w:rFonts w:hint="cs"/>
          <w:rtl/>
        </w:rPr>
        <w:t>197</w:t>
      </w:r>
      <w:r w:rsidR="009D41F1" w:rsidRPr="009D41F1">
        <w:rPr>
          <w:rFonts w:hint="cs"/>
          <w:rtl/>
        </w:rPr>
        <w:t>8</w:t>
      </w:r>
      <w:r w:rsidR="00D163BC" w:rsidRPr="009D41F1">
        <w:rPr>
          <w:rFonts w:hint="cs"/>
          <w:rtl/>
        </w:rPr>
        <w:t>م</w:t>
      </w:r>
      <w:r w:rsidR="00D163BC">
        <w:rPr>
          <w:rFonts w:hint="cs"/>
          <w:rtl/>
        </w:rPr>
        <w:t>)</w:t>
      </w:r>
      <w:r w:rsidRPr="00EA09EB">
        <w:rPr>
          <w:rFonts w:hint="cs"/>
          <w:rtl/>
        </w:rPr>
        <w:t xml:space="preserve"> على الشكل التالي: </w:t>
      </w:r>
    </w:p>
    <w:p w:rsidR="00EA09EB" w:rsidRPr="00EA09EB" w:rsidRDefault="00EA09EB" w:rsidP="00CF6991">
      <w:pPr>
        <w:pStyle w:val="Normal93"/>
        <w:rPr>
          <w:rtl/>
        </w:rPr>
      </w:pPr>
      <w:r w:rsidRPr="007A340E">
        <w:rPr>
          <w:rFonts w:hint="cs"/>
          <w:b/>
          <w:bCs/>
          <w:rtl/>
        </w:rPr>
        <w:t>الركن الأول</w:t>
      </w:r>
      <w:r w:rsidRPr="00EA09EB">
        <w:rPr>
          <w:rFonts w:hint="cs"/>
          <w:rtl/>
        </w:rPr>
        <w:t>: يحتاج الإسلام إلى دولة تتمكّن من تطبيق قسم هامّ من أحكامه. وإنّ للإسلام رؤية إلى الدولة ومؤسَّساتها. الإسلام هو دولة بكلّ تفاصيلها. فليست الأحكام الشرعية قوانين الإسلام فحسب، وإنما هي تكليفات عرضيّة، وأدوات لإنفاذ أحكام الدولة، وبسط العدالة</w:t>
      </w:r>
      <w:r w:rsidRPr="00064619">
        <w:rPr>
          <w:rFonts w:cs="Taher"/>
          <w:sz w:val="32"/>
          <w:vertAlign w:val="superscript"/>
          <w:rtl/>
        </w:rPr>
        <w:t>(</w:t>
      </w:r>
      <w:r w:rsidRPr="00064619">
        <w:rPr>
          <w:rStyle w:val="FootnoteReference"/>
          <w:rFonts w:cs="Taher"/>
          <w:sz w:val="32"/>
          <w:rtl/>
        </w:rPr>
        <w:footnoteReference w:id="360"/>
      </w:r>
      <w:r w:rsidRPr="00064619">
        <w:rPr>
          <w:rFonts w:cs="Taher"/>
          <w:sz w:val="32"/>
          <w:vertAlign w:val="superscript"/>
          <w:rtl/>
        </w:rPr>
        <w:t>)</w:t>
      </w:r>
      <w:r w:rsidRPr="00EA09EB">
        <w:rPr>
          <w:rFonts w:hint="cs"/>
          <w:rtl/>
        </w:rPr>
        <w:t>.</w:t>
      </w:r>
    </w:p>
    <w:p w:rsidR="00EA09EB" w:rsidRPr="00EA09EB" w:rsidRDefault="00EA09EB" w:rsidP="00CF6991">
      <w:pPr>
        <w:rPr>
          <w:rtl/>
        </w:rPr>
      </w:pPr>
      <w:r w:rsidRPr="007A340E">
        <w:rPr>
          <w:rFonts w:hint="cs"/>
          <w:b/>
          <w:bCs/>
          <w:rtl/>
        </w:rPr>
        <w:t>الركن الثاني</w:t>
      </w:r>
      <w:r w:rsidRPr="00EA09EB">
        <w:rPr>
          <w:rFonts w:hint="cs"/>
          <w:rtl/>
        </w:rPr>
        <w:t>: إن إقامة الحكومة الإسلاميّة وتهيئة المقدّمات لها، من قبيل: المناهضة العلنية للظالمين، من الواجبات المفروضة على الفقهاء العدول. ولا يرتفع الأمر بالمعروف والنهي عن المنكر في المسائل التي تطال هيبة الإسلام وحيثيّته (والحال أن عدم الضرر والمفسدة شرط في وجوبه). وفي بعض مراتب الأمر بالمعروف والنهي عن المنكر يصل الحال إلى وجوب بذل المال والنفس، فضلاً عن الجواز. ووجود حكومة الطاغوت في المجتمع الإسلاميّ يُعَدّ من أكبر المنكرات. كما أن التعامل مع هذه الحكومة هو أيضاً من أكبر المنكرات. ويحرم على علماء الدين السكوت في حال كان هذا السكوت سيؤدّي إلى تقوية الباطل. ويجب عليهم في هذه الحالة أن يعترضوا ويظهروا نفورهم من الظالم، وإنْ لم يؤدِّ ذلك إلى آثار هامّة. تُعَدّ إقامة الحكومة الإسلامية أكبر معروف، ويجب على الناس مساندة الفقهاء في جميع هذه الأمور المذكورة</w:t>
      </w:r>
      <w:r w:rsidRPr="00064619">
        <w:rPr>
          <w:rFonts w:cs="Taher"/>
          <w:sz w:val="32"/>
          <w:vertAlign w:val="superscript"/>
          <w:rtl/>
        </w:rPr>
        <w:t>(</w:t>
      </w:r>
      <w:r w:rsidRPr="00064619">
        <w:rPr>
          <w:rStyle w:val="FootnoteReference"/>
          <w:rFonts w:cs="Taher"/>
          <w:sz w:val="32"/>
          <w:rtl/>
        </w:rPr>
        <w:footnoteReference w:id="361"/>
      </w:r>
      <w:r w:rsidRPr="00064619">
        <w:rPr>
          <w:rFonts w:cs="Taher"/>
          <w:sz w:val="32"/>
          <w:vertAlign w:val="superscript"/>
          <w:rtl/>
        </w:rPr>
        <w:t>)</w:t>
      </w:r>
      <w:r w:rsidRPr="00EA09EB">
        <w:rPr>
          <w:rFonts w:hint="cs"/>
          <w:rtl/>
        </w:rPr>
        <w:t>.</w:t>
      </w:r>
    </w:p>
    <w:p w:rsidR="00EA09EB" w:rsidRPr="00A32FC0" w:rsidRDefault="00EA09EB" w:rsidP="00EA09EB">
      <w:pPr>
        <w:rPr>
          <w:rtl/>
        </w:rPr>
      </w:pPr>
      <w:r w:rsidRPr="00A32FC0">
        <w:rPr>
          <w:rFonts w:hint="cs"/>
          <w:b/>
          <w:bCs/>
          <w:rtl/>
        </w:rPr>
        <w:t>الركن الثالث</w:t>
      </w:r>
      <w:r w:rsidRPr="00EA09EB">
        <w:rPr>
          <w:rFonts w:hint="cs"/>
          <w:rtl/>
        </w:rPr>
        <w:t>: الحكومة الإسلاميّة تعني ولاية الفقهاء العدول، وهم معيَّنون للولاية على الناس من قِبَل الله تعالى، وتشمل صلاحيّات ولايتهم كلّ ما تشمله صلاحيات النبي والأئمة بما يتعلَّق بالحكم</w:t>
      </w:r>
      <w:r w:rsidRPr="00064619">
        <w:rPr>
          <w:rFonts w:cs="Taher"/>
          <w:vertAlign w:val="superscript"/>
          <w:rtl/>
        </w:rPr>
        <w:t>(</w:t>
      </w:r>
      <w:r w:rsidRPr="00064619">
        <w:rPr>
          <w:rStyle w:val="FootnoteReference"/>
          <w:rFonts w:cs="Taher"/>
          <w:sz w:val="32"/>
          <w:rtl/>
        </w:rPr>
        <w:footnoteReference w:id="362"/>
      </w:r>
      <w:r w:rsidRPr="00064619">
        <w:rPr>
          <w:rFonts w:cs="Taher"/>
          <w:vertAlign w:val="superscript"/>
          <w:rtl/>
        </w:rPr>
        <w:t>)</w:t>
      </w:r>
      <w:r w:rsidRPr="00A32FC0">
        <w:rPr>
          <w:rFonts w:hint="cs"/>
          <w:rtl/>
        </w:rPr>
        <w:t xml:space="preserve">. وبعبارة أخرى: إنّ الحكومة الإسلاميّة تعني (الولاية التعيينية العامّة للفقهاء). </w:t>
      </w:r>
    </w:p>
    <w:p w:rsidR="00EA09EB" w:rsidRPr="00EA09EB" w:rsidRDefault="00EA09EB" w:rsidP="00D163BC">
      <w:pPr>
        <w:rPr>
          <w:rtl/>
        </w:rPr>
      </w:pPr>
      <w:r w:rsidRPr="00A32FC0">
        <w:rPr>
          <w:rFonts w:hint="cs"/>
          <w:rtl/>
        </w:rPr>
        <w:t>أوّل فقيه شيعيّ استعمل كلمة «الحكومة الإسلاميّة» في ك</w:t>
      </w:r>
      <w:r>
        <w:rPr>
          <w:rFonts w:hint="cs"/>
          <w:rtl/>
        </w:rPr>
        <w:t>تاب فقهيّ (كتاب البيع) هو السيد</w:t>
      </w:r>
      <w:r w:rsidRPr="00A32FC0">
        <w:rPr>
          <w:rFonts w:hint="cs"/>
          <w:rtl/>
        </w:rPr>
        <w:t xml:space="preserve"> الخمينيّ</w:t>
      </w:r>
      <w:r w:rsidR="00D163BC" w:rsidRPr="00064619">
        <w:rPr>
          <w:rFonts w:cs="Taher" w:hint="cs"/>
          <w:vertAlign w:val="superscript"/>
          <w:rtl/>
        </w:rPr>
        <w:t xml:space="preserve"> </w:t>
      </w:r>
      <w:r w:rsidRPr="00064619">
        <w:rPr>
          <w:rFonts w:cs="Taher" w:hint="cs"/>
          <w:vertAlign w:val="superscript"/>
          <w:rtl/>
        </w:rPr>
        <w:t>(</w:t>
      </w:r>
      <w:r w:rsidRPr="00064619">
        <w:rPr>
          <w:rStyle w:val="FootnoteReference"/>
          <w:rFonts w:cs="Taher"/>
          <w:sz w:val="32"/>
          <w:rtl/>
        </w:rPr>
        <w:footnoteReference w:id="363"/>
      </w:r>
      <w:r w:rsidRPr="00064619">
        <w:rPr>
          <w:rFonts w:cs="Taher" w:hint="cs"/>
          <w:vertAlign w:val="superscript"/>
          <w:rtl/>
        </w:rPr>
        <w:t>)</w:t>
      </w:r>
      <w:r w:rsidRPr="00EA09EB">
        <w:rPr>
          <w:rFonts w:hint="cs"/>
          <w:rtl/>
        </w:rPr>
        <w:t>.</w:t>
      </w:r>
    </w:p>
    <w:p w:rsidR="00EA09EB" w:rsidRPr="00A32FC0" w:rsidRDefault="00EA09EB" w:rsidP="00CF6991">
      <w:pPr>
        <w:pStyle w:val="Normal87"/>
        <w:rPr>
          <w:rtl/>
        </w:rPr>
      </w:pPr>
      <w:r w:rsidRPr="00A32FC0">
        <w:rPr>
          <w:rFonts w:hint="cs"/>
          <w:rtl/>
        </w:rPr>
        <w:t>يمكن ملاحظة هذه الأركان الثلاثة في المؤل</w:t>
      </w:r>
      <w:r>
        <w:rPr>
          <w:rFonts w:hint="cs"/>
          <w:rtl/>
        </w:rPr>
        <w:t>َّفات الفقهيّة والأصوليّة للسيد</w:t>
      </w:r>
      <w:r w:rsidRPr="00A32FC0">
        <w:rPr>
          <w:rFonts w:hint="cs"/>
          <w:rtl/>
        </w:rPr>
        <w:t xml:space="preserve"> الخميني، التي كتبها في قم (بعد سنة 1332</w:t>
      </w:r>
      <w:r>
        <w:rPr>
          <w:rFonts w:hint="cs"/>
          <w:rtl/>
        </w:rPr>
        <w:t>هـ.ش / 1953 م</w:t>
      </w:r>
      <w:r w:rsidRPr="00A32FC0">
        <w:rPr>
          <w:rFonts w:hint="cs"/>
          <w:rtl/>
        </w:rPr>
        <w:t>)، من قبيل: «الرسائل»، و«المكاسب المحرمة»، و«تهذيب الأصول». كما يمكن ملاحظتها أيضاً في كتاب «تحرير الوسيلة»، الذي كتبه في مدينة بورسا التركيّة. وكذلك في مؤلَّفاته الفقهيّة التي كتبها في النجف «كتاب البيع». ولو أن هذه الأركان كانت تظهر أكثر شفافية وصراحة وعمقاً بشكل تدريجيّ.</w:t>
      </w:r>
    </w:p>
    <w:p w:rsidR="00EA09EB" w:rsidRPr="00A32FC0" w:rsidRDefault="00EA09EB" w:rsidP="00CF6991">
      <w:pPr>
        <w:pStyle w:val="Normal87"/>
        <w:rPr>
          <w:rtl/>
        </w:rPr>
      </w:pPr>
      <w:r w:rsidRPr="00A32FC0">
        <w:rPr>
          <w:rFonts w:hint="cs"/>
          <w:rtl/>
        </w:rPr>
        <w:t>يعتبر بحث ولاية الفقيه في كتاب «البيع»، الذي قام بتدريسه في الحوزة العلمية في النجف الأشرف 1348</w:t>
      </w:r>
      <w:r w:rsidR="00CF6991">
        <w:rPr>
          <w:rFonts w:hint="cs"/>
          <w:rtl/>
        </w:rPr>
        <w:t>هـ.ش / 1969</w:t>
      </w:r>
      <w:r>
        <w:rPr>
          <w:rFonts w:hint="cs"/>
          <w:rtl/>
        </w:rPr>
        <w:t>م</w:t>
      </w:r>
      <w:r w:rsidRPr="00A32FC0">
        <w:rPr>
          <w:rFonts w:hint="cs"/>
          <w:rtl/>
        </w:rPr>
        <w:t>، والذي قام بتعريبه بعد ذلك، من أهمّ آثاره السياسيّة، وأكثرها انتشاراً.</w:t>
      </w:r>
    </w:p>
    <w:p w:rsidR="00EA09EB" w:rsidRPr="00EA09EB" w:rsidRDefault="00EA09EB" w:rsidP="00CF6991">
      <w:pPr>
        <w:pStyle w:val="Normal87"/>
        <w:rPr>
          <w:rtl/>
        </w:rPr>
      </w:pPr>
      <w:r w:rsidRPr="00EA09EB">
        <w:rPr>
          <w:rFonts w:hint="cs"/>
          <w:rtl/>
        </w:rPr>
        <w:t xml:space="preserve">في خريف سنة 1349هـ.ش </w:t>
      </w:r>
      <w:r>
        <w:rPr>
          <w:rFonts w:hint="cs"/>
          <w:rtl/>
        </w:rPr>
        <w:t xml:space="preserve">/ </w:t>
      </w:r>
      <w:r w:rsidR="00CF6991">
        <w:rPr>
          <w:rFonts w:hint="cs"/>
          <w:rtl/>
        </w:rPr>
        <w:t>1970</w:t>
      </w:r>
      <w:r w:rsidRPr="00EA09EB">
        <w:rPr>
          <w:rFonts w:hint="cs"/>
          <w:rtl/>
        </w:rPr>
        <w:t>م طُبع في بيروت كتاب «ولاية الفقيه» باللغة الفارسية، والذي هو عبارة عن تقرير لثلاثة عشر درساً من دروسه التي ألقاها في النجف، بعد تشذيب وإذن السيد الخميني نفسه</w:t>
      </w:r>
      <w:r w:rsidRPr="00064619">
        <w:rPr>
          <w:rFonts w:cs="Taher"/>
          <w:sz w:val="32"/>
          <w:vertAlign w:val="superscript"/>
          <w:rtl/>
        </w:rPr>
        <w:t>(</w:t>
      </w:r>
      <w:r w:rsidRPr="00064619">
        <w:rPr>
          <w:rStyle w:val="FootnoteReference"/>
          <w:rFonts w:cs="Taher"/>
          <w:sz w:val="32"/>
          <w:rtl/>
        </w:rPr>
        <w:footnoteReference w:id="364"/>
      </w:r>
      <w:r w:rsidRPr="00064619">
        <w:rPr>
          <w:rFonts w:cs="Taher"/>
          <w:sz w:val="32"/>
          <w:vertAlign w:val="superscript"/>
          <w:rtl/>
        </w:rPr>
        <w:t>)</w:t>
      </w:r>
      <w:r w:rsidRPr="00EA09EB">
        <w:rPr>
          <w:rFonts w:hint="cs"/>
          <w:rtl/>
        </w:rPr>
        <w:t xml:space="preserve">. وفي سنة 1356هـ.ش </w:t>
      </w:r>
      <w:r>
        <w:rPr>
          <w:rFonts w:hint="cs"/>
          <w:rtl/>
        </w:rPr>
        <w:t xml:space="preserve">/ </w:t>
      </w:r>
      <w:r w:rsidRPr="00EA09EB">
        <w:rPr>
          <w:rFonts w:hint="cs"/>
          <w:rtl/>
        </w:rPr>
        <w:t>1977 م طبع هذا الكتاب بعنوان واسم مستعارين (نامه اى أز إمام موسوي كاشف الغطاء)، أي رسالة من الإمام الموسوي كاشف الغطاء، ملحَقاً بكتابه «الجهاد الأكبر».</w:t>
      </w:r>
    </w:p>
    <w:p w:rsidR="00EA09EB" w:rsidRPr="00A32FC0" w:rsidRDefault="00EA09EB" w:rsidP="00EA09EB">
      <w:pPr>
        <w:rPr>
          <w:rtl/>
        </w:rPr>
      </w:pPr>
      <w:r w:rsidRPr="00A32FC0">
        <w:rPr>
          <w:rFonts w:hint="cs"/>
          <w:rtl/>
        </w:rPr>
        <w:t>3</w:t>
      </w:r>
      <w:r w:rsidRPr="00A32FC0">
        <w:rPr>
          <w:rtl/>
        </w:rPr>
        <w:t>ـ</w:t>
      </w:r>
      <w:r w:rsidRPr="00A32FC0">
        <w:rPr>
          <w:rFonts w:hint="cs"/>
          <w:rtl/>
        </w:rPr>
        <w:t xml:space="preserve"> في عامي 1355 و1356</w:t>
      </w:r>
      <w:r>
        <w:rPr>
          <w:rFonts w:hint="cs"/>
          <w:rtl/>
        </w:rPr>
        <w:t>هـ.ش / 1976 و 1977 م</w:t>
      </w:r>
      <w:r w:rsidRPr="00A32FC0">
        <w:rPr>
          <w:rFonts w:hint="cs"/>
          <w:rtl/>
        </w:rPr>
        <w:t xml:space="preserve"> وقعت أحداث مهمّة في إيران والعالم. فقد تمّ انتخاب جيمي كارتر لرئاسة جمهورية أمريكا في 12 آبان 1355</w:t>
      </w:r>
      <w:r>
        <w:rPr>
          <w:rFonts w:hint="cs"/>
          <w:rtl/>
        </w:rPr>
        <w:t>هـ.ش / 1976 م</w:t>
      </w:r>
      <w:r w:rsidRPr="00A32FC0">
        <w:rPr>
          <w:rFonts w:hint="cs"/>
          <w:rtl/>
        </w:rPr>
        <w:t>. ارتكزت سياسة كارتر على نوع من إعادة الترميم لسياسات الولايات المتحدة، والتأكيد على حقوق الإنسان والحريّات السياسية والاجتماعية للدول المرتبطة بأمريكا، وذلك لتأمين مصالح ومنافع الولايات المتحدة. والسبب في ذلك يعود إلى عدم إمكانية المحافظة على الأنظمة الاستبداديّة الحليفة لها بالطرق القديمة. ولم يمضِ أسبوع حتى قام الملك في 19 آبان 1355</w:t>
      </w:r>
      <w:r>
        <w:rPr>
          <w:rFonts w:hint="cs"/>
          <w:rtl/>
        </w:rPr>
        <w:t>هـ.ش / 1976 م</w:t>
      </w:r>
      <w:r w:rsidRPr="00A32FC0">
        <w:rPr>
          <w:rFonts w:hint="cs"/>
          <w:rtl/>
        </w:rPr>
        <w:t xml:space="preserve"> بإعلان الانفتاح السياسيّ داخل إيران. وفي 15 إسفند من تلك السنة قامت محكمة العفو الدولية بإدانة النظام المَلَكي بتهمة الاضطهاد والتضييق. ومن جهة أخرى، وفي السنة نفسها، أقيمت الاحتفالات الباذخة بالعيد الخمسين لتولّي العائلة البهلويّة العرش، بتكاليف خياليّة، تزامناً مع تبديل التاريخ الهجريّ الشمسيّ المتَّبع بالتاريخ المَلَكي. وعلى أثر وفاة الدكتور علي شريعتي والسيد مصطفى الخمينيّ بظروف غامضة سنة 1356</w:t>
      </w:r>
      <w:r>
        <w:rPr>
          <w:rFonts w:hint="cs"/>
          <w:rtl/>
        </w:rPr>
        <w:t>هـ.ش / 1977 م</w:t>
      </w:r>
      <w:r w:rsidRPr="00A32FC0">
        <w:rPr>
          <w:rFonts w:hint="cs"/>
          <w:rtl/>
        </w:rPr>
        <w:t xml:space="preserve"> تحوَّلت مجالس تأبين هاتين الشخصيتين الهامَتين إلى الاعتراض الأوّل من نوعه من</w:t>
      </w:r>
      <w:r w:rsidR="00D163BC">
        <w:rPr>
          <w:rFonts w:hint="cs"/>
          <w:rtl/>
        </w:rPr>
        <w:t xml:space="preserve"> جهة عمومي</w:t>
      </w:r>
      <w:r w:rsidRPr="00A32FC0">
        <w:rPr>
          <w:rFonts w:hint="cs"/>
          <w:rtl/>
        </w:rPr>
        <w:t>ته ضدّ نظام الشاه. وفي 22 آبان 1356</w:t>
      </w:r>
      <w:r>
        <w:rPr>
          <w:rFonts w:hint="cs"/>
          <w:rtl/>
        </w:rPr>
        <w:t>هـ.ش / 1977 م</w:t>
      </w:r>
      <w:r w:rsidRPr="00A32FC0">
        <w:rPr>
          <w:rFonts w:hint="cs"/>
          <w:rtl/>
        </w:rPr>
        <w:t xml:space="preserve"> قام الطلاب الإيرانيّون بتنظيم تظاهرة كبيرة أمام البيت الأبيض ضدّ الشاه الذي كان قد وصل</w:t>
      </w:r>
      <w:r w:rsidR="00D163BC">
        <w:rPr>
          <w:rFonts w:hint="cs"/>
          <w:rtl/>
        </w:rPr>
        <w:t xml:space="preserve"> إلى الولايات المتحدة. وفي 17 د</w:t>
      </w:r>
      <w:r w:rsidRPr="00A32FC0">
        <w:rPr>
          <w:rFonts w:hint="cs"/>
          <w:rtl/>
        </w:rPr>
        <w:t>ي 1356</w:t>
      </w:r>
      <w:r>
        <w:rPr>
          <w:rFonts w:hint="cs"/>
          <w:rtl/>
        </w:rPr>
        <w:t>هـ.ش / 1977 م</w:t>
      </w:r>
      <w:r w:rsidRPr="00A32FC0">
        <w:rPr>
          <w:rFonts w:hint="cs"/>
          <w:rtl/>
        </w:rPr>
        <w:t xml:space="preserve"> قام النظام بنشر مقالة في صحيفة «اطلاعا</w:t>
      </w:r>
      <w:r>
        <w:rPr>
          <w:rFonts w:hint="cs"/>
          <w:rtl/>
        </w:rPr>
        <w:t>ت» اليوميّة تتضمَّن إهانة للسيد</w:t>
      </w:r>
      <w:r w:rsidRPr="00A32FC0">
        <w:rPr>
          <w:rFonts w:hint="cs"/>
          <w:rtl/>
        </w:rPr>
        <w:t xml:space="preserve"> الخميني. وكانت هذه المقالة بمثابة الشرارة التي فجّرت الغضب المكبوت عند الناس. وفي 19 دي 1356</w:t>
      </w:r>
      <w:r>
        <w:rPr>
          <w:rFonts w:hint="cs"/>
          <w:rtl/>
        </w:rPr>
        <w:t>هـ.ش / 1977 م</w:t>
      </w:r>
      <w:r w:rsidRPr="00A32FC0">
        <w:rPr>
          <w:rFonts w:hint="cs"/>
          <w:rtl/>
        </w:rPr>
        <w:t xml:space="preserve"> قام أهل مدينة قم بالاحتجاج على إهانة النظام لمقام المرجعية الدينية،</w:t>
      </w:r>
      <w:r>
        <w:rPr>
          <w:rFonts w:hint="cs"/>
          <w:rtl/>
        </w:rPr>
        <w:t xml:space="preserve"> دفاعاً عن قائدهم المبعَد السيد</w:t>
      </w:r>
      <w:r w:rsidRPr="00A32FC0">
        <w:rPr>
          <w:rFonts w:hint="cs"/>
          <w:rtl/>
        </w:rPr>
        <w:t xml:space="preserve"> الخميني، ما أدّى إلى مصادمات مع الأمن، ذهب ضحيتها عدد كبير. وفي ذكرى الأربعين لشهداء قم انتفض أهالي مدينة تبريز</w:t>
      </w:r>
      <w:r>
        <w:rPr>
          <w:rFonts w:hint="cs"/>
          <w:rtl/>
        </w:rPr>
        <w:t>،</w:t>
      </w:r>
      <w:r w:rsidRPr="00A32FC0">
        <w:rPr>
          <w:rFonts w:hint="cs"/>
          <w:rtl/>
        </w:rPr>
        <w:t xml:space="preserve"> واستمرّت هذه السلسلة من الأربعينيات، إلى أن عَمَّت أرجاء البلاد. وفي 16 شهريور 1356</w:t>
      </w:r>
      <w:r>
        <w:rPr>
          <w:rFonts w:hint="cs"/>
          <w:rtl/>
        </w:rPr>
        <w:t>هـ.ش / 1977 م</w:t>
      </w:r>
      <w:r w:rsidRPr="00A32FC0">
        <w:rPr>
          <w:rFonts w:hint="cs"/>
          <w:rtl/>
        </w:rPr>
        <w:t xml:space="preserve"> أُعلنت حالة الطوارئ في طهران، وفي اثنتي عشرة مدينة أخرى. وفي اليوم التالي وقعت مجزرة «ميدان جالة» في طهران. وكانت الانتفاضة الشعبيّة الإ</w:t>
      </w:r>
      <w:r>
        <w:rPr>
          <w:rFonts w:hint="cs"/>
          <w:rtl/>
        </w:rPr>
        <w:t>سلامية تتلقى إرشاداتها من السيد</w:t>
      </w:r>
      <w:r w:rsidRPr="00A32FC0">
        <w:rPr>
          <w:rFonts w:hint="cs"/>
          <w:rtl/>
        </w:rPr>
        <w:t xml:space="preserve"> الخميني. فبياناته وخطبه كانت توزَّع بشكل واسع في إيران. وفي 2 مهر 1356</w:t>
      </w:r>
      <w:r>
        <w:rPr>
          <w:rFonts w:hint="cs"/>
          <w:rtl/>
        </w:rPr>
        <w:t>هـ.ش / 1977 م</w:t>
      </w:r>
      <w:r w:rsidRPr="00A32FC0">
        <w:rPr>
          <w:rFonts w:hint="cs"/>
          <w:rtl/>
        </w:rPr>
        <w:t xml:space="preserve"> حوصر منزل</w:t>
      </w:r>
      <w:r>
        <w:rPr>
          <w:rFonts w:hint="cs"/>
          <w:rtl/>
        </w:rPr>
        <w:t>ه</w:t>
      </w:r>
      <w:r w:rsidRPr="00A32FC0">
        <w:rPr>
          <w:rFonts w:hint="cs"/>
          <w:rtl/>
        </w:rPr>
        <w:t xml:space="preserve"> في النجف الأشرف. وبعد التضييق الذي قامت </w:t>
      </w:r>
      <w:r>
        <w:rPr>
          <w:rFonts w:hint="cs"/>
          <w:rtl/>
        </w:rPr>
        <w:t>به السلطات العراقيّة قرّر السيد الخميني</w:t>
      </w:r>
      <w:r w:rsidRPr="00A32FC0">
        <w:rPr>
          <w:rFonts w:hint="cs"/>
          <w:rtl/>
        </w:rPr>
        <w:t xml:space="preserve"> ترك العراق في تاريخ 13 مهر 1356</w:t>
      </w:r>
      <w:r>
        <w:rPr>
          <w:rFonts w:hint="cs"/>
          <w:rtl/>
        </w:rPr>
        <w:t>هـ.ش / 1977 م</w:t>
      </w:r>
      <w:r w:rsidRPr="00A32FC0">
        <w:rPr>
          <w:rFonts w:hint="cs"/>
          <w:rtl/>
        </w:rPr>
        <w:t>، والذه</w:t>
      </w:r>
      <w:r>
        <w:rPr>
          <w:rFonts w:hint="cs"/>
          <w:rtl/>
        </w:rPr>
        <w:t>اب إلى باريس. وكان لإقامة السيد</w:t>
      </w:r>
      <w:r w:rsidRPr="00A32FC0">
        <w:rPr>
          <w:rFonts w:hint="cs"/>
          <w:rtl/>
        </w:rPr>
        <w:t xml:space="preserve"> الخمينيّ، التي دامت أربعة أشهر، في باريس دورٌ كبيرٌ في إظهار الأبعاد المختلفة للمظلومية التي يعيشها الشعب الإيراني، وفي تحقيق الانتفاضة الإسلامية، وا</w:t>
      </w:r>
      <w:r>
        <w:rPr>
          <w:rFonts w:hint="cs"/>
          <w:rtl/>
        </w:rPr>
        <w:t>لحكومة المستقبلية؛ إذ قام</w:t>
      </w:r>
      <w:r w:rsidRPr="00A32FC0">
        <w:rPr>
          <w:rFonts w:hint="cs"/>
          <w:rtl/>
        </w:rPr>
        <w:t xml:space="preserve"> عبر المقابلات المتعدِّدة مع الصحفيّين، في الصحف، والإذاعات، والتلفزيونات العالميّة، بشرح أهداف الثورة الإسلامية في إيران. وقد كان هناك دورٌ هامّ للمرجعيّات الدينية، وكبار العلماء في مختلف المناطق، والأهمّ من ذلك دور الشعب المسلم، وبخاصة الشباب وطلاب الجامعات، في استمرار وانتصار الثورة الإسلامية.</w:t>
      </w:r>
    </w:p>
    <w:p w:rsidR="00EA09EB" w:rsidRPr="00A32FC0" w:rsidRDefault="00EA09EB" w:rsidP="00EA09EB">
      <w:pPr>
        <w:rPr>
          <w:rtl/>
        </w:rPr>
      </w:pPr>
      <w:r w:rsidRPr="00A32FC0">
        <w:rPr>
          <w:rFonts w:hint="cs"/>
          <w:rtl/>
        </w:rPr>
        <w:t>يمكن تقسيم أهداف الانتفاضة الإسلاميّة، التي أطلق عليها سنة 1357</w:t>
      </w:r>
      <w:r>
        <w:rPr>
          <w:rFonts w:hint="cs"/>
          <w:rtl/>
        </w:rPr>
        <w:t>هـ.ش / 1978 م</w:t>
      </w:r>
      <w:r w:rsidRPr="00A32FC0">
        <w:rPr>
          <w:rFonts w:hint="cs"/>
          <w:rtl/>
        </w:rPr>
        <w:t xml:space="preserve"> بحقٍّ «الثورة الإسلاميّة»، إلى قسمين: أهداف نفي؛ وأهداف إثبات.</w:t>
      </w:r>
    </w:p>
    <w:p w:rsidR="00EA09EB" w:rsidRPr="00A32FC0" w:rsidRDefault="00EA09EB" w:rsidP="00EA09EB">
      <w:pPr>
        <w:rPr>
          <w:rtl/>
        </w:rPr>
      </w:pPr>
      <w:r w:rsidRPr="00A32FC0">
        <w:rPr>
          <w:rFonts w:hint="cs"/>
          <w:rtl/>
        </w:rPr>
        <w:t>والمراد من أهداف النفي هو عزل محمد رضا شاه البهلوي، وحلّ ملكية السلالة البهلوية، وإلغاء النظام الملكي، وقطع الأيدي الأجنبية، وبخاصّة أمريكا، عن مقدَّرات الشعب الإيراني. وإنْ كان قد تردَّد شعار يدعو إلى «أن يبقى الشاه مَلِكاً رمزيّاً دون أن يحكم» قبيل انتصار الثورة، إلا أن الانتفاضة الشعبية العارمة لم تترك مجالاً لطرح هذا الشعار.</w:t>
      </w:r>
    </w:p>
    <w:p w:rsidR="00EA09EB" w:rsidRPr="00A32FC0" w:rsidRDefault="00EA09EB" w:rsidP="00EA09EB">
      <w:pPr>
        <w:rPr>
          <w:rtl/>
        </w:rPr>
      </w:pPr>
      <w:r w:rsidRPr="00A32FC0">
        <w:rPr>
          <w:rFonts w:hint="cs"/>
          <w:rtl/>
        </w:rPr>
        <w:t>وبحثنا هنا يتعلق بالأهداف الإثباتية للثورة الإسلامية.</w:t>
      </w:r>
    </w:p>
    <w:p w:rsidR="00EA09EB" w:rsidRPr="00A32FC0" w:rsidRDefault="00EA09EB" w:rsidP="00EA09EB">
      <w:pPr>
        <w:rPr>
          <w:rtl/>
        </w:rPr>
      </w:pPr>
      <w:r w:rsidRPr="00A32FC0">
        <w:rPr>
          <w:rFonts w:hint="cs"/>
          <w:rtl/>
        </w:rPr>
        <w:t>وفي ما يتعلق بالأبعاد المختلفة لهذا البحث سوف يتمّ التركيز على ثلاثة مصادر أساسية:</w:t>
      </w:r>
    </w:p>
    <w:p w:rsidR="00EA09EB" w:rsidRPr="00EA09EB" w:rsidRDefault="00EA09EB" w:rsidP="007A340E">
      <w:pPr>
        <w:ind w:firstLine="283"/>
        <w:rPr>
          <w:rtl/>
        </w:rPr>
      </w:pPr>
      <w:r w:rsidRPr="007A340E">
        <w:rPr>
          <w:rFonts w:hint="cs"/>
          <w:b/>
          <w:bCs/>
          <w:rtl/>
        </w:rPr>
        <w:t>الأول</w:t>
      </w:r>
      <w:r w:rsidRPr="00EA09EB">
        <w:rPr>
          <w:rFonts w:hint="cs"/>
          <w:rtl/>
        </w:rPr>
        <w:t>: حوارات وبيانات وخطب قائد الثورة السيد الخمينيّ.</w:t>
      </w:r>
    </w:p>
    <w:p w:rsidR="00EA09EB" w:rsidRPr="00EA09EB" w:rsidRDefault="00EA09EB" w:rsidP="007A340E">
      <w:pPr>
        <w:ind w:firstLine="283"/>
        <w:rPr>
          <w:rtl/>
        </w:rPr>
      </w:pPr>
      <w:r w:rsidRPr="007A340E">
        <w:rPr>
          <w:rFonts w:hint="cs"/>
          <w:b/>
          <w:bCs/>
          <w:rtl/>
        </w:rPr>
        <w:t>الثاني</w:t>
      </w:r>
      <w:r w:rsidRPr="00EA09EB">
        <w:rPr>
          <w:rFonts w:hint="cs"/>
          <w:rtl/>
        </w:rPr>
        <w:t xml:space="preserve">: بيانات مراجع الدين والعلماء والحوزات العلميّة طوال فترة الثورة. </w:t>
      </w:r>
    </w:p>
    <w:p w:rsidR="00EA09EB" w:rsidRPr="00EA09EB" w:rsidRDefault="00EA09EB" w:rsidP="007A340E">
      <w:pPr>
        <w:ind w:firstLine="283"/>
        <w:rPr>
          <w:rtl/>
        </w:rPr>
      </w:pPr>
      <w:r w:rsidRPr="007A340E">
        <w:rPr>
          <w:rFonts w:hint="cs"/>
          <w:b/>
          <w:bCs/>
          <w:rtl/>
        </w:rPr>
        <w:t>الثالث</w:t>
      </w:r>
      <w:r w:rsidRPr="00EA09EB">
        <w:rPr>
          <w:rFonts w:hint="cs"/>
          <w:rtl/>
        </w:rPr>
        <w:t>: شعارات الناس العفويّة، والبيانات التي كانت تصدر عن المظاهرات الشعبيّة الكبرى.</w:t>
      </w:r>
    </w:p>
    <w:p w:rsidR="00EA09EB" w:rsidRPr="00A32FC0" w:rsidRDefault="00EA09EB" w:rsidP="00EA09EB">
      <w:pPr>
        <w:rPr>
          <w:rtl/>
        </w:rPr>
      </w:pPr>
      <w:r w:rsidRPr="00A32FC0">
        <w:rPr>
          <w:rFonts w:hint="cs"/>
          <w:rtl/>
        </w:rPr>
        <w:t>حتى شهر مهر 1357</w:t>
      </w:r>
      <w:r>
        <w:rPr>
          <w:rFonts w:hint="cs"/>
          <w:rtl/>
        </w:rPr>
        <w:t>هـ.ش / 1978 م</w:t>
      </w:r>
      <w:r w:rsidRPr="00A32FC0">
        <w:rPr>
          <w:rFonts w:hint="cs"/>
          <w:rtl/>
        </w:rPr>
        <w:t xml:space="preserve"> كان الهدف الإثباتي للثورة الإسلاميّة هو قيام «حكومة إسلامية». والمراد منها، بشكل عامّ، هو إجراء الأحكام الإسلاميّة، تأسِّياً بحكومة النبيّ</w:t>
      </w:r>
      <w:r w:rsidRPr="00A32FC0">
        <w:rPr>
          <w:rFonts w:hint="cs"/>
          <w:rtl/>
        </w:rPr>
        <w:sym w:font="Roumouz" w:char="F02D"/>
      </w:r>
      <w:r w:rsidRPr="00A32FC0">
        <w:rPr>
          <w:rFonts w:hint="cs"/>
          <w:rtl/>
        </w:rPr>
        <w:t xml:space="preserve"> والإمام علي</w:t>
      </w:r>
      <w:r>
        <w:rPr>
          <w:rFonts w:hint="cs"/>
          <w:rtl/>
        </w:rPr>
        <w:t>×</w:t>
      </w:r>
      <w:r w:rsidRPr="00A32FC0">
        <w:rPr>
          <w:rFonts w:hint="cs"/>
          <w:rtl/>
        </w:rPr>
        <w:t xml:space="preserve">. </w:t>
      </w:r>
    </w:p>
    <w:p w:rsidR="00EA09EB" w:rsidRPr="00A32FC0" w:rsidRDefault="00EA09EB" w:rsidP="00EA09EB">
      <w:pPr>
        <w:rPr>
          <w:rtl/>
        </w:rPr>
      </w:pPr>
      <w:r w:rsidRPr="00A32FC0">
        <w:rPr>
          <w:rFonts w:hint="cs"/>
          <w:rtl/>
        </w:rPr>
        <w:t xml:space="preserve">و«الحكومة الإسلاميّة» لفظ عامّ ومجمل، يتحمّل معاني وقوالب سياسية مختلفة. </w:t>
      </w:r>
    </w:p>
    <w:p w:rsidR="00EA09EB" w:rsidRPr="00A32FC0" w:rsidRDefault="00EA09EB" w:rsidP="00EA09EB">
      <w:pPr>
        <w:rPr>
          <w:rtl/>
        </w:rPr>
      </w:pPr>
      <w:r w:rsidRPr="00EA09EB">
        <w:rPr>
          <w:rFonts w:hint="cs"/>
          <w:rtl/>
        </w:rPr>
        <w:t xml:space="preserve">عند انتقاله إلى فرنسا قام السيد الخميني في 22 مهر 1357هـ.ش </w:t>
      </w:r>
      <w:r>
        <w:rPr>
          <w:rFonts w:hint="cs"/>
          <w:rtl/>
        </w:rPr>
        <w:t xml:space="preserve">/ </w:t>
      </w:r>
      <w:r w:rsidRPr="00EA09EB">
        <w:rPr>
          <w:rFonts w:hint="cs"/>
          <w:rtl/>
        </w:rPr>
        <w:t>1978 م بتسمية نوع الحكومة الإسلاميّة بـ «الجمهوريّة الإسلاميّة»</w:t>
      </w:r>
      <w:r w:rsidRPr="00064619">
        <w:rPr>
          <w:rFonts w:cs="Taher"/>
          <w:vertAlign w:val="superscript"/>
          <w:rtl/>
        </w:rPr>
        <w:t>(</w:t>
      </w:r>
      <w:r w:rsidRPr="00064619">
        <w:rPr>
          <w:rStyle w:val="FootnoteReference"/>
          <w:rFonts w:cs="Taher"/>
          <w:sz w:val="32"/>
          <w:rtl/>
        </w:rPr>
        <w:footnoteReference w:id="365"/>
      </w:r>
      <w:r w:rsidRPr="00064619">
        <w:rPr>
          <w:rFonts w:cs="Taher"/>
          <w:vertAlign w:val="superscript"/>
          <w:rtl/>
        </w:rPr>
        <w:t>)</w:t>
      </w:r>
      <w:r w:rsidRPr="00A32FC0">
        <w:rPr>
          <w:rFonts w:hint="cs"/>
          <w:rtl/>
        </w:rPr>
        <w:t>. لم</w:t>
      </w:r>
      <w:r>
        <w:rPr>
          <w:rFonts w:hint="cs"/>
          <w:rtl/>
        </w:rPr>
        <w:t xml:space="preserve"> يكن هناك إشارة في بياناته</w:t>
      </w:r>
      <w:r w:rsidRPr="00A32FC0">
        <w:rPr>
          <w:rFonts w:hint="cs"/>
          <w:rtl/>
        </w:rPr>
        <w:t xml:space="preserve"> حول سبب تبديل الحكومة الإسلاميّة بالجمهوريّة الإسلاميّة. فهل ستكون الجمهورية الإسلامية حكومة انتقاليّة مؤقَّتة للوصول إلى الحكومة الإسلاميّة؟ وحيث إن الظروف غير مهيَّأة للالتزام والعمل بكل ما تفرضه الحكومة الإسلاميّة فهل سيتمّ إرساء الجمهوريّة الإسلاميّة، إلى أن يصبح الناس مستعدّين بشكل كامل للحكومة الإسلامية؟</w:t>
      </w:r>
    </w:p>
    <w:p w:rsidR="00EA09EB" w:rsidRPr="00A32FC0" w:rsidRDefault="00EA09EB" w:rsidP="00CF6991">
      <w:pPr>
        <w:pStyle w:val="Normal93"/>
        <w:rPr>
          <w:rtl/>
        </w:rPr>
      </w:pPr>
      <w:r w:rsidRPr="00A32FC0">
        <w:rPr>
          <w:rFonts w:hint="cs"/>
          <w:rtl/>
        </w:rPr>
        <w:t>إن الجواب عن هذين السؤالين هو غاية في الأهمية في بحثنا؛ وذلك لأنه من الواضح أن المراد من الحكومة الإسلا</w:t>
      </w:r>
      <w:r>
        <w:rPr>
          <w:rFonts w:hint="cs"/>
          <w:rtl/>
        </w:rPr>
        <w:t>مية في عصر الغيبة، في فكر السيد</w:t>
      </w:r>
      <w:r w:rsidRPr="00A32FC0">
        <w:rPr>
          <w:rFonts w:hint="cs"/>
          <w:rtl/>
        </w:rPr>
        <w:t xml:space="preserve"> الخميني، هو ولاية الفقيه، لا الملكية الدستوريّة، ولا الجمهورية</w:t>
      </w:r>
      <w:r w:rsidRPr="00064619">
        <w:rPr>
          <w:rFonts w:cs="Taher"/>
          <w:vertAlign w:val="superscript"/>
          <w:rtl/>
        </w:rPr>
        <w:t>(</w:t>
      </w:r>
      <w:r w:rsidRPr="00064619">
        <w:rPr>
          <w:rStyle w:val="FootnoteReference"/>
          <w:rFonts w:cs="Taher"/>
          <w:sz w:val="32"/>
          <w:rtl/>
        </w:rPr>
        <w:footnoteReference w:id="366"/>
      </w:r>
      <w:r w:rsidRPr="00064619">
        <w:rPr>
          <w:rFonts w:cs="Taher"/>
          <w:vertAlign w:val="superscript"/>
          <w:rtl/>
        </w:rPr>
        <w:t>)</w:t>
      </w:r>
      <w:r w:rsidRPr="00A32FC0">
        <w:rPr>
          <w:rFonts w:hint="cs"/>
          <w:rtl/>
        </w:rPr>
        <w:t xml:space="preserve">. وعلى </w:t>
      </w:r>
      <w:r>
        <w:rPr>
          <w:rFonts w:hint="cs"/>
          <w:rtl/>
        </w:rPr>
        <w:t>أيّ</w:t>
      </w:r>
      <w:r w:rsidRPr="00A32FC0">
        <w:rPr>
          <w:rFonts w:hint="cs"/>
          <w:rtl/>
        </w:rPr>
        <w:t xml:space="preserve"> حال فإن الصحافة من جميع أنحاء العالم قامت بطرح أسئلة كثيرة حول الجمهورية الإسلاميّة، ودور الناس فيها، ومنها ما يتعلَّق بالمقارنة بينها وبين سائر الحكومات الإسلاميّة، من قبيل: السعودية، والفرق بينها وبين سائر الجمهوريّات الأخرى، من قبيل: الجمهوريات الاشتراكية، والديمقراطيّة، و...، وحول دور رجال الدين في </w:t>
      </w:r>
      <w:r>
        <w:rPr>
          <w:rFonts w:hint="cs"/>
          <w:rtl/>
        </w:rPr>
        <w:t>الجمهورية الإسلامية، ودور السيد</w:t>
      </w:r>
      <w:r w:rsidRPr="00A32FC0">
        <w:rPr>
          <w:rFonts w:hint="cs"/>
          <w:rtl/>
        </w:rPr>
        <w:t xml:space="preserve"> الخميني وموقعه الرسميّ في الجمهورية الإسلامية، والمقارنة بين دستور هذه الجمهورية المستقبليّ وبين دستور الثورة المشروطة، وحدود الحريّات العامّة، والعلاقات والروابط مع دول العالم الأخرى، و....</w:t>
      </w:r>
    </w:p>
    <w:p w:rsidR="00EA09EB" w:rsidRPr="00EA09EB" w:rsidRDefault="00EA09EB" w:rsidP="00CF6991">
      <w:pPr>
        <w:pStyle w:val="Normal84"/>
        <w:rPr>
          <w:rtl/>
        </w:rPr>
      </w:pPr>
      <w:r>
        <w:rPr>
          <w:rFonts w:hint="cs"/>
          <w:rtl/>
        </w:rPr>
        <w:t>وكان السيد</w:t>
      </w:r>
      <w:r w:rsidRPr="00A32FC0">
        <w:rPr>
          <w:rFonts w:hint="cs"/>
          <w:rtl/>
        </w:rPr>
        <w:t xml:space="preserve"> الخمينيّ يجيب عن هذه الأسئلة بدقّة متناهية، وسَعَة صدر كبيرة. وشكَّلت هذه المجموعة من الحوارات والمقابلات عدّة مجلدات من كتاب صحيفة نور</w:t>
      </w:r>
      <w:r w:rsidRPr="00064619">
        <w:rPr>
          <w:rFonts w:cs="Taher"/>
          <w:vertAlign w:val="superscript"/>
          <w:rtl/>
        </w:rPr>
        <w:t>(</w:t>
      </w:r>
      <w:r w:rsidRPr="00064619">
        <w:rPr>
          <w:rStyle w:val="FootnoteReference"/>
          <w:rFonts w:cs="Taher"/>
          <w:sz w:val="32"/>
          <w:rtl/>
        </w:rPr>
        <w:footnoteReference w:id="367"/>
      </w:r>
      <w:r w:rsidRPr="00064619">
        <w:rPr>
          <w:rFonts w:cs="Taher"/>
          <w:vertAlign w:val="superscript"/>
          <w:rtl/>
        </w:rPr>
        <w:t>)</w:t>
      </w:r>
      <w:r w:rsidRPr="00EA09EB">
        <w:rPr>
          <w:rFonts w:hint="cs"/>
          <w:rtl/>
        </w:rPr>
        <w:t xml:space="preserve">. ويعتبر هذا الكتاب أهمّ مصدر للتعرُّف على الجمهوريّة الإسلاميّة من وجهة نظر السيد الخمينيّ شخصيّاً. </w:t>
      </w:r>
    </w:p>
    <w:p w:rsidR="00EA09EB" w:rsidRPr="00A32FC0" w:rsidRDefault="00EA09EB" w:rsidP="00EA09EB">
      <w:pPr>
        <w:rPr>
          <w:rtl/>
        </w:rPr>
      </w:pPr>
      <w:r>
        <w:rPr>
          <w:rFonts w:hint="cs"/>
          <w:rtl/>
        </w:rPr>
        <w:t>ويمكن تلخيص رؤية السيد</w:t>
      </w:r>
      <w:r w:rsidRPr="00A32FC0">
        <w:rPr>
          <w:rFonts w:hint="cs"/>
          <w:rtl/>
        </w:rPr>
        <w:t xml:space="preserve"> الخميني إلى الجمهورية الإسلاميّة في النقاط السبع التالية: </w:t>
      </w:r>
    </w:p>
    <w:p w:rsidR="00EA09EB" w:rsidRPr="00EA09EB" w:rsidRDefault="00EA09EB" w:rsidP="00EA09EB">
      <w:pPr>
        <w:rPr>
          <w:rtl/>
        </w:rPr>
      </w:pPr>
      <w:r w:rsidRPr="007A340E">
        <w:rPr>
          <w:rFonts w:hint="cs"/>
          <w:b/>
          <w:bCs/>
          <w:rtl/>
        </w:rPr>
        <w:t>الأولى</w:t>
      </w:r>
      <w:r w:rsidRPr="00EA09EB">
        <w:rPr>
          <w:rFonts w:hint="cs"/>
          <w:rtl/>
        </w:rPr>
        <w:t>: إن الجمهورية الإسلامية حكومة ترتكز على ضوابط الإسلام، ودستورها الإسلام، وتجري أحكام الإسلام، ولابدّ أن يكون المسؤولون فيها حائزين على الشروط التي وضعها الإسلام. والخطوط العامّة لهذه الحكومة هي الأصول الإسلاميّة المسلَّمة، التي بيّنها القرآن والسنّة. والنموذج الذي تستضيء به هو حكومة النبيّ</w:t>
      </w:r>
      <w:r w:rsidRPr="00EA09EB">
        <w:rPr>
          <w:rFonts w:hint="cs"/>
          <w:rtl/>
        </w:rPr>
        <w:sym w:font="Roumouz" w:char="F02D"/>
      </w:r>
      <w:r w:rsidRPr="00EA09EB">
        <w:rPr>
          <w:rFonts w:hint="cs"/>
          <w:rtl/>
        </w:rPr>
        <w:t xml:space="preserve"> والإمام عليّ</w:t>
      </w:r>
      <w:r>
        <w:rPr>
          <w:rFonts w:hint="cs"/>
          <w:rtl/>
        </w:rPr>
        <w:t>×</w:t>
      </w:r>
      <w:r w:rsidRPr="00064619">
        <w:rPr>
          <w:rFonts w:cs="Taher"/>
          <w:sz w:val="32"/>
          <w:vertAlign w:val="superscript"/>
          <w:rtl/>
        </w:rPr>
        <w:t>(</w:t>
      </w:r>
      <w:r w:rsidRPr="00064619">
        <w:rPr>
          <w:rStyle w:val="FootnoteReference"/>
          <w:rFonts w:cs="Taher"/>
          <w:sz w:val="32"/>
          <w:rtl/>
        </w:rPr>
        <w:footnoteReference w:id="368"/>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الثانية</w:t>
      </w:r>
      <w:r w:rsidRPr="00EA09EB">
        <w:rPr>
          <w:rFonts w:hint="cs"/>
          <w:rtl/>
        </w:rPr>
        <w:t>: الجمهورية الإسلامية حكومة ترتكز على الرأي العام. والمراد من الجمهورية هو الاستناد إلى آراء أكثريّة الشعب. تدار الدولة عن طريق الممثِّلين الحقيقيّين للناس. وهؤلاء الممثِّلون هم الذين يعيِّنون مجلس الوزراء، وبقيّة المناصب الأخرى الهامّة في الدولة. وعن طريق هؤلاء الممثِّلين يشرف الناس على جميع شؤون المجتمع. لا يتمّ إقرار أيّ شيء بدون الرجوع إلى الناس. وحيث إن حقّ تعيين المصير بيد الشعب فإنّ شكل الحكومة الذي اقترحناه (الجمهوريّة الإسلاميّة) قُدِّم إلى الرأي العام للاستفتاء</w:t>
      </w:r>
      <w:r w:rsidRPr="00064619">
        <w:rPr>
          <w:rFonts w:cs="Taher"/>
          <w:sz w:val="32"/>
          <w:vertAlign w:val="superscript"/>
          <w:rtl/>
          <w:lang w:bidi="ar-LB"/>
        </w:rPr>
        <w:t>(</w:t>
      </w:r>
      <w:r w:rsidRPr="00064619">
        <w:rPr>
          <w:rStyle w:val="FootnoteReference"/>
          <w:rFonts w:cs="Taher"/>
          <w:sz w:val="32"/>
          <w:rtl/>
          <w:lang w:bidi="ar-LB"/>
        </w:rPr>
        <w:footnoteReference w:id="369"/>
      </w:r>
      <w:r w:rsidRPr="00064619">
        <w:rPr>
          <w:rFonts w:cs="Taher"/>
          <w:sz w:val="32"/>
          <w:vertAlign w:val="superscript"/>
          <w:rtl/>
          <w:lang w:bidi="ar-LB"/>
        </w:rPr>
        <w:t>)</w:t>
      </w:r>
      <w:r w:rsidRPr="00EA09EB">
        <w:rPr>
          <w:rFonts w:hint="cs"/>
          <w:rtl/>
        </w:rPr>
        <w:t>.</w:t>
      </w:r>
    </w:p>
    <w:p w:rsidR="00EA09EB" w:rsidRPr="007A340E" w:rsidRDefault="00EA09EB" w:rsidP="000E5EF9">
      <w:pPr>
        <w:pStyle w:val="Normal84"/>
        <w:rPr>
          <w:b/>
          <w:bCs/>
          <w:rtl/>
        </w:rPr>
      </w:pPr>
      <w:r w:rsidRPr="007A340E">
        <w:rPr>
          <w:rFonts w:hint="cs"/>
          <w:b/>
          <w:bCs/>
          <w:rtl/>
        </w:rPr>
        <w:t>الثالثة</w:t>
      </w:r>
      <w:r w:rsidRPr="00EA09EB">
        <w:rPr>
          <w:rFonts w:hint="cs"/>
          <w:rtl/>
        </w:rPr>
        <w:t>: شكل الحكم جمهوري، بالمعنى الذي تستعمل فيه هذه الكلمة أينما كان. فالجمهورية الإسلامية جمهورية كغيرها من الجمهوريّات</w:t>
      </w:r>
      <w:r w:rsidRPr="00064619">
        <w:rPr>
          <w:rFonts w:cs="Taher"/>
          <w:vertAlign w:val="superscript"/>
          <w:rtl/>
        </w:rPr>
        <w:t>(</w:t>
      </w:r>
      <w:r w:rsidRPr="00064619">
        <w:rPr>
          <w:rStyle w:val="FootnoteReference"/>
          <w:rFonts w:cs="Taher"/>
          <w:sz w:val="32"/>
          <w:rtl/>
        </w:rPr>
        <w:footnoteReference w:id="370"/>
      </w:r>
      <w:r w:rsidRPr="00064619">
        <w:rPr>
          <w:rFonts w:cs="Taher"/>
          <w:vertAlign w:val="superscript"/>
          <w:rtl/>
        </w:rPr>
        <w:t>)</w:t>
      </w:r>
      <w:r w:rsidRPr="00EA09EB">
        <w:rPr>
          <w:rFonts w:hint="cs"/>
          <w:rtl/>
        </w:rPr>
        <w:t>.</w:t>
      </w:r>
    </w:p>
    <w:p w:rsidR="00EA09EB" w:rsidRPr="00EA09EB" w:rsidRDefault="00EA09EB" w:rsidP="000E5EF9">
      <w:pPr>
        <w:pStyle w:val="Normal84"/>
        <w:rPr>
          <w:rtl/>
        </w:rPr>
      </w:pPr>
      <w:r w:rsidRPr="007A340E">
        <w:rPr>
          <w:rFonts w:hint="cs"/>
          <w:b/>
          <w:bCs/>
          <w:rtl/>
        </w:rPr>
        <w:t>الرابعة</w:t>
      </w:r>
      <w:r w:rsidRPr="00EA09EB">
        <w:rPr>
          <w:rFonts w:hint="cs"/>
          <w:rtl/>
        </w:rPr>
        <w:t>: الجمهوريّة الإسلامية حكومة مستقلة، لا شرقيّة ولا غربية. ولا يتمّ تعيين سياساتها من قبل الأجانب</w:t>
      </w:r>
      <w:r w:rsidRPr="00064619">
        <w:rPr>
          <w:rFonts w:cs="Taher"/>
          <w:vertAlign w:val="superscript"/>
          <w:rtl/>
        </w:rPr>
        <w:t>(</w:t>
      </w:r>
      <w:r w:rsidRPr="00064619">
        <w:rPr>
          <w:rStyle w:val="FootnoteReference"/>
          <w:rFonts w:cs="Taher"/>
          <w:sz w:val="32"/>
          <w:rtl/>
        </w:rPr>
        <w:footnoteReference w:id="371"/>
      </w:r>
      <w:r w:rsidRPr="00064619">
        <w:rPr>
          <w:rFonts w:cs="Taher"/>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الخامسة</w:t>
      </w:r>
      <w:r w:rsidRPr="00EA09EB">
        <w:rPr>
          <w:rFonts w:hint="cs"/>
          <w:rtl/>
        </w:rPr>
        <w:t>: الجمهورية الإسلاميّة حكومة مرتكزة على العدالة الاجتماعية. وهي حكومة عادلة</w:t>
      </w:r>
      <w:r w:rsidRPr="00064619">
        <w:rPr>
          <w:rFonts w:cs="Taher"/>
          <w:sz w:val="32"/>
          <w:vertAlign w:val="superscript"/>
          <w:rtl/>
          <w:lang w:bidi="ar-LB"/>
        </w:rPr>
        <w:t>(</w:t>
      </w:r>
      <w:r w:rsidRPr="00064619">
        <w:rPr>
          <w:rStyle w:val="FootnoteReference"/>
          <w:rFonts w:cs="Taher"/>
          <w:sz w:val="32"/>
          <w:rtl/>
          <w:lang w:bidi="ar-LB"/>
        </w:rPr>
        <w:footnoteReference w:id="372"/>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السادسة</w:t>
      </w:r>
      <w:r w:rsidRPr="00EA09EB">
        <w:rPr>
          <w:rFonts w:hint="cs"/>
          <w:rtl/>
        </w:rPr>
        <w:t>: الجمهوريّة الإسلاميّة حكومة مرتكزة على الحرية. الأقليات الدينية والمذهبيّة محترمة في الجمهورية الإسلاميّة. وكذلك حرية التعبير</w:t>
      </w:r>
      <w:r w:rsidRPr="00064619">
        <w:rPr>
          <w:rFonts w:cs="Taher"/>
          <w:sz w:val="32"/>
          <w:vertAlign w:val="superscript"/>
          <w:rtl/>
          <w:lang w:bidi="ar-LB"/>
        </w:rPr>
        <w:t>(</w:t>
      </w:r>
      <w:r w:rsidRPr="00064619">
        <w:rPr>
          <w:rStyle w:val="FootnoteReference"/>
          <w:rFonts w:cs="Taher"/>
          <w:sz w:val="32"/>
          <w:rtl/>
          <w:lang w:bidi="ar-LB"/>
        </w:rPr>
        <w:footnoteReference w:id="373"/>
      </w:r>
      <w:r w:rsidRPr="00064619">
        <w:rPr>
          <w:rFonts w:cs="Taher"/>
          <w:sz w:val="32"/>
          <w:vertAlign w:val="superscript"/>
          <w:rtl/>
          <w:lang w:bidi="ar-LB"/>
        </w:rPr>
        <w:t>)</w:t>
      </w:r>
      <w:r w:rsidRPr="00EA09EB">
        <w:rPr>
          <w:rFonts w:hint="cs"/>
          <w:rtl/>
        </w:rPr>
        <w:t>. الأحزاب حرّة بالاختلاف معنا، أو مع أيّ طرف آخر، بشرط أن لا يكون ذلك مضرّاً بالدولة</w:t>
      </w:r>
      <w:r w:rsidRPr="00064619">
        <w:rPr>
          <w:rFonts w:cs="Taher"/>
          <w:sz w:val="32"/>
          <w:vertAlign w:val="superscript"/>
          <w:rtl/>
          <w:lang w:bidi="ar-LB"/>
        </w:rPr>
        <w:t>(</w:t>
      </w:r>
      <w:r w:rsidRPr="00064619">
        <w:rPr>
          <w:rStyle w:val="FootnoteReference"/>
          <w:rFonts w:cs="Taher"/>
          <w:sz w:val="32"/>
          <w:rtl/>
          <w:lang w:bidi="ar-LB"/>
        </w:rPr>
        <w:footnoteReference w:id="374"/>
      </w:r>
      <w:r w:rsidRPr="00064619">
        <w:rPr>
          <w:rFonts w:cs="Taher"/>
          <w:sz w:val="32"/>
          <w:vertAlign w:val="superscript"/>
          <w:rtl/>
          <w:lang w:bidi="ar-LB"/>
        </w:rPr>
        <w:t>)</w:t>
      </w:r>
      <w:r w:rsidRPr="00EA09EB">
        <w:rPr>
          <w:rFonts w:hint="cs"/>
          <w:rtl/>
        </w:rPr>
        <w:t>. ديمقراطية الإسلام أكمل من ديمقراطية الغرب</w:t>
      </w:r>
      <w:r w:rsidRPr="00064619">
        <w:rPr>
          <w:rFonts w:cs="Taher"/>
          <w:sz w:val="32"/>
          <w:vertAlign w:val="superscript"/>
          <w:rtl/>
          <w:lang w:bidi="ar-LB"/>
        </w:rPr>
        <w:t>(</w:t>
      </w:r>
      <w:r w:rsidRPr="00064619">
        <w:rPr>
          <w:rStyle w:val="FootnoteReference"/>
          <w:rFonts w:cs="Taher"/>
          <w:sz w:val="32"/>
          <w:rtl/>
          <w:lang w:bidi="ar-LB"/>
        </w:rPr>
        <w:footnoteReference w:id="375"/>
      </w:r>
      <w:r w:rsidRPr="00064619">
        <w:rPr>
          <w:rFonts w:cs="Taher"/>
          <w:sz w:val="32"/>
          <w:vertAlign w:val="superscript"/>
          <w:rtl/>
          <w:lang w:bidi="ar-LB"/>
        </w:rPr>
        <w:t>)</w:t>
      </w:r>
      <w:r w:rsidRPr="00EA09EB">
        <w:rPr>
          <w:rFonts w:hint="cs"/>
          <w:rtl/>
        </w:rPr>
        <w:t>. لا يوجد في الجمهورية الإسلامية استبداد وديكتاتورية</w:t>
      </w:r>
      <w:r w:rsidRPr="00064619">
        <w:rPr>
          <w:rFonts w:cs="Taher"/>
          <w:sz w:val="32"/>
          <w:vertAlign w:val="superscript"/>
          <w:rtl/>
          <w:lang w:bidi="ar-LB"/>
        </w:rPr>
        <w:t>(</w:t>
      </w:r>
      <w:r w:rsidRPr="00064619">
        <w:rPr>
          <w:rStyle w:val="FootnoteReference"/>
          <w:rFonts w:cs="Taher"/>
          <w:sz w:val="32"/>
          <w:rtl/>
          <w:lang w:bidi="ar-LB"/>
        </w:rPr>
        <w:footnoteReference w:id="376"/>
      </w:r>
      <w:r w:rsidRPr="00064619">
        <w:rPr>
          <w:rFonts w:cs="Taher"/>
          <w:sz w:val="32"/>
          <w:vertAlign w:val="superscript"/>
          <w:rtl/>
          <w:lang w:bidi="ar-LB"/>
        </w:rPr>
        <w:t>)</w:t>
      </w:r>
      <w:r w:rsidRPr="00EA09EB">
        <w:rPr>
          <w:rFonts w:hint="cs"/>
          <w:rtl/>
        </w:rPr>
        <w:t>. ولكلّ فردٍ الحقُّ في مساءلة أو انتقاد أيّ مسؤول أمام الناس. وفي المقابل يجب على المسؤول أن يقدِّم جواباً مقنعاً، وإذا كان قد خالف وظيفته الشرعية فإنه يُعْزَل مباشرة عن المنصب الذي يتولاّه</w:t>
      </w:r>
      <w:r w:rsidRPr="00064619">
        <w:rPr>
          <w:rFonts w:cs="Taher"/>
          <w:sz w:val="32"/>
          <w:vertAlign w:val="superscript"/>
          <w:rtl/>
          <w:lang w:bidi="ar-LB"/>
        </w:rPr>
        <w:t>(</w:t>
      </w:r>
      <w:r w:rsidRPr="00064619">
        <w:rPr>
          <w:rStyle w:val="FootnoteReference"/>
          <w:rFonts w:cs="Taher"/>
          <w:sz w:val="32"/>
          <w:rtl/>
          <w:lang w:bidi="ar-LB"/>
        </w:rPr>
        <w:footnoteReference w:id="377"/>
      </w:r>
      <w:r w:rsidRPr="00064619">
        <w:rPr>
          <w:rFonts w:cs="Taher"/>
          <w:sz w:val="32"/>
          <w:vertAlign w:val="superscript"/>
          <w:rtl/>
          <w:lang w:bidi="ar-LB"/>
        </w:rPr>
        <w:t>)</w:t>
      </w:r>
      <w:r w:rsidRPr="00EA09EB">
        <w:rPr>
          <w:rFonts w:hint="cs"/>
          <w:rtl/>
        </w:rPr>
        <w:t>.</w:t>
      </w:r>
    </w:p>
    <w:p w:rsidR="00EA09EB" w:rsidRPr="00EA09EB" w:rsidRDefault="00EA09EB" w:rsidP="000E5EF9">
      <w:pPr>
        <w:pStyle w:val="Normal87"/>
        <w:rPr>
          <w:rtl/>
        </w:rPr>
      </w:pPr>
      <w:r w:rsidRPr="007A340E">
        <w:rPr>
          <w:rFonts w:hint="cs"/>
          <w:b/>
          <w:bCs/>
          <w:rtl/>
        </w:rPr>
        <w:t>السابعة</w:t>
      </w:r>
      <w:r w:rsidRPr="00EA09EB">
        <w:rPr>
          <w:rFonts w:hint="cs"/>
          <w:rtl/>
        </w:rPr>
        <w:t>: إن وظيفة علماء الإسلام هي الإشراف على القوانين</w:t>
      </w:r>
      <w:r w:rsidRPr="00064619">
        <w:rPr>
          <w:rFonts w:cs="Taher"/>
          <w:sz w:val="32"/>
          <w:vertAlign w:val="superscript"/>
          <w:rtl/>
        </w:rPr>
        <w:t>(</w:t>
      </w:r>
      <w:r w:rsidRPr="00064619">
        <w:rPr>
          <w:rStyle w:val="FootnoteReference"/>
          <w:rFonts w:cs="Taher"/>
          <w:sz w:val="32"/>
          <w:rtl/>
        </w:rPr>
        <w:footnoteReference w:id="378"/>
      </w:r>
      <w:r w:rsidRPr="00064619">
        <w:rPr>
          <w:rFonts w:cs="Taher"/>
          <w:sz w:val="32"/>
          <w:vertAlign w:val="superscript"/>
          <w:rtl/>
        </w:rPr>
        <w:t>)</w:t>
      </w:r>
      <w:r w:rsidRPr="00EA09EB">
        <w:rPr>
          <w:rFonts w:hint="cs"/>
          <w:rtl/>
        </w:rPr>
        <w:t>. هناك شورى من العلماء والمفكِّرين الإسلاميّين تشرف على الجمهورية الإسلامية</w:t>
      </w:r>
      <w:r w:rsidRPr="00064619">
        <w:rPr>
          <w:rFonts w:cs="Taher"/>
          <w:sz w:val="32"/>
          <w:vertAlign w:val="superscript"/>
          <w:rtl/>
        </w:rPr>
        <w:t>(</w:t>
      </w:r>
      <w:r w:rsidRPr="00064619">
        <w:rPr>
          <w:rStyle w:val="FootnoteReference"/>
          <w:rFonts w:cs="Taher"/>
          <w:sz w:val="32"/>
          <w:rtl/>
        </w:rPr>
        <w:footnoteReference w:id="379"/>
      </w:r>
      <w:r w:rsidRPr="00064619">
        <w:rPr>
          <w:rFonts w:cs="Taher"/>
          <w:sz w:val="32"/>
          <w:vertAlign w:val="superscript"/>
          <w:rtl/>
        </w:rPr>
        <w:t>)</w:t>
      </w:r>
      <w:r w:rsidRPr="00EA09EB">
        <w:rPr>
          <w:rFonts w:hint="cs"/>
          <w:rtl/>
        </w:rPr>
        <w:t>. سوف يكون للمؤسَّسة الدينية دور إرشاد وهداية الحكومة</w:t>
      </w:r>
      <w:r w:rsidRPr="00064619">
        <w:rPr>
          <w:rFonts w:cs="Taher"/>
          <w:sz w:val="32"/>
          <w:vertAlign w:val="superscript"/>
          <w:rtl/>
        </w:rPr>
        <w:t>(</w:t>
      </w:r>
      <w:r w:rsidRPr="00064619">
        <w:rPr>
          <w:rStyle w:val="FootnoteReference"/>
          <w:rFonts w:cs="Taher"/>
          <w:sz w:val="32"/>
          <w:rtl/>
        </w:rPr>
        <w:footnoteReference w:id="380"/>
      </w:r>
      <w:r w:rsidRPr="00064619">
        <w:rPr>
          <w:rFonts w:cs="Taher"/>
          <w:sz w:val="32"/>
          <w:vertAlign w:val="superscript"/>
          <w:rtl/>
        </w:rPr>
        <w:t>)</w:t>
      </w:r>
      <w:r w:rsidRPr="00EA09EB">
        <w:rPr>
          <w:rFonts w:hint="cs"/>
          <w:rtl/>
        </w:rPr>
        <w:t>. سوف يكون لرجال الدين حضور في المجالس النيابية القادمة، بصفتهم أعضاءً أو مشرفين</w:t>
      </w:r>
      <w:r w:rsidRPr="00064619">
        <w:rPr>
          <w:rFonts w:cs="Taher"/>
          <w:sz w:val="32"/>
          <w:vertAlign w:val="superscript"/>
          <w:rtl/>
        </w:rPr>
        <w:t>(</w:t>
      </w:r>
      <w:r w:rsidRPr="00064619">
        <w:rPr>
          <w:rStyle w:val="FootnoteReference"/>
          <w:rFonts w:cs="Taher"/>
          <w:sz w:val="32"/>
          <w:rtl/>
        </w:rPr>
        <w:footnoteReference w:id="381"/>
      </w:r>
      <w:r w:rsidRPr="00064619">
        <w:rPr>
          <w:rFonts w:cs="Taher"/>
          <w:sz w:val="32"/>
          <w:vertAlign w:val="superscript"/>
          <w:rtl/>
        </w:rPr>
        <w:t>)</w:t>
      </w:r>
      <w:r w:rsidRPr="00EA09EB">
        <w:rPr>
          <w:rFonts w:hint="cs"/>
          <w:rtl/>
        </w:rPr>
        <w:t>، إلاّ أن عضويّة المجلس لن تكون محصورة برجال الدين. ووظيفتي في المستقبل سوف تكون الوظيفة نفسها التي أقوم بها الآن، أي الهداية، والإشراف على الأوضاع، والإرشاد. وليس عندي أيّ نيّة للتدخّل في الأمور بشكل مباشر</w:t>
      </w:r>
      <w:r w:rsidRPr="00064619">
        <w:rPr>
          <w:rFonts w:cs="Taher"/>
          <w:sz w:val="32"/>
          <w:vertAlign w:val="superscript"/>
          <w:rtl/>
        </w:rPr>
        <w:t>(</w:t>
      </w:r>
      <w:r w:rsidRPr="00064619">
        <w:rPr>
          <w:rStyle w:val="FootnoteReference"/>
          <w:rFonts w:cs="Taher"/>
          <w:sz w:val="32"/>
          <w:rtl/>
        </w:rPr>
        <w:footnoteReference w:id="382"/>
      </w:r>
      <w:r w:rsidRPr="00064619">
        <w:rPr>
          <w:rFonts w:cs="Taher"/>
          <w:sz w:val="32"/>
          <w:vertAlign w:val="superscript"/>
          <w:rtl/>
        </w:rPr>
        <w:t>)</w:t>
      </w:r>
      <w:r w:rsidRPr="00EA09EB">
        <w:rPr>
          <w:rFonts w:hint="cs"/>
          <w:rtl/>
        </w:rPr>
        <w:t>. لن تكون لي صلاحيّات الشاه</w:t>
      </w:r>
      <w:r w:rsidRPr="00064619">
        <w:rPr>
          <w:rFonts w:cs="Taher"/>
          <w:sz w:val="32"/>
          <w:vertAlign w:val="superscript"/>
          <w:rtl/>
        </w:rPr>
        <w:t>(</w:t>
      </w:r>
      <w:r w:rsidRPr="00064619">
        <w:rPr>
          <w:rStyle w:val="FootnoteReference"/>
          <w:rFonts w:cs="Taher"/>
          <w:sz w:val="32"/>
          <w:rtl/>
        </w:rPr>
        <w:footnoteReference w:id="383"/>
      </w:r>
      <w:r w:rsidRPr="00064619">
        <w:rPr>
          <w:rFonts w:cs="Taher"/>
          <w:sz w:val="32"/>
          <w:vertAlign w:val="superscript"/>
          <w:rtl/>
        </w:rPr>
        <w:t>)</w:t>
      </w:r>
      <w:r w:rsidRPr="00EA09EB">
        <w:rPr>
          <w:rFonts w:hint="cs"/>
          <w:rtl/>
        </w:rPr>
        <w:t>. ولن أقبل أيّ منصب يخوِّلني أن أمسك بزمام أمور الدولة</w:t>
      </w:r>
      <w:r w:rsidRPr="00064619">
        <w:rPr>
          <w:rFonts w:cs="Taher"/>
          <w:sz w:val="32"/>
          <w:vertAlign w:val="superscript"/>
          <w:rtl/>
        </w:rPr>
        <w:t>(</w:t>
      </w:r>
      <w:r w:rsidRPr="00064619">
        <w:rPr>
          <w:rStyle w:val="FootnoteReference"/>
          <w:rFonts w:cs="Taher"/>
          <w:sz w:val="32"/>
          <w:rtl/>
        </w:rPr>
        <w:footnoteReference w:id="384"/>
      </w:r>
      <w:r w:rsidRPr="00064619">
        <w:rPr>
          <w:rFonts w:cs="Taher"/>
          <w:sz w:val="32"/>
          <w:vertAlign w:val="superscript"/>
          <w:rtl/>
        </w:rPr>
        <w:t>)</w:t>
      </w:r>
      <w:r w:rsidRPr="00EA09EB">
        <w:rPr>
          <w:rFonts w:hint="cs"/>
          <w:rtl/>
        </w:rPr>
        <w:t>. وكلّ ما أراه صلاحاً سوف أطرحه على الناس. والجمهورية الإسلامية سوف تكون خاضعة لرأي الناس</w:t>
      </w:r>
      <w:r w:rsidRPr="00064619">
        <w:rPr>
          <w:rFonts w:cs="Taher"/>
          <w:sz w:val="32"/>
          <w:vertAlign w:val="superscript"/>
          <w:rtl/>
        </w:rPr>
        <w:t>(</w:t>
      </w:r>
      <w:r w:rsidRPr="00064619">
        <w:rPr>
          <w:rStyle w:val="FootnoteReference"/>
          <w:rFonts w:cs="Taher"/>
          <w:sz w:val="32"/>
          <w:rtl/>
        </w:rPr>
        <w:footnoteReference w:id="385"/>
      </w:r>
      <w:r w:rsidRPr="00064619">
        <w:rPr>
          <w:rFonts w:cs="Taher"/>
          <w:sz w:val="32"/>
          <w:vertAlign w:val="superscript"/>
          <w:rtl/>
        </w:rPr>
        <w:t>)</w:t>
      </w:r>
      <w:r w:rsidRPr="00EA09EB">
        <w:rPr>
          <w:rFonts w:hint="cs"/>
          <w:rtl/>
        </w:rPr>
        <w:t>، وسوف أطرح اسم المرشح لرئاسة الجمهورية على الناس</w:t>
      </w:r>
      <w:r w:rsidRPr="00064619">
        <w:rPr>
          <w:rFonts w:cs="Taher"/>
          <w:sz w:val="32"/>
          <w:vertAlign w:val="superscript"/>
          <w:rtl/>
        </w:rPr>
        <w:t>(</w:t>
      </w:r>
      <w:r w:rsidRPr="00064619">
        <w:rPr>
          <w:rStyle w:val="FootnoteReference"/>
          <w:rFonts w:cs="Taher"/>
          <w:sz w:val="32"/>
          <w:rtl/>
        </w:rPr>
        <w:footnoteReference w:id="386"/>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Pr>
          <w:rFonts w:hint="cs"/>
          <w:rtl/>
          <w:lang w:bidi="ar-LB"/>
        </w:rPr>
        <w:t>لقد قام السيد</w:t>
      </w:r>
      <w:r w:rsidRPr="00A32FC0">
        <w:rPr>
          <w:rFonts w:hint="cs"/>
          <w:rtl/>
          <w:lang w:bidi="ar-LB"/>
        </w:rPr>
        <w:t xml:space="preserve"> الخميني مراراً وتكراراً بالحديث عمّا تضمّنته النقاط التي أوردناها لرسم الخطوط العامّة للجمهوريّة الإسلاميّة أمام الشعب الإيراني والعالَم. وبالعودة إلى الأس</w:t>
      </w:r>
      <w:r>
        <w:rPr>
          <w:rFonts w:hint="cs"/>
          <w:rtl/>
          <w:lang w:bidi="ar-LB"/>
        </w:rPr>
        <w:t>ئلة الدقيقة التي طُرحت على السيد الخميني</w:t>
      </w:r>
      <w:r w:rsidRPr="00A32FC0">
        <w:rPr>
          <w:rFonts w:hint="cs"/>
          <w:rtl/>
          <w:lang w:bidi="ar-LB"/>
        </w:rPr>
        <w:t xml:space="preserve"> فقد كان ـ بحسب الاصطلاح الأصولي ـ </w:t>
      </w:r>
      <w:r w:rsidRPr="00A32FC0">
        <w:rPr>
          <w:rFonts w:hint="cs"/>
          <w:rtl/>
        </w:rPr>
        <w:t>«</w:t>
      </w:r>
      <w:r w:rsidRPr="00A32FC0">
        <w:rPr>
          <w:rFonts w:hint="cs"/>
          <w:rtl/>
          <w:lang w:bidi="ar-LB"/>
        </w:rPr>
        <w:t>في مقام البيان</w:t>
      </w:r>
      <w:r w:rsidRPr="00A32FC0">
        <w:rPr>
          <w:rFonts w:hint="cs"/>
          <w:rtl/>
        </w:rPr>
        <w:t>»</w:t>
      </w:r>
      <w:r>
        <w:rPr>
          <w:rFonts w:hint="cs"/>
          <w:rtl/>
          <w:lang w:bidi="ar-LB"/>
        </w:rPr>
        <w:t>، ومع هذا كلّه فإنّه</w:t>
      </w:r>
      <w:r w:rsidRPr="00A32FC0">
        <w:rPr>
          <w:rFonts w:hint="cs"/>
          <w:rtl/>
          <w:lang w:bidi="ar-LB"/>
        </w:rPr>
        <w:t xml:space="preserve"> لم يُشِرْ في أيٍّ من توضيحاته حول مفهوم الجمهورية الإسلامية إلى ولاية الفقيه، بل اكتفى بالإشارة إلى </w:t>
      </w:r>
      <w:r w:rsidRPr="00A32FC0">
        <w:rPr>
          <w:rFonts w:hint="cs"/>
          <w:rtl/>
        </w:rPr>
        <w:t>«</w:t>
      </w:r>
      <w:r>
        <w:rPr>
          <w:rFonts w:hint="cs"/>
          <w:rtl/>
          <w:lang w:bidi="ar-LB"/>
        </w:rPr>
        <w:t>إشراف</w:t>
      </w:r>
      <w:r w:rsidRPr="00A32FC0">
        <w:rPr>
          <w:rFonts w:hint="cs"/>
          <w:rtl/>
          <w:lang w:bidi="ar-LB"/>
        </w:rPr>
        <w:t xml:space="preserve"> الفقيه</w:t>
      </w:r>
      <w:r w:rsidRPr="00A32FC0">
        <w:rPr>
          <w:rFonts w:hint="cs"/>
          <w:rtl/>
        </w:rPr>
        <w:t>»</w:t>
      </w:r>
      <w:r w:rsidRPr="00A32FC0">
        <w:rPr>
          <w:rFonts w:hint="cs"/>
          <w:rtl/>
          <w:lang w:bidi="ar-LB"/>
        </w:rPr>
        <w:t>. حتى إنَه لم يُشِرْ إلى مضمون ولاية الفقيه. ويمكن أن يكون في النقطة الأولى (وجوب كون المتصدّي للمسؤولية حائزاً شروطاً يحدِّدها الإسلام) إشعارٌ بولاية الفقيه. ومع أنّ أهمية هذه المسألة ت</w:t>
      </w:r>
      <w:r>
        <w:rPr>
          <w:rFonts w:hint="cs"/>
          <w:rtl/>
          <w:lang w:bidi="ar-LB"/>
        </w:rPr>
        <w:t>قتضي التصريح بها فقد صرّح السيد الخميني</w:t>
      </w:r>
      <w:r w:rsidRPr="00A32FC0">
        <w:rPr>
          <w:rFonts w:hint="cs"/>
          <w:rtl/>
          <w:lang w:bidi="ar-LB"/>
        </w:rPr>
        <w:t xml:space="preserve"> في نقطتين من النقاط المذكورة بمسائل لا تنسجم مع ظاهر ولاية الفقيه:</w:t>
      </w:r>
    </w:p>
    <w:p w:rsidR="00EA09EB" w:rsidRPr="00A32FC0" w:rsidRDefault="00EA09EB" w:rsidP="00EA09EB">
      <w:pPr>
        <w:rPr>
          <w:rtl/>
          <w:lang w:bidi="ar-LB"/>
        </w:rPr>
      </w:pPr>
      <w:r w:rsidRPr="00A32FC0">
        <w:rPr>
          <w:rFonts w:hint="cs"/>
          <w:rtl/>
          <w:lang w:bidi="ar-LB"/>
        </w:rPr>
        <w:t xml:space="preserve">أولاها في النقطة الثالثة: </w:t>
      </w:r>
      <w:r w:rsidRPr="00A32FC0">
        <w:rPr>
          <w:rFonts w:hint="cs"/>
          <w:rtl/>
        </w:rPr>
        <w:t>«</w:t>
      </w:r>
      <w:r w:rsidRPr="00A32FC0">
        <w:rPr>
          <w:rFonts w:hint="cs"/>
          <w:rtl/>
          <w:lang w:bidi="ar-LB"/>
        </w:rPr>
        <w:t>الجمهورية بمعنى الجمهورية أينما كان، والجمهورية الإسلامية جمهوريّة كسائر الجمهوريات</w:t>
      </w:r>
      <w:r w:rsidRPr="00A32FC0">
        <w:rPr>
          <w:rFonts w:hint="cs"/>
          <w:rtl/>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 xml:space="preserve">ومن الواضح أن نموذج </w:t>
      </w:r>
      <w:r w:rsidRPr="00A32FC0">
        <w:rPr>
          <w:rFonts w:hint="cs"/>
          <w:rtl/>
        </w:rPr>
        <w:t>«</w:t>
      </w:r>
      <w:r w:rsidRPr="00A32FC0">
        <w:rPr>
          <w:rFonts w:hint="cs"/>
          <w:rtl/>
          <w:lang w:bidi="ar-LB"/>
        </w:rPr>
        <w:t>الولاية الشرعية</w:t>
      </w:r>
      <w:r w:rsidRPr="00A32FC0">
        <w:rPr>
          <w:rFonts w:hint="cs"/>
          <w:rtl/>
        </w:rPr>
        <w:t>»</w:t>
      </w:r>
      <w:r w:rsidRPr="00A32FC0">
        <w:rPr>
          <w:rFonts w:hint="cs"/>
          <w:rtl/>
          <w:lang w:bidi="ar-LB"/>
        </w:rPr>
        <w:t xml:space="preserve"> يختلف عن نموذج الجمهوريّة المتَّبع في سائر أنحاء العالم.</w:t>
      </w:r>
    </w:p>
    <w:p w:rsidR="00EA09EB" w:rsidRPr="00A32FC0" w:rsidRDefault="00EA09EB" w:rsidP="00EA09EB">
      <w:pPr>
        <w:rPr>
          <w:rtl/>
          <w:lang w:bidi="ar-LB"/>
        </w:rPr>
      </w:pPr>
      <w:r w:rsidRPr="00A32FC0">
        <w:rPr>
          <w:rFonts w:hint="cs"/>
          <w:rtl/>
          <w:lang w:bidi="ar-LB"/>
        </w:rPr>
        <w:t>والثانية في النقطة السابعة، حيث حَدَّد وظيفته ووظيفة رجال الدين في الدولة ب</w:t>
      </w:r>
      <w:r>
        <w:rPr>
          <w:rFonts w:hint="cs"/>
          <w:rtl/>
          <w:lang w:bidi="ar-LB"/>
        </w:rPr>
        <w:t>الإشراف</w:t>
      </w:r>
      <w:r w:rsidRPr="00A32FC0">
        <w:rPr>
          <w:rFonts w:hint="cs"/>
          <w:rtl/>
          <w:lang w:bidi="ar-LB"/>
        </w:rPr>
        <w:t xml:space="preserve"> والإرشاد. </w:t>
      </w:r>
    </w:p>
    <w:p w:rsidR="00EA09EB" w:rsidRPr="00A32FC0" w:rsidRDefault="00EA09EB" w:rsidP="00EA09EB">
      <w:pPr>
        <w:rPr>
          <w:rtl/>
          <w:lang w:bidi="ar-LB"/>
        </w:rPr>
      </w:pPr>
      <w:r w:rsidRPr="00A32FC0">
        <w:rPr>
          <w:rFonts w:hint="cs"/>
          <w:rtl/>
          <w:lang w:bidi="ar-LB"/>
        </w:rPr>
        <w:t>ومن الواضح أنّ ال</w:t>
      </w:r>
      <w:r>
        <w:rPr>
          <w:rFonts w:hint="cs"/>
          <w:rtl/>
          <w:lang w:bidi="ar-LB"/>
        </w:rPr>
        <w:t>إشراف</w:t>
      </w:r>
      <w:r w:rsidRPr="00A32FC0">
        <w:rPr>
          <w:rFonts w:hint="cs"/>
          <w:rtl/>
          <w:lang w:bidi="ar-LB"/>
        </w:rPr>
        <w:t xml:space="preserve"> والإرشاد تختلفان عن الولاية. </w:t>
      </w:r>
    </w:p>
    <w:p w:rsidR="00EA09EB" w:rsidRPr="00A32FC0" w:rsidRDefault="00EA09EB" w:rsidP="00EA09EB">
      <w:pPr>
        <w:rPr>
          <w:rtl/>
          <w:lang w:bidi="ar-LB"/>
        </w:rPr>
      </w:pPr>
      <w:r>
        <w:rPr>
          <w:rFonts w:hint="cs"/>
          <w:rtl/>
          <w:lang w:bidi="ar-LB"/>
        </w:rPr>
        <w:t>لماذا لم يُشِرْ السيد</w:t>
      </w:r>
      <w:r w:rsidRPr="00A32FC0">
        <w:rPr>
          <w:rFonts w:hint="cs"/>
          <w:rtl/>
          <w:lang w:bidi="ar-LB"/>
        </w:rPr>
        <w:t xml:space="preserve"> الخميني</w:t>
      </w:r>
      <w:r>
        <w:rPr>
          <w:rFonts w:hint="cs"/>
          <w:rtl/>
          <w:lang w:bidi="ar-LB"/>
        </w:rPr>
        <w:t>،</w:t>
      </w:r>
      <w:r w:rsidRPr="00A32FC0">
        <w:rPr>
          <w:rFonts w:hint="cs"/>
          <w:rtl/>
          <w:lang w:bidi="ar-LB"/>
        </w:rPr>
        <w:t xml:space="preserve"> ولو لمرّة واحدة، إلى ولاية الفقيه طوال فترة الانتفاضة الإسلاميّة في إيران؟ </w:t>
      </w:r>
    </w:p>
    <w:p w:rsidR="00EA09EB" w:rsidRPr="00A32FC0" w:rsidRDefault="00EA09EB" w:rsidP="00EA09EB">
      <w:pPr>
        <w:rPr>
          <w:rtl/>
          <w:lang w:bidi="ar-LB"/>
        </w:rPr>
      </w:pPr>
      <w:r w:rsidRPr="00A32FC0">
        <w:rPr>
          <w:rFonts w:hint="cs"/>
          <w:rtl/>
          <w:lang w:bidi="ar-LB"/>
        </w:rPr>
        <w:t>وبملاحظة أن</w:t>
      </w:r>
      <w:r>
        <w:rPr>
          <w:rFonts w:hint="cs"/>
          <w:rtl/>
          <w:lang w:bidi="ar-LB"/>
        </w:rPr>
        <w:t>ه</w:t>
      </w:r>
      <w:r w:rsidRPr="00A32FC0">
        <w:rPr>
          <w:rFonts w:hint="cs"/>
          <w:rtl/>
          <w:lang w:bidi="ar-LB"/>
        </w:rPr>
        <w:t xml:space="preserve"> كان يعتقد منذ سنة 1348</w:t>
      </w:r>
      <w:r>
        <w:rPr>
          <w:rFonts w:hint="cs"/>
          <w:rtl/>
          <w:lang w:bidi="ar-LB"/>
        </w:rPr>
        <w:t>هـ.ش / 1969 م</w:t>
      </w:r>
      <w:r w:rsidRPr="00A32FC0">
        <w:rPr>
          <w:rFonts w:hint="cs"/>
          <w:rtl/>
          <w:lang w:bidi="ar-LB"/>
        </w:rPr>
        <w:t xml:space="preserve"> أن الحكومة الإسلامية مبتنية على ولاية الفقيه فإنّه يمكن طرح جوابين عن هذا السؤال:</w:t>
      </w:r>
    </w:p>
    <w:p w:rsidR="00EA09EB" w:rsidRPr="00EA09EB" w:rsidRDefault="00EA09EB" w:rsidP="000E5EF9">
      <w:pPr>
        <w:pStyle w:val="Normal87"/>
        <w:rPr>
          <w:rtl/>
        </w:rPr>
      </w:pPr>
      <w:r w:rsidRPr="007A340E">
        <w:rPr>
          <w:rFonts w:hint="cs"/>
          <w:b/>
          <w:bCs/>
          <w:rtl/>
        </w:rPr>
        <w:t>الأوّل</w:t>
      </w:r>
      <w:r w:rsidRPr="00EA09EB">
        <w:rPr>
          <w:rFonts w:hint="cs"/>
          <w:rtl/>
        </w:rPr>
        <w:t>: كان السيد الخميني يرى بأن الناس غير مهيَّئين لتقبُّل فكرة ولاية الفقيه. وربما يكون طرح هذه الفكرة في غير وقتها سبباً لابتعاد الناس عن النهضة والحكومة الإسلامية. ومن هنا فإن طرح الجمهورية الإسلامية كان مبنيّاً على هذه الرؤية. يتمتع الفقيه في الحكومة الإسلامية بـ «الولاية»، والحال أنه في الجمهورية الإسلامية يتمتع بـ «الإشراف». لقد كانت إشراف الفقيه قد طرحت في الدستور الإيراني في زمن المشروطة. وقد جوّز الشيخ النائيني قيام الحكومة المشروطة بإذن وإشراف الفقهاء، مع أنه كان من القائلين بالولاية العامّة للفقيه</w:t>
      </w:r>
      <w:r w:rsidRPr="00064619">
        <w:rPr>
          <w:rFonts w:cs="Taher"/>
          <w:sz w:val="32"/>
          <w:vertAlign w:val="superscript"/>
          <w:rtl/>
        </w:rPr>
        <w:t>(</w:t>
      </w:r>
      <w:r w:rsidRPr="00064619">
        <w:rPr>
          <w:rStyle w:val="FootnoteReference"/>
          <w:rFonts w:cs="Taher"/>
          <w:sz w:val="32"/>
          <w:rtl/>
        </w:rPr>
        <w:footnoteReference w:id="387"/>
      </w:r>
      <w:r w:rsidRPr="00064619">
        <w:rPr>
          <w:rFonts w:cs="Taher"/>
          <w:sz w:val="32"/>
          <w:vertAlign w:val="superscript"/>
          <w:rtl/>
        </w:rPr>
        <w:t>)</w:t>
      </w:r>
      <w:r w:rsidRPr="00EA09EB">
        <w:rPr>
          <w:rFonts w:hint="cs"/>
          <w:rtl/>
        </w:rPr>
        <w:t>؛ والسبب في ذلك يرجع إلى أنه كان يرى أن المجتمع غير مهيّأ لتقبّل فكرة ولاية الفقيه. ولهذا السبب أيضاً جوّز السيد الخميني الحكومة المشروطة في كتابه «كشف الأسرار»</w:t>
      </w:r>
      <w:r w:rsidRPr="00064619">
        <w:rPr>
          <w:rFonts w:cs="Taher"/>
          <w:sz w:val="32"/>
          <w:vertAlign w:val="superscript"/>
          <w:rtl/>
        </w:rPr>
        <w:t>(</w:t>
      </w:r>
      <w:r w:rsidRPr="00064619">
        <w:rPr>
          <w:rStyle w:val="FootnoteReference"/>
          <w:rFonts w:cs="Taher"/>
          <w:sz w:val="32"/>
          <w:rtl/>
        </w:rPr>
        <w:footnoteReference w:id="388"/>
      </w:r>
      <w:r w:rsidRPr="00064619">
        <w:rPr>
          <w:rFonts w:cs="Taher"/>
          <w:sz w:val="32"/>
          <w:vertAlign w:val="superscript"/>
          <w:rtl/>
        </w:rPr>
        <w:t>)</w:t>
      </w:r>
      <w:r w:rsidRPr="00EA09EB">
        <w:rPr>
          <w:rFonts w:hint="cs"/>
          <w:rtl/>
        </w:rPr>
        <w:t>. ومع أنّه كان يقول ـ من الناحية النظرية ـ بالولاية التعيينيّة العامّة للفقيه، إلا أنه جوّز في تلك المرحلة القول بالجمهورية الإسلامية القائمة على إشراف الفقيه؛ وذلك لأن الإعلان المبكِّر عن ولاية الفقيه كان يحتمل أن يؤثِّر على وحدة الشعب خلال الثورة، ويؤدي ذلك بالتالي إلى خَلَل في مسار الثورة. وعلى هذا فإنّ وجهة نظر السيد الخميني الواقعيّة في تلك الفترة كانت «الجمهورية الإسلاميّة القائمة على إشراف الفقيه»، ولم يكن يرى أنّ طرح ولاية الفقيه في تلك المرحلة أمرٌ عمليٌّ. ولذلك نرى أن جميع كلماته التي استعملها للتعبير عن الجمهورية الإسلامية كانت حقيقيّة، وبعيدة عن أيّ مجاز وتقيّة، ومجاملة وتورية. وهذا ما فهمه الناس من خلال بيانات وحوارات السيد الخميني.</w:t>
      </w:r>
    </w:p>
    <w:p w:rsidR="00EA09EB" w:rsidRPr="00EA09EB" w:rsidRDefault="00EA09EB" w:rsidP="007A340E">
      <w:pPr>
        <w:ind w:firstLine="283"/>
        <w:rPr>
          <w:rtl/>
        </w:rPr>
      </w:pPr>
      <w:r w:rsidRPr="007A340E">
        <w:rPr>
          <w:rFonts w:hint="cs"/>
          <w:b/>
          <w:bCs/>
          <w:rtl/>
        </w:rPr>
        <w:t>الثاني</w:t>
      </w:r>
      <w:r w:rsidRPr="00EA09EB">
        <w:rPr>
          <w:rFonts w:hint="cs"/>
          <w:rtl/>
        </w:rPr>
        <w:t>: إن السيد الخميني كان منذ البداية، وطوال فترة حياته السياسيّة، من القائلين بولاية الفقيه، سواءٌ في قمّ، من خلال كتاب «كشف الأسرار»، أم في النجف من خلال كتاب «البيع»، أم في باريس من خلال الحوارات المنشورة في صحيفة النور. ولكنّ إعلانه لنظريته كان متوقِّفاً على الظروف الزمانيّة والمكانيّة. ولذلك فإنه عندما كان يرى أن الظروف غير مؤاتية لتقبّل الناس لهذه النظرية كان يؤجِّل ذلك إلى ظروف أخرى مناسبة. وعلى هذا الأساس فإن رؤية السيد الخميني الواقعية في باريس كانت ولاية الفقيه، بلا زيادة أو نقصان. وكان ينتظر عودته إلى إيران ليعلن نظرية ولاية الفقيه بشكل رسميّ. ولذلك علينا أن نَحمِل جميع كلماته التي كانت متناقضة ظاهراً مع فكرة ولاية الفقيه على «التقيّة» أو «التورية»، وهي أمر جائزٌ شرعاً، وقد يصبح واجباً في بعض الأحيان. ويمكن أن تكون تقيّة السيد الخميني نوعاً من «تقيّة الخوف»، أو «تقيّة المداراة»، الخوف من إدبار الناس عن نصرة دين الله، ومداراةً لهم لتمهيد الأرضية المناسبة لكي يعيشوا في كنف الإسلام، ويتهيّأوا لتقبّل طرح ولاية الفقيه. وهاهنا يكبر احتمال تقيّة المداراة. ومن الجدير الإشارة إلى أنه علينا الرجوع إلى الكتب الفقهية والفتوائية؛ لمعرفة الآراء الدقيقة والصحيحة للفقيه، لا أن نرجع إلى الخطب والحوارات العامّة. فالمتشابه من هذه الخطب والحوارات لابدّ أن نُرجِعَه إلى المحكم من الكتب الفقهيّة والفتوائيّة.</w:t>
      </w:r>
    </w:p>
    <w:p w:rsidR="00EA09EB" w:rsidRPr="00A32FC0" w:rsidRDefault="00EA09EB" w:rsidP="00EA09EB">
      <w:pPr>
        <w:rPr>
          <w:rtl/>
          <w:lang w:bidi="ar-LB"/>
        </w:rPr>
      </w:pPr>
      <w:r w:rsidRPr="00A32FC0">
        <w:rPr>
          <w:rFonts w:hint="cs"/>
          <w:rtl/>
          <w:lang w:bidi="ar-LB"/>
        </w:rPr>
        <w:t>إنّ الاعتقاد بصحة أيٍّ من الجوابين سواءٌ عندنا. فالشعب الإيراني الواعي</w:t>
      </w:r>
      <w:r>
        <w:rPr>
          <w:rFonts w:hint="cs"/>
          <w:rtl/>
          <w:lang w:bidi="ar-LB"/>
        </w:rPr>
        <w:t xml:space="preserve"> والمتبصِّر قد تقبَّل طرح السيد</w:t>
      </w:r>
      <w:r w:rsidRPr="00A32FC0">
        <w:rPr>
          <w:rFonts w:hint="cs"/>
          <w:rtl/>
          <w:lang w:bidi="ar-LB"/>
        </w:rPr>
        <w:t xml:space="preserve"> الخميني للجمهورية الإسلامية بكل حبّ ورحابة صدرٍ. فقد كان لشخص</w:t>
      </w:r>
      <w:r>
        <w:rPr>
          <w:rFonts w:hint="cs"/>
          <w:rtl/>
          <w:lang w:bidi="ar-LB"/>
        </w:rPr>
        <w:t>ه</w:t>
      </w:r>
      <w:r w:rsidRPr="00A32FC0">
        <w:rPr>
          <w:rFonts w:hint="cs"/>
          <w:rtl/>
          <w:lang w:bidi="ar-LB"/>
        </w:rPr>
        <w:t xml:space="preserve"> دور كبير في تقبّل الناس لفكرة الجمهورية الإسلامية.</w:t>
      </w:r>
    </w:p>
    <w:p w:rsidR="00EA09EB" w:rsidRPr="00EA09EB" w:rsidRDefault="00EA09EB" w:rsidP="007A340E">
      <w:pPr>
        <w:ind w:firstLine="283"/>
        <w:rPr>
          <w:rtl/>
        </w:rPr>
      </w:pPr>
      <w:r w:rsidRPr="00EA09EB">
        <w:rPr>
          <w:rFonts w:hint="cs"/>
          <w:rtl/>
        </w:rPr>
        <w:t>كما أننا لم نلاحظ ورود أيّ عبارة تشير إلى ولاية الفقيه في كلمات السيد الخميني. وكذلك لم نلاحظ هذا الأمر في بيانات مراجع التقليد</w:t>
      </w:r>
      <w:r w:rsidRPr="00064619">
        <w:rPr>
          <w:rFonts w:cs="Taher"/>
          <w:sz w:val="32"/>
          <w:vertAlign w:val="superscript"/>
          <w:rtl/>
          <w:lang w:bidi="ar-LB"/>
        </w:rPr>
        <w:t>(</w:t>
      </w:r>
      <w:r w:rsidRPr="00064619">
        <w:rPr>
          <w:rStyle w:val="FootnoteReference"/>
          <w:rFonts w:cs="Taher"/>
          <w:sz w:val="32"/>
          <w:rtl/>
          <w:lang w:bidi="ar-LB"/>
        </w:rPr>
        <w:footnoteReference w:id="389"/>
      </w:r>
      <w:r w:rsidRPr="00064619">
        <w:rPr>
          <w:rFonts w:cs="Taher"/>
          <w:sz w:val="32"/>
          <w:vertAlign w:val="superscript"/>
          <w:rtl/>
          <w:lang w:bidi="ar-LB"/>
        </w:rPr>
        <w:t>)</w:t>
      </w:r>
      <w:r w:rsidRPr="00EA09EB">
        <w:rPr>
          <w:rFonts w:hint="cs"/>
          <w:rtl/>
        </w:rPr>
        <w:t xml:space="preserve"> والعلماء الكبار</w:t>
      </w:r>
      <w:r w:rsidRPr="00064619">
        <w:rPr>
          <w:rFonts w:cs="Taher"/>
          <w:sz w:val="32"/>
          <w:vertAlign w:val="superscript"/>
          <w:rtl/>
          <w:lang w:bidi="ar-LB"/>
        </w:rPr>
        <w:t>(</w:t>
      </w:r>
      <w:r w:rsidRPr="00064619">
        <w:rPr>
          <w:rStyle w:val="FootnoteReference"/>
          <w:rFonts w:cs="Taher"/>
          <w:sz w:val="32"/>
          <w:rtl/>
          <w:lang w:bidi="ar-LB"/>
        </w:rPr>
        <w:footnoteReference w:id="390"/>
      </w:r>
      <w:r w:rsidRPr="00064619">
        <w:rPr>
          <w:rFonts w:cs="Taher"/>
          <w:sz w:val="32"/>
          <w:vertAlign w:val="superscript"/>
          <w:rtl/>
          <w:lang w:bidi="ar-LB"/>
        </w:rPr>
        <w:t>)</w:t>
      </w:r>
      <w:r w:rsidRPr="00EA09EB">
        <w:rPr>
          <w:rFonts w:hint="cs"/>
          <w:rtl/>
        </w:rPr>
        <w:t>، الذين كان لهم دورٌ كبيرٌ في إرشاد الناس إلى الثورة الإسلاميّة وانتصارها. وأما بالنسبة إلى البيانات التي كانت تصدر عن المظاهرات الشعبيّة فإنها وإنْ كانت تتضمن تعابير تصف السيد الخميني بأنه المرجع، والزعيم، وقائد الثورة، ونائب الإمام...، إلاّ أنها لم تتضمَّن عبارة ولاية الفقيه، ولو مرّةً واحدة.</w:t>
      </w:r>
    </w:p>
    <w:p w:rsidR="00EA09EB" w:rsidRPr="00A32FC0" w:rsidRDefault="00EA09EB" w:rsidP="00EA09EB">
      <w:pPr>
        <w:rPr>
          <w:rtl/>
          <w:lang w:bidi="ar-LB"/>
        </w:rPr>
      </w:pPr>
      <w:r w:rsidRPr="00A32FC0">
        <w:rPr>
          <w:rFonts w:hint="cs"/>
          <w:rtl/>
          <w:lang w:bidi="ar-LB"/>
        </w:rPr>
        <w:t xml:space="preserve">وهذا هو حال الشعارات العفويّة التي كان يطلقها المتظاهرون، والتي تعكس هواجس الشعب الإيراني وتطلُّعاته. فعلى الرغم من تصريحهم بالبعد الإسلامي للثورة، من خلال شعارات </w:t>
      </w:r>
      <w:r w:rsidRPr="00A32FC0">
        <w:rPr>
          <w:rFonts w:hint="cs"/>
          <w:rtl/>
        </w:rPr>
        <w:t>«</w:t>
      </w:r>
      <w:r w:rsidRPr="00A32FC0">
        <w:rPr>
          <w:rFonts w:hint="cs"/>
          <w:rtl/>
          <w:lang w:bidi="ar-LB"/>
        </w:rPr>
        <w:t>الاستقلال، الحرية، جمهورية إسلامية</w:t>
      </w:r>
      <w:r w:rsidRPr="00A32FC0">
        <w:rPr>
          <w:rFonts w:hint="cs"/>
          <w:rtl/>
        </w:rPr>
        <w:t>»</w:t>
      </w:r>
      <w:r w:rsidRPr="00A32FC0">
        <w:rPr>
          <w:rFonts w:hint="cs"/>
          <w:rtl/>
          <w:lang w:bidi="ar-LB"/>
        </w:rPr>
        <w:t>، وقيادة</w:t>
      </w:r>
      <w:r>
        <w:rPr>
          <w:rFonts w:hint="cs"/>
          <w:rtl/>
          <w:lang w:bidi="ar-LB"/>
        </w:rPr>
        <w:t xml:space="preserve"> السيد</w:t>
      </w:r>
      <w:r w:rsidRPr="00A32FC0">
        <w:rPr>
          <w:rFonts w:hint="cs"/>
          <w:rtl/>
          <w:lang w:bidi="ar-LB"/>
        </w:rPr>
        <w:t xml:space="preserve"> الخميني، لم تطرح ولاية الفقيه في تلك الشعارات أبداً.</w:t>
      </w:r>
    </w:p>
    <w:p w:rsidR="00EA09EB" w:rsidRPr="00A32FC0" w:rsidRDefault="00EA09EB" w:rsidP="00EA09EB">
      <w:pPr>
        <w:rPr>
          <w:rtl/>
          <w:lang w:bidi="ar-LB"/>
        </w:rPr>
      </w:pPr>
      <w:r w:rsidRPr="00EA09EB">
        <w:rPr>
          <w:rFonts w:hint="cs"/>
          <w:rtl/>
        </w:rPr>
        <w:t>4</w:t>
      </w:r>
      <w:r w:rsidRPr="00EA09EB">
        <w:rPr>
          <w:rtl/>
        </w:rPr>
        <w:t>ـ</w:t>
      </w:r>
      <w:r w:rsidRPr="00EA09EB">
        <w:rPr>
          <w:rFonts w:hint="cs"/>
          <w:rtl/>
        </w:rPr>
        <w:t xml:space="preserve"> في 22 دي 1357هـ.ش </w:t>
      </w:r>
      <w:r>
        <w:rPr>
          <w:rFonts w:hint="cs"/>
          <w:rtl/>
        </w:rPr>
        <w:t>/ 1978 م</w:t>
      </w:r>
      <w:r w:rsidRPr="00EA09EB">
        <w:rPr>
          <w:rFonts w:hint="cs"/>
          <w:rtl/>
        </w:rPr>
        <w:t xml:space="preserve"> أعلن السيد الخميني: «بموجب الحقّ الشرعي، وعلى أساس تأييد الأكثرية الساحقة من الشعب الإيرانيّ، الذي أبرزوه لي، ولأجل تحقيق الأهداف الإسلامية لهذا الشعب، تمّ تعيين مجلس باسم شورى الثورة الإسلاميّة، بشكل مؤقَّت، مؤلَّف من أفراد مسلمين، يتمتَّعون بالصلاح والالتزام ومحلّ ثقة. وسوف يبدأ هذا المجلس بأعماله»</w:t>
      </w:r>
      <w:r w:rsidRPr="00064619">
        <w:rPr>
          <w:rFonts w:cs="Taher"/>
          <w:vertAlign w:val="superscript"/>
          <w:rtl/>
        </w:rPr>
        <w:t>(</w:t>
      </w:r>
      <w:r w:rsidRPr="00064619">
        <w:rPr>
          <w:rStyle w:val="FootnoteReference"/>
          <w:rFonts w:cs="Taher"/>
          <w:sz w:val="32"/>
          <w:rtl/>
        </w:rPr>
        <w:footnoteReference w:id="391"/>
      </w:r>
      <w:r w:rsidRPr="00064619">
        <w:rPr>
          <w:rFonts w:cs="Taher"/>
          <w:vertAlign w:val="superscript"/>
          <w:rtl/>
        </w:rPr>
        <w:t>)</w:t>
      </w:r>
      <w:r w:rsidRPr="00A32FC0">
        <w:rPr>
          <w:rFonts w:hint="cs"/>
          <w:rtl/>
          <w:lang w:bidi="ar-LB"/>
        </w:rPr>
        <w:t xml:space="preserve">. </w:t>
      </w:r>
    </w:p>
    <w:p w:rsidR="00EA09EB" w:rsidRPr="00A32FC0" w:rsidRDefault="00EA09EB" w:rsidP="000E5EF9">
      <w:pPr>
        <w:pStyle w:val="Normal87"/>
        <w:rPr>
          <w:rtl/>
        </w:rPr>
      </w:pPr>
      <w:r w:rsidRPr="00A32FC0">
        <w:rPr>
          <w:rFonts w:hint="cs"/>
          <w:rtl/>
        </w:rPr>
        <w:t xml:space="preserve">وفي لحظة وصوله إلى إيران، وفي مقبرة جنّة الزهراء، قام </w:t>
      </w:r>
      <w:r>
        <w:rPr>
          <w:rFonts w:hint="cs"/>
          <w:rtl/>
        </w:rPr>
        <w:t xml:space="preserve">السيد </w:t>
      </w:r>
      <w:r w:rsidRPr="00A32FC0">
        <w:rPr>
          <w:rFonts w:hint="cs"/>
          <w:rtl/>
        </w:rPr>
        <w:t>الخميني، في خطبة تاريخية، وفي سياق كلامه على حقّ الشعوب في تقرير مصيرها، بإعلان: «أنا مَن يُعيِّن الدولة، أنا بدعم هذا الشعب أُعَيِّن الدولة»</w:t>
      </w:r>
      <w:r w:rsidRPr="00064619">
        <w:rPr>
          <w:rFonts w:cs="Taher"/>
          <w:vertAlign w:val="superscript"/>
          <w:rtl/>
        </w:rPr>
        <w:t>(</w:t>
      </w:r>
      <w:r w:rsidRPr="00064619">
        <w:rPr>
          <w:rStyle w:val="FootnoteReference"/>
          <w:rFonts w:cs="Taher"/>
          <w:sz w:val="32"/>
          <w:rtl/>
        </w:rPr>
        <w:footnoteReference w:id="392"/>
      </w:r>
      <w:r w:rsidRPr="00064619">
        <w:rPr>
          <w:rFonts w:cs="Taher"/>
          <w:vertAlign w:val="superscript"/>
          <w:rtl/>
        </w:rPr>
        <w:t>)</w:t>
      </w:r>
      <w:r w:rsidRPr="00A32FC0">
        <w:rPr>
          <w:rFonts w:hint="cs"/>
          <w:rtl/>
        </w:rPr>
        <w:t>.</w:t>
      </w:r>
    </w:p>
    <w:p w:rsidR="00EA09EB" w:rsidRPr="00A32FC0" w:rsidRDefault="00EA09EB" w:rsidP="000E5EF9">
      <w:pPr>
        <w:pStyle w:val="Normal87"/>
        <w:rPr>
          <w:rtl/>
        </w:rPr>
      </w:pPr>
      <w:r>
        <w:rPr>
          <w:rFonts w:hint="cs"/>
          <w:rtl/>
        </w:rPr>
        <w:t>وفي 15 بهمن 1357هـ.</w:t>
      </w:r>
      <w:r w:rsidRPr="00A32FC0">
        <w:rPr>
          <w:rFonts w:hint="cs"/>
          <w:rtl/>
        </w:rPr>
        <w:t>ش</w:t>
      </w:r>
      <w:r>
        <w:rPr>
          <w:rFonts w:hint="cs"/>
          <w:rtl/>
        </w:rPr>
        <w:t xml:space="preserve"> / 1978 م</w:t>
      </w:r>
      <w:r w:rsidRPr="00EA09EB">
        <w:rPr>
          <w:rFonts w:hint="cs"/>
          <w:rtl/>
        </w:rPr>
        <w:t xml:space="preserve"> قام السيد الخميني بتكليف أحد الشخصيات البارزة، وهو مهدي بازرگان بتشكيل حكومة مؤقَّتة: «استناداً إلى الرأي العام الذي تشهدونه، وشهدتموه، والذي اختارنا ممثِّلاً عنه، أو قائداً له، نعتزم تعيين حكومة... وقد عينته حاكماً استناداً إلى الولاية التي خوّلني إيّاها الشارع المقدس، لذلك فالحكومة شرعيّة، وعلى الشعب امتثال أوامرها، فمخالفة هذه الحكومة مخالفة للشرع... والقيام ضد الحكومة الإلهيّة قيام ضدّ الله، والقيام ضدّ الله كفرٌ»</w:t>
      </w:r>
      <w:r w:rsidRPr="00064619">
        <w:rPr>
          <w:rFonts w:cs="Taher"/>
          <w:vertAlign w:val="superscript"/>
          <w:rtl/>
        </w:rPr>
        <w:t>(</w:t>
      </w:r>
      <w:r w:rsidRPr="00064619">
        <w:rPr>
          <w:rStyle w:val="FootnoteReference"/>
          <w:rFonts w:cs="Taher"/>
          <w:sz w:val="32"/>
          <w:rtl/>
        </w:rPr>
        <w:footnoteReference w:id="393"/>
      </w:r>
      <w:r w:rsidRPr="00064619">
        <w:rPr>
          <w:rFonts w:cs="Taher"/>
          <w:vertAlign w:val="superscript"/>
          <w:rtl/>
        </w:rPr>
        <w:t>)</w:t>
      </w:r>
      <w:r w:rsidRPr="00A32FC0">
        <w:rPr>
          <w:rFonts w:hint="cs"/>
          <w:rtl/>
        </w:rPr>
        <w:t>.</w:t>
      </w:r>
    </w:p>
    <w:p w:rsidR="00EA09EB" w:rsidRPr="00A32FC0" w:rsidRDefault="00EA09EB" w:rsidP="000E5EF9">
      <w:pPr>
        <w:pStyle w:val="Normal87"/>
        <w:rPr>
          <w:rtl/>
        </w:rPr>
      </w:pPr>
      <w:r w:rsidRPr="00A32FC0">
        <w:rPr>
          <w:rFonts w:hint="cs"/>
          <w:rtl/>
        </w:rPr>
        <w:t xml:space="preserve">وجاء في حكم تعيين أوّل رئيس وزراء في الثورة الإسلامية: «حضرة المهندس مهدي بازرگان، بناءً على اقتراح مجلس الثورة، وعلى أساس الحقّ الشرعيّ والقانونيّ الناتج عن تأييد الغالبيّة الساحقة من الشعب الإيرانيّ لقيام هذه النهضة، والذي تجلّى من خلال التجمُّعات الكبرى والمظاهرات الواسعة في أنحاء البلاد، وانطلاقاً من ثقتي بإيمانك الراسخ بالعقيدة الإسلامية، ومعرفتي بممارساتك الجهاديّة </w:t>
      </w:r>
      <w:r w:rsidRPr="00093AAA">
        <w:rPr>
          <w:rFonts w:hint="cs"/>
          <w:rtl/>
        </w:rPr>
        <w:t>الإسلاميّة والوطنيّة</w:t>
      </w:r>
      <w:r w:rsidRPr="00A32FC0">
        <w:rPr>
          <w:rFonts w:hint="cs"/>
          <w:rtl/>
        </w:rPr>
        <w:t>، وبغضّ النظر عن ارتباطك التنظيميّ والحزبيّ، أكلِّفك بتشكيل حكومة مؤقَّتة...»</w:t>
      </w:r>
      <w:r w:rsidRPr="00064619">
        <w:rPr>
          <w:rFonts w:cs="Taher"/>
          <w:vertAlign w:val="superscript"/>
          <w:rtl/>
        </w:rPr>
        <w:t>(</w:t>
      </w:r>
      <w:r w:rsidRPr="00064619">
        <w:rPr>
          <w:rStyle w:val="FootnoteReference"/>
          <w:rFonts w:cs="Taher"/>
          <w:sz w:val="32"/>
          <w:rtl/>
        </w:rPr>
        <w:footnoteReference w:id="394"/>
      </w:r>
      <w:r w:rsidRPr="00064619">
        <w:rPr>
          <w:rFonts w:cs="Taher"/>
          <w:vertAlign w:val="superscript"/>
          <w:rtl/>
        </w:rPr>
        <w:t>)</w:t>
      </w:r>
      <w:r w:rsidRPr="00A32FC0">
        <w:rPr>
          <w:rFonts w:hint="cs"/>
          <w:rtl/>
        </w:rPr>
        <w:t>.</w:t>
      </w:r>
    </w:p>
    <w:p w:rsidR="00EA09EB" w:rsidRPr="00EA09EB" w:rsidRDefault="00EA09EB" w:rsidP="000E5EF9">
      <w:pPr>
        <w:pStyle w:val="Normal87"/>
        <w:rPr>
          <w:rtl/>
        </w:rPr>
      </w:pPr>
      <w:r>
        <w:rPr>
          <w:rFonts w:hint="cs"/>
          <w:rtl/>
        </w:rPr>
        <w:t>كما أشار السيد</w:t>
      </w:r>
      <w:r w:rsidRPr="00A32FC0">
        <w:rPr>
          <w:rFonts w:hint="cs"/>
          <w:rtl/>
        </w:rPr>
        <w:t xml:space="preserve"> الخميني إلى نقاط أخرى تبرز موقعيّته، فقال: «على الشعب الإيراني أن يعلن موقفه من حكومة المهندس بازرگان، والتي تعتبر حكومة شرعيّة إسلامية»</w:t>
      </w:r>
      <w:r w:rsidRPr="00064619">
        <w:rPr>
          <w:rFonts w:cs="Taher"/>
          <w:vertAlign w:val="superscript"/>
          <w:rtl/>
        </w:rPr>
        <w:t>(</w:t>
      </w:r>
      <w:r w:rsidRPr="00064619">
        <w:rPr>
          <w:rStyle w:val="FootnoteReference"/>
          <w:rFonts w:cs="Taher"/>
          <w:sz w:val="32"/>
          <w:rtl/>
        </w:rPr>
        <w:footnoteReference w:id="395"/>
      </w:r>
      <w:r w:rsidRPr="00064619">
        <w:rPr>
          <w:rFonts w:cs="Taher"/>
          <w:vertAlign w:val="superscript"/>
          <w:rtl/>
        </w:rPr>
        <w:t>)</w:t>
      </w:r>
      <w:r w:rsidRPr="00EA09EB">
        <w:rPr>
          <w:rFonts w:hint="cs"/>
          <w:rtl/>
        </w:rPr>
        <w:t>، «لقد عيَّنّا رئيساً للوزراء بما لنا من ولاية شرعيّة، وولاية عامّة»</w:t>
      </w:r>
      <w:r w:rsidRPr="00064619">
        <w:rPr>
          <w:rFonts w:cs="Taher"/>
          <w:vertAlign w:val="superscript"/>
          <w:rtl/>
        </w:rPr>
        <w:t>(</w:t>
      </w:r>
      <w:r w:rsidRPr="00064619">
        <w:rPr>
          <w:rStyle w:val="FootnoteReference"/>
          <w:rFonts w:cs="Taher"/>
          <w:sz w:val="32"/>
          <w:rtl/>
        </w:rPr>
        <w:footnoteReference w:id="396"/>
      </w:r>
      <w:r w:rsidRPr="00064619">
        <w:rPr>
          <w:rFonts w:cs="Taher"/>
          <w:vertAlign w:val="superscript"/>
          <w:rtl/>
        </w:rPr>
        <w:t>)</w:t>
      </w:r>
      <w:r w:rsidRPr="00EA09EB">
        <w:rPr>
          <w:rFonts w:hint="cs"/>
          <w:rtl/>
        </w:rPr>
        <w:t>، «لقد قمنا بتعيين الحكومة، وذلك بما لنا من حقّ قانونيّ وحقّ شرعيّ، ونحن بما لنا من حقّ قانونيّ وحقّ شرعيّ، ونحن بما لنا من ولاية شرعية، وطبقاً لآراء الشعب الذي خوّلنا، قمنا بتكليف المهندس بازرگان بتشكيل الحكومة... هذه الحكومة التي تمّ تعيينها بولاية شرعية، والتي هي حكومة شرعية، ليست حكومة قانونية فحسب، بل هي حكومة شرعية يجب اتّباعها، فيجب على كلّ فرد اتّباع هذه الحكومة، وذلك نظير مالك الأشتر، الذي عيّنه الإمام علي</w:t>
      </w:r>
      <w:r>
        <w:rPr>
          <w:rFonts w:hint="cs"/>
          <w:rtl/>
        </w:rPr>
        <w:t>×</w:t>
      </w:r>
      <w:r w:rsidRPr="00EA09EB">
        <w:rPr>
          <w:rFonts w:hint="cs"/>
          <w:rtl/>
        </w:rPr>
        <w:t xml:space="preserve"> والياً، فقد كان حاكماً واجب الاتّباع، أي كان حاكماً إلهيّاً وشرعيّاً، ونحن أيضاً قد أعطيناه [بازرگان] حكومة شرعيّة...»</w:t>
      </w:r>
      <w:r w:rsidRPr="00064619">
        <w:rPr>
          <w:rFonts w:cs="Taher"/>
          <w:vertAlign w:val="superscript"/>
          <w:rtl/>
        </w:rPr>
        <w:t>(</w:t>
      </w:r>
      <w:r w:rsidRPr="00064619">
        <w:rPr>
          <w:rStyle w:val="FootnoteReference"/>
          <w:rFonts w:cs="Taher"/>
          <w:sz w:val="32"/>
          <w:rtl/>
        </w:rPr>
        <w:footnoteReference w:id="397"/>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وتعتبر هذه الموارد المذكورة </w:t>
      </w:r>
      <w:r>
        <w:rPr>
          <w:rFonts w:hint="cs"/>
          <w:rtl/>
          <w:lang w:bidi="ar-LB"/>
        </w:rPr>
        <w:t>أوّل التصرُّفات الولائيّة للسيد</w:t>
      </w:r>
      <w:r w:rsidRPr="00A32FC0">
        <w:rPr>
          <w:rFonts w:hint="cs"/>
          <w:rtl/>
          <w:lang w:bidi="ar-LB"/>
        </w:rPr>
        <w:t xml:space="preserve"> الخمينيّ في تاريخ الثورة الإسلاميّة، حيث كان ما زال يرتكز في هذه الإجراءات على رأي الشعب. وبصفته ممثِّلاً لسلطة الشعب كان له الحقّ في تعيين المسؤولين وتسميتهم لإدارة البلد بشكل مؤقَّت، وذلك كسائر زعماء الثورات في العالم. ومن الناحية الشرعية فإن الأمور العامّة في أوائل الثورة تُعَدّ من ضمن الأمور الحسبيّة المُهمَلة التي يجب على الفقيه العادل أن يتصدّى لها. وتصدّيه لهذه الأمور على أساس نظرية الولاية العامّة للفقيه أمرٌ واضحٌ جداً.</w:t>
      </w:r>
    </w:p>
    <w:p w:rsidR="00EA09EB" w:rsidRPr="00A32FC0" w:rsidRDefault="00EA09EB" w:rsidP="00EA09EB">
      <w:pPr>
        <w:rPr>
          <w:rtl/>
          <w:lang w:bidi="ar-LB"/>
        </w:rPr>
      </w:pPr>
      <w:r w:rsidRPr="00A32FC0">
        <w:rPr>
          <w:rFonts w:hint="cs"/>
          <w:rtl/>
          <w:lang w:bidi="ar-LB"/>
        </w:rPr>
        <w:t>ولهذا فإنّ تصرُّفات</w:t>
      </w:r>
      <w:r>
        <w:rPr>
          <w:rFonts w:hint="cs"/>
          <w:rtl/>
          <w:lang w:bidi="ar-LB"/>
        </w:rPr>
        <w:t>ه</w:t>
      </w:r>
      <w:r w:rsidRPr="00A32FC0">
        <w:rPr>
          <w:rFonts w:hint="cs"/>
          <w:rtl/>
          <w:lang w:bidi="ar-LB"/>
        </w:rPr>
        <w:t xml:space="preserve"> كان لها ما يبرِّرها شرعاً وقانوناً لدى الناس والمثقَّفين.</w:t>
      </w:r>
    </w:p>
    <w:p w:rsidR="00EA09EB" w:rsidRPr="00A32FC0" w:rsidRDefault="00EA09EB" w:rsidP="008B4604">
      <w:pPr>
        <w:rPr>
          <w:rtl/>
          <w:lang w:bidi="ar-LB"/>
        </w:rPr>
      </w:pPr>
      <w:r w:rsidRPr="00A32FC0">
        <w:rPr>
          <w:rFonts w:hint="cs"/>
          <w:rtl/>
          <w:lang w:bidi="ar-LB"/>
        </w:rPr>
        <w:t xml:space="preserve">وأمّا بالنسبة إلى الانقسام الذي </w:t>
      </w:r>
      <w:r w:rsidR="008B4604">
        <w:rPr>
          <w:rFonts w:hint="cs"/>
          <w:rtl/>
          <w:lang w:bidi="ar-LB"/>
        </w:rPr>
        <w:t xml:space="preserve">حصل عند إعلان الجمهورية الاسلامية </w:t>
      </w:r>
      <w:r w:rsidRPr="00A32FC0">
        <w:rPr>
          <w:rFonts w:hint="cs"/>
          <w:rtl/>
          <w:lang w:bidi="ar-LB"/>
        </w:rPr>
        <w:t xml:space="preserve">فما زال قائماً. </w:t>
      </w:r>
    </w:p>
    <w:p w:rsidR="00EA09EB" w:rsidRPr="00A32FC0" w:rsidRDefault="00EA09EB" w:rsidP="000E5EF9">
      <w:pPr>
        <w:pStyle w:val="Normal87"/>
        <w:rPr>
          <w:rtl/>
        </w:rPr>
      </w:pPr>
      <w:r w:rsidRPr="00A32FC0">
        <w:rPr>
          <w:rFonts w:hint="cs"/>
          <w:rtl/>
        </w:rPr>
        <w:t>الأوّل الذي كان يعتقد أنه مع تحقُّق الجمهورية الإسلامية</w:t>
      </w:r>
      <w:r>
        <w:rPr>
          <w:rFonts w:hint="cs"/>
          <w:rtl/>
        </w:rPr>
        <w:t>،</w:t>
      </w:r>
      <w:r w:rsidRPr="00A32FC0">
        <w:rPr>
          <w:rFonts w:hint="cs"/>
          <w:rtl/>
        </w:rPr>
        <w:t xml:space="preserve"> والتصويت على الدستور، وتشكيل المؤسَّسات القانونية لسلطة الشعب، فسوف يتولّى ممثِّلون عن الشعب إدارة</w:t>
      </w:r>
      <w:r>
        <w:rPr>
          <w:rFonts w:hint="cs"/>
          <w:rtl/>
        </w:rPr>
        <w:t xml:space="preserve"> البلاد بإشراف من الفقيه (السيد</w:t>
      </w:r>
      <w:r w:rsidRPr="00A32FC0">
        <w:rPr>
          <w:rFonts w:hint="cs"/>
          <w:rtl/>
        </w:rPr>
        <w:t xml:space="preserve"> الخميني).</w:t>
      </w:r>
    </w:p>
    <w:p w:rsidR="00EA09EB" w:rsidRPr="00A32FC0" w:rsidRDefault="00EA09EB" w:rsidP="000E5EF9">
      <w:pPr>
        <w:pStyle w:val="Normal87"/>
        <w:rPr>
          <w:rtl/>
        </w:rPr>
      </w:pPr>
      <w:r w:rsidRPr="00A32FC0">
        <w:rPr>
          <w:rFonts w:hint="cs"/>
          <w:rtl/>
        </w:rPr>
        <w:t xml:space="preserve">والثاني الذي كان يعتقد أن الحكومة الإسلامية هي تحقّق ولاية الفقيه، ولا يمكن إدارة البلاد بشكل شرعيّ إلاّ من خلال ولاية الفقيه. </w:t>
      </w:r>
    </w:p>
    <w:p w:rsidR="00EA09EB" w:rsidRPr="00A32FC0" w:rsidRDefault="00EA09EB" w:rsidP="00EA09EB">
      <w:pPr>
        <w:rPr>
          <w:rtl/>
          <w:lang w:bidi="ar-LB"/>
        </w:rPr>
      </w:pPr>
      <w:r w:rsidRPr="00EA09EB">
        <w:rPr>
          <w:rFonts w:hint="cs"/>
          <w:rtl/>
        </w:rPr>
        <w:t>ولم يتعرَّض السيد الخميني لهذا الرأي</w:t>
      </w:r>
      <w:r w:rsidRPr="00064619">
        <w:rPr>
          <w:rFonts w:cs="Taher"/>
          <w:vertAlign w:val="superscript"/>
          <w:rtl/>
          <w:lang w:bidi="ar-LB"/>
        </w:rPr>
        <w:t>(</w:t>
      </w:r>
      <w:r w:rsidRPr="00064619">
        <w:rPr>
          <w:rStyle w:val="FootnoteReference"/>
          <w:rFonts w:cs="Taher"/>
          <w:sz w:val="32"/>
          <w:rtl/>
          <w:lang w:bidi="ar-LB"/>
        </w:rPr>
        <w:footnoteReference w:id="398"/>
      </w:r>
      <w:r w:rsidRPr="00064619">
        <w:rPr>
          <w:rFonts w:cs="Taher"/>
          <w:vertAlign w:val="superscript"/>
          <w:rtl/>
          <w:lang w:bidi="ar-LB"/>
        </w:rPr>
        <w:t>)</w:t>
      </w:r>
      <w:r w:rsidRPr="00A32FC0">
        <w:rPr>
          <w:rFonts w:hint="cs"/>
          <w:rtl/>
          <w:lang w:bidi="ar-LB"/>
        </w:rPr>
        <w:t>، حتّى طرحها في الدستور بشكل رسميّ، وجرى التصويت عليه من قبل مجلس صياغة الدستور.</w:t>
      </w:r>
    </w:p>
    <w:p w:rsidR="00EA09EB" w:rsidRPr="00EA09EB" w:rsidRDefault="00EA09EB" w:rsidP="000E5EF9">
      <w:pPr>
        <w:pStyle w:val="Normal87"/>
        <w:rPr>
          <w:rtl/>
        </w:rPr>
      </w:pPr>
      <w:r w:rsidRPr="00093AAA">
        <w:rPr>
          <w:rFonts w:hint="cs"/>
          <w:rtl/>
        </w:rPr>
        <w:t>في حين تصدّى آخرون للدفاع عن وجهة النظر التي وردت في القسم الأوّل، التي تبنَّت فكرة نظارة الفقيه، ومنهم: الشيخ مرتضى مطهري، وذلك في حوار أُجري معه في</w:t>
      </w:r>
      <w:r w:rsidRPr="00A32FC0">
        <w:rPr>
          <w:rFonts w:hint="cs"/>
          <w:rtl/>
        </w:rPr>
        <w:t xml:space="preserve"> الإذاعة والتلفزيون قُبَيْل الاستفتاء العام على الجمهوريّة الإسلاميّة</w:t>
      </w:r>
      <w:r w:rsidRPr="00064619">
        <w:rPr>
          <w:rFonts w:cs="Taher"/>
          <w:vertAlign w:val="superscript"/>
          <w:rtl/>
        </w:rPr>
        <w:t>(</w:t>
      </w:r>
      <w:r w:rsidRPr="00064619">
        <w:rPr>
          <w:rStyle w:val="FootnoteReference"/>
          <w:rFonts w:cs="Taher"/>
          <w:sz w:val="32"/>
          <w:rtl/>
        </w:rPr>
        <w:footnoteReference w:id="399"/>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وعلى </w:t>
      </w:r>
      <w:r>
        <w:rPr>
          <w:rFonts w:hint="cs"/>
          <w:rtl/>
          <w:lang w:bidi="ar-LB"/>
        </w:rPr>
        <w:t>أيّ</w:t>
      </w:r>
      <w:r w:rsidRPr="00A32FC0">
        <w:rPr>
          <w:rFonts w:hint="cs"/>
          <w:rtl/>
          <w:lang w:bidi="ar-LB"/>
        </w:rPr>
        <w:t xml:space="preserve"> حال فإنّ الشعب الإيراني قد اختار الجمهو</w:t>
      </w:r>
      <w:r>
        <w:rPr>
          <w:rFonts w:hint="cs"/>
          <w:rtl/>
          <w:lang w:bidi="ar-LB"/>
        </w:rPr>
        <w:t>رية الإسلامية التي طرحها السيد</w:t>
      </w:r>
      <w:r w:rsidRPr="00A32FC0">
        <w:rPr>
          <w:rFonts w:hint="cs"/>
          <w:rtl/>
          <w:lang w:bidi="ar-LB"/>
        </w:rPr>
        <w:t xml:space="preserve"> الخميني (بملاحظة الضوابط السبعة المذكورة سابقاً). وقد جاءت نسبة التصويت 98,2% لصالح الجمهورية الإسلامية. وبهذا دخلت الجمهورية الإسلامية حيّز التطبيق.</w:t>
      </w:r>
    </w:p>
    <w:p w:rsidR="00EA09EB" w:rsidRPr="00EA09EB" w:rsidRDefault="00EA09EB" w:rsidP="000E5EF9">
      <w:pPr>
        <w:pStyle w:val="Normal87"/>
        <w:rPr>
          <w:rtl/>
        </w:rPr>
      </w:pPr>
      <w:r w:rsidRPr="00EA09EB">
        <w:rPr>
          <w:rFonts w:hint="cs"/>
          <w:rtl/>
        </w:rPr>
        <w:t>في هذه المرحلة كانت المسألة الأهم بنظر السيد الخميني هي تدوين الدستور</w:t>
      </w:r>
      <w:r w:rsidRPr="00064619">
        <w:rPr>
          <w:rFonts w:cs="Taher"/>
          <w:sz w:val="32"/>
          <w:vertAlign w:val="superscript"/>
          <w:rtl/>
        </w:rPr>
        <w:t>(</w:t>
      </w:r>
      <w:r w:rsidRPr="00064619">
        <w:rPr>
          <w:rStyle w:val="FootnoteReference"/>
          <w:rFonts w:cs="Taher"/>
          <w:sz w:val="32"/>
          <w:rtl/>
        </w:rPr>
        <w:footnoteReference w:id="400"/>
      </w:r>
      <w:r w:rsidRPr="00064619">
        <w:rPr>
          <w:rFonts w:cs="Taher"/>
          <w:sz w:val="32"/>
          <w:vertAlign w:val="superscript"/>
          <w:rtl/>
        </w:rPr>
        <w:t>)</w:t>
      </w:r>
      <w:r w:rsidRPr="00EA09EB">
        <w:rPr>
          <w:rFonts w:hint="cs"/>
          <w:rtl/>
        </w:rPr>
        <w:t>. وكان قد شُرِع بتدوين مسوَّدة الدستور في مكتبه، في فترة إقامته في باريس، ثمّ قام جمع من الحقوقيين بإعادة دراسة هذه المسوَّدة. وبعد تدوين ملاحظات المراجع الدينيّة والسيد الخميني تمّ تحويل المسوَّدة إلى مجلس التخطيط في الثورة</w:t>
      </w:r>
      <w:r w:rsidRPr="00064619">
        <w:rPr>
          <w:rFonts w:cs="Taher"/>
          <w:sz w:val="32"/>
          <w:vertAlign w:val="superscript"/>
          <w:rtl/>
        </w:rPr>
        <w:t>(</w:t>
      </w:r>
      <w:r w:rsidRPr="00064619">
        <w:rPr>
          <w:rStyle w:val="FootnoteReference"/>
          <w:rFonts w:cs="Taher"/>
          <w:sz w:val="32"/>
          <w:rtl/>
        </w:rPr>
        <w:footnoteReference w:id="401"/>
      </w:r>
      <w:r w:rsidRPr="00064619">
        <w:rPr>
          <w:rFonts w:cs="Taher"/>
          <w:sz w:val="32"/>
          <w:vertAlign w:val="superscript"/>
          <w:rtl/>
        </w:rPr>
        <w:t>)</w:t>
      </w:r>
      <w:r w:rsidRPr="00EA09EB">
        <w:rPr>
          <w:rFonts w:hint="cs"/>
          <w:rtl/>
        </w:rPr>
        <w:t xml:space="preserve">. وأخيراً، وبعد الدراسة والإقرار، قام مجلس شورى الثورة بنشرها في 12 فصلاً، و151 مادة. وفي يوم 24 خرداد 1358هـ.ش </w:t>
      </w:r>
      <w:r>
        <w:rPr>
          <w:rFonts w:cs="Abz-1 (Lotus)" w:hint="cs"/>
          <w:rtl/>
        </w:rPr>
        <w:t>/</w:t>
      </w:r>
      <w:r w:rsidRPr="008B4604">
        <w:rPr>
          <w:rFonts w:ascii="Mosawi" w:hAnsi="Mosawi"/>
          <w:rtl/>
        </w:rPr>
        <w:t xml:space="preserve"> 1979 م</w:t>
      </w:r>
      <w:r w:rsidRPr="00EA09EB">
        <w:rPr>
          <w:rFonts w:hint="cs"/>
          <w:rtl/>
        </w:rPr>
        <w:t xml:space="preserve"> تم عرضه على الشعب؛ لإبداء رأيه في هذا الدستور</w:t>
      </w:r>
      <w:r w:rsidRPr="00064619">
        <w:rPr>
          <w:rFonts w:cs="Taher"/>
          <w:sz w:val="32"/>
          <w:vertAlign w:val="superscript"/>
          <w:rtl/>
        </w:rPr>
        <w:t>(</w:t>
      </w:r>
      <w:r w:rsidRPr="00064619">
        <w:rPr>
          <w:rStyle w:val="FootnoteReference"/>
          <w:rFonts w:cs="Taher"/>
          <w:sz w:val="32"/>
          <w:rtl/>
        </w:rPr>
        <w:footnoteReference w:id="402"/>
      </w:r>
      <w:r w:rsidRPr="00064619">
        <w:rPr>
          <w:rFonts w:cs="Taher"/>
          <w:sz w:val="32"/>
          <w:vertAlign w:val="superscript"/>
          <w:rtl/>
        </w:rPr>
        <w:t>)</w:t>
      </w:r>
      <w:r w:rsidRPr="00EA09EB">
        <w:rPr>
          <w:rFonts w:hint="cs"/>
          <w:rtl/>
        </w:rPr>
        <w:t>. وبموجب المادّتين الثالثة والخامسة عشر من هذه المسوَّدة فإن الحكومة مرتكزة على آراء عموم الناس، والسلطة من حقّ جميع الناس. وأمّا إسلاميّة النظام فقد تم إرساؤها من خلال مجلس صيانة الدستور، الذي يتشكَّل من خمسة مجتهدين مرشَّحين من قِبَل مراجع التقليد البارزين، ويقوم مجلس الشورى الإسلاميّة بانتخابهم، بالإضافة إلى انتخاب ستّة أشخاص من الحقوقيّين البارزين (المادة 142 إلى 147). في هذه المسوّدة تمّ الاكتفاء بالإشراف الحقوقي لمجلس صيانة الدستور، ولم يُؤْتَ على ذكر ولاية الفقيه.</w:t>
      </w:r>
    </w:p>
    <w:p w:rsidR="00EA09EB" w:rsidRPr="00A32FC0" w:rsidRDefault="00EA09EB" w:rsidP="000E5EF9">
      <w:pPr>
        <w:pStyle w:val="Normal93"/>
        <w:rPr>
          <w:rtl/>
        </w:rPr>
      </w:pPr>
      <w:r w:rsidRPr="00A32FC0">
        <w:rPr>
          <w:rFonts w:hint="cs"/>
          <w:rtl/>
        </w:rPr>
        <w:t xml:space="preserve">وقد طُرِح على الكاتب الأوّل لمسوَّدة الدستور السؤال التالي: إن الأكثريّة يتساءلون: لماذا لم يتعرَّض الدستور لمسألة ولاية الفقيه؟ </w:t>
      </w:r>
    </w:p>
    <w:p w:rsidR="00EA09EB" w:rsidRPr="00A32FC0" w:rsidRDefault="00EA09EB" w:rsidP="000E5EF9">
      <w:pPr>
        <w:pStyle w:val="Normal93"/>
        <w:rPr>
          <w:rtl/>
        </w:rPr>
      </w:pPr>
      <w:r w:rsidRPr="00EA09EB">
        <w:rPr>
          <w:rFonts w:hint="cs"/>
          <w:rtl/>
        </w:rPr>
        <w:t>فأجاب: في الواقع إنّ المجتمع غير مؤهَّل لفهم المعاني السامية لولاية الفقيه. وهناك اختلاف في وجهات النظر حول هذه المسألة. وقد اقتصرنا في حلّ موضوع ولاية الفقيه على مجلس صيانة الدستور. وإن رؤيتنا التي طرحناها في البداية حول مجلس صيانة الدستور كانت أكمل وأدقّ؛ وذلك لأن طرحنا كان يؤمّن الاستقلالية التامّة لهذا المجلس، الذي أصبح الآن تابعاً لمجلس الشورى الوطنيّ. وعلى أيّ أساس لا تتمكن المراجع الدينية من انتخاب المرشَّحين (المجتهدين الخمسة) بشكلٍ مباشر، بل يقوم مجلس الشورى بانتخابهم. ويصرّ البعض على أن هذا الدستور غير إسلاميّ، والحال أن هذه المسوَّدة دُوِّنت بناءً على فتاوى الإمام، وأقرَّها مجلس شورى الثورة، فكيف يمكن أن يُقِرّ مجلس الثورة دستوراً غير إسلاميّ؟</w:t>
      </w:r>
      <w:r w:rsidRPr="00064619">
        <w:rPr>
          <w:rFonts w:cs="Taher"/>
          <w:vertAlign w:val="superscript"/>
          <w:rtl/>
        </w:rPr>
        <w:t>(</w:t>
      </w:r>
      <w:r w:rsidRPr="00064619">
        <w:rPr>
          <w:rStyle w:val="FootnoteReference"/>
          <w:rFonts w:cs="Taher"/>
          <w:sz w:val="32"/>
          <w:rtl/>
        </w:rPr>
        <w:footnoteReference w:id="403"/>
      </w:r>
      <w:r w:rsidRPr="00064619">
        <w:rPr>
          <w:rFonts w:cs="Taher"/>
          <w:vertAlign w:val="superscript"/>
          <w:rtl/>
        </w:rPr>
        <w:t>)</w:t>
      </w:r>
      <w:r w:rsidRPr="00A32FC0">
        <w:rPr>
          <w:rFonts w:hint="cs"/>
          <w:rtl/>
        </w:rPr>
        <w:t>.</w:t>
      </w:r>
    </w:p>
    <w:p w:rsidR="00EA09EB" w:rsidRPr="00A32FC0" w:rsidRDefault="00EA09EB" w:rsidP="000E5EF9">
      <w:pPr>
        <w:pStyle w:val="Normal84"/>
        <w:rPr>
          <w:rtl/>
        </w:rPr>
      </w:pPr>
      <w:r w:rsidRPr="00A32FC0">
        <w:rPr>
          <w:rFonts w:hint="cs"/>
          <w:rtl/>
        </w:rPr>
        <w:t>إذا تأمَّلنا في وجهة النظر هذه وما شابهها لاحظنا أنه</w:t>
      </w:r>
      <w:r>
        <w:rPr>
          <w:rFonts w:hint="cs"/>
          <w:rtl/>
        </w:rPr>
        <w:t xml:space="preserve"> في النصف الأول من العام 1358هـ.</w:t>
      </w:r>
      <w:r w:rsidRPr="00A32FC0">
        <w:rPr>
          <w:rFonts w:hint="cs"/>
          <w:rtl/>
        </w:rPr>
        <w:t>ش</w:t>
      </w:r>
      <w:r>
        <w:rPr>
          <w:rFonts w:hint="cs"/>
          <w:rtl/>
        </w:rPr>
        <w:t xml:space="preserve"> / 1979 م</w:t>
      </w:r>
      <w:r w:rsidRPr="00A32FC0">
        <w:rPr>
          <w:rFonts w:hint="cs"/>
          <w:rtl/>
        </w:rPr>
        <w:t xml:space="preserve"> أولاً: لم تعتبر ولاية الفقيه أصلاً من أصول الجمهورية الإسلامية؛ ثانياً: إن شورى </w:t>
      </w:r>
      <w:r>
        <w:rPr>
          <w:rFonts w:hint="cs"/>
          <w:rtl/>
        </w:rPr>
        <w:t>الثورة المعيَّنة من قِبَل السيد الخميني</w:t>
      </w:r>
      <w:r w:rsidRPr="00A32FC0">
        <w:rPr>
          <w:rFonts w:hint="cs"/>
          <w:rtl/>
        </w:rPr>
        <w:t xml:space="preserve"> لم ترَ أن وجهة </w:t>
      </w:r>
      <w:r>
        <w:rPr>
          <w:rFonts w:hint="cs"/>
          <w:rtl/>
        </w:rPr>
        <w:t>نظره</w:t>
      </w:r>
      <w:r w:rsidRPr="00A32FC0">
        <w:rPr>
          <w:rFonts w:hint="cs"/>
          <w:rtl/>
        </w:rPr>
        <w:t xml:space="preserve"> هي الجمهورية الإسلامية المبتنية على ولاية الفقيه؛ ثالثاً</w:t>
      </w:r>
      <w:r>
        <w:rPr>
          <w:rFonts w:hint="cs"/>
          <w:rtl/>
        </w:rPr>
        <w:t>: إنه على الرغم من اطّلاع السيد الخميني</w:t>
      </w:r>
      <w:r w:rsidRPr="00A32FC0">
        <w:rPr>
          <w:rFonts w:hint="cs"/>
          <w:rtl/>
        </w:rPr>
        <w:t xml:space="preserve"> على عدم</w:t>
      </w:r>
      <w:r>
        <w:rPr>
          <w:rFonts w:hint="cs"/>
          <w:rtl/>
        </w:rPr>
        <w:t xml:space="preserve"> ذكر ولاية الفقيه في نصّ المسوّ</w:t>
      </w:r>
      <w:r w:rsidRPr="00A32FC0">
        <w:rPr>
          <w:rFonts w:hint="cs"/>
          <w:rtl/>
        </w:rPr>
        <w:t>دة لم يعتبر ذلك خلافاً للشرع، وأجاز إيكالَها لمجلس صياغة الدستور.</w:t>
      </w:r>
    </w:p>
    <w:p w:rsidR="00EA09EB" w:rsidRPr="00A32FC0" w:rsidRDefault="00EA09EB" w:rsidP="00EA09EB">
      <w:pPr>
        <w:rPr>
          <w:rtl/>
          <w:lang w:bidi="ar-LB"/>
        </w:rPr>
      </w:pPr>
      <w:r w:rsidRPr="00A32FC0">
        <w:rPr>
          <w:rFonts w:hint="cs"/>
          <w:rtl/>
          <w:lang w:bidi="ar-LB"/>
        </w:rPr>
        <w:t>و</w:t>
      </w:r>
      <w:r>
        <w:rPr>
          <w:rFonts w:hint="cs"/>
          <w:rtl/>
          <w:lang w:bidi="ar-LB"/>
        </w:rPr>
        <w:t>في هذه الفترة بالخصوص قال</w:t>
      </w:r>
      <w:r w:rsidRPr="00A32FC0">
        <w:rPr>
          <w:rFonts w:hint="cs"/>
          <w:rtl/>
          <w:lang w:bidi="ar-LB"/>
        </w:rPr>
        <w:t xml:space="preserve">: </w:t>
      </w:r>
      <w:r w:rsidRPr="00A32FC0">
        <w:rPr>
          <w:rFonts w:hint="cs"/>
          <w:rtl/>
        </w:rPr>
        <w:t>«</w:t>
      </w:r>
      <w:r w:rsidRPr="00A32FC0">
        <w:rPr>
          <w:rFonts w:hint="cs"/>
          <w:rtl/>
          <w:lang w:bidi="ar-LB"/>
        </w:rPr>
        <w:t>الميزان هو رأي الشعب</w:t>
      </w:r>
      <w:r w:rsidRPr="00A32FC0">
        <w:rPr>
          <w:rFonts w:hint="cs"/>
          <w:rtl/>
        </w:rPr>
        <w:t>»</w:t>
      </w:r>
      <w:r w:rsidRPr="00064619">
        <w:rPr>
          <w:rFonts w:cs="Taher"/>
          <w:vertAlign w:val="superscript"/>
          <w:rtl/>
        </w:rPr>
        <w:t>(</w:t>
      </w:r>
      <w:r w:rsidRPr="00064619">
        <w:rPr>
          <w:rStyle w:val="FootnoteReference"/>
          <w:rFonts w:cs="Taher"/>
          <w:sz w:val="32"/>
          <w:rtl/>
        </w:rPr>
        <w:footnoteReference w:id="404"/>
      </w:r>
      <w:r w:rsidRPr="00064619">
        <w:rPr>
          <w:rFonts w:cs="Taher"/>
          <w:vertAlign w:val="superscript"/>
          <w:rtl/>
        </w:rPr>
        <w:t>)</w:t>
      </w:r>
      <w:r w:rsidRPr="00A32FC0">
        <w:rPr>
          <w:rFonts w:hint="cs"/>
          <w:rtl/>
          <w:lang w:bidi="ar-LB"/>
        </w:rPr>
        <w:t>.</w:t>
      </w:r>
    </w:p>
    <w:p w:rsidR="00EA09EB" w:rsidRPr="00A32FC0" w:rsidRDefault="00EA09EB" w:rsidP="00EA09EB">
      <w:pPr>
        <w:rPr>
          <w:rtl/>
          <w:lang w:bidi="ar-LB"/>
        </w:rPr>
      </w:pPr>
      <w:r w:rsidRPr="00A32FC0">
        <w:rPr>
          <w:rFonts w:hint="cs"/>
          <w:rtl/>
          <w:lang w:bidi="ar-LB"/>
        </w:rPr>
        <w:t>وقُبَيْل نش</w:t>
      </w:r>
      <w:r>
        <w:rPr>
          <w:rFonts w:hint="cs"/>
          <w:rtl/>
          <w:lang w:bidi="ar-LB"/>
        </w:rPr>
        <w:t>ر نصّ مسوَّدة الدستور طلب السيد</w:t>
      </w:r>
      <w:r w:rsidRPr="00A32FC0">
        <w:rPr>
          <w:rFonts w:hint="cs"/>
          <w:rtl/>
          <w:lang w:bidi="ar-LB"/>
        </w:rPr>
        <w:t xml:space="preserve"> الخميني من جميع الشرائح ـ رجال الدّين، المثقّفين، والمفكّرين الإسلاميّين ـ أن يدرسوا هذا النصّ، ويُبدوا رأيهم فيه: </w:t>
      </w:r>
      <w:r w:rsidRPr="00A32FC0">
        <w:rPr>
          <w:rFonts w:hint="cs"/>
          <w:rtl/>
        </w:rPr>
        <w:t>«</w:t>
      </w:r>
      <w:r w:rsidRPr="00A32FC0">
        <w:rPr>
          <w:rFonts w:hint="cs"/>
          <w:rtl/>
          <w:lang w:bidi="ar-LB"/>
        </w:rPr>
        <w:t>أمامكم الآن فرصة شهر لتبيِّنوا ما ترونه مفيداً للإسلام، وموافقاً للجمهورية الإسلامية، ممّا لم يلتفت إليه الدستور، فأبدوا ملاحظاتكم، وانشروها في الصحف</w:t>
      </w:r>
      <w:r w:rsidRPr="00A32FC0">
        <w:rPr>
          <w:rFonts w:hint="cs"/>
          <w:rtl/>
        </w:rPr>
        <w:t>»</w:t>
      </w:r>
      <w:r w:rsidRPr="00064619">
        <w:rPr>
          <w:rFonts w:cs="Taher"/>
          <w:vertAlign w:val="superscript"/>
          <w:rtl/>
        </w:rPr>
        <w:t>(</w:t>
      </w:r>
      <w:r w:rsidRPr="00064619">
        <w:rPr>
          <w:rStyle w:val="FootnoteReference"/>
          <w:rFonts w:cs="Taher"/>
          <w:sz w:val="32"/>
          <w:rtl/>
        </w:rPr>
        <w:footnoteReference w:id="405"/>
      </w:r>
      <w:r w:rsidRPr="00064619">
        <w:rPr>
          <w:rFonts w:cs="Taher"/>
          <w:vertAlign w:val="superscript"/>
          <w:rtl/>
        </w:rPr>
        <w:t>)</w:t>
      </w:r>
      <w:r w:rsidRPr="00A32FC0">
        <w:rPr>
          <w:rFonts w:hint="cs"/>
          <w:rtl/>
          <w:lang w:bidi="ar-LB"/>
        </w:rPr>
        <w:t>.</w:t>
      </w:r>
    </w:p>
    <w:p w:rsidR="00EA09EB" w:rsidRPr="00A32FC0" w:rsidRDefault="00EA09EB" w:rsidP="000E5EF9">
      <w:pPr>
        <w:pStyle w:val="Normal93"/>
        <w:rPr>
          <w:rtl/>
        </w:rPr>
      </w:pPr>
      <w:r w:rsidRPr="00A32FC0">
        <w:rPr>
          <w:rFonts w:hint="cs"/>
          <w:rtl/>
        </w:rPr>
        <w:t>لقد امتلأت الصحف بالاقتراحات حول الدستور في صيف 1358</w:t>
      </w:r>
      <w:r>
        <w:rPr>
          <w:rFonts w:hint="cs"/>
          <w:rtl/>
        </w:rPr>
        <w:t xml:space="preserve">هـ.ش </w:t>
      </w:r>
      <w:r w:rsidR="000E5EF9">
        <w:rPr>
          <w:rFonts w:hint="cs"/>
          <w:rtl/>
        </w:rPr>
        <w:t>/ 1979</w:t>
      </w:r>
      <w:r>
        <w:rPr>
          <w:rFonts w:hint="cs"/>
          <w:rtl/>
        </w:rPr>
        <w:t>م</w:t>
      </w:r>
      <w:r w:rsidRPr="00EA09EB">
        <w:rPr>
          <w:rFonts w:hint="cs"/>
          <w:rtl/>
        </w:rPr>
        <w:t>. وقد أكّد أكثر المتخصِّصين المتديِّنين على ضرورة إعطاء صلاحيات أكبر لنظارة الفقيه، قياساً لما كان عليه دستور المشروطة</w:t>
      </w:r>
      <w:r w:rsidRPr="00064619">
        <w:rPr>
          <w:rFonts w:cs="Taher"/>
          <w:vertAlign w:val="superscript"/>
          <w:rtl/>
        </w:rPr>
        <w:t>(</w:t>
      </w:r>
      <w:r w:rsidRPr="00064619">
        <w:rPr>
          <w:rStyle w:val="FootnoteReference"/>
          <w:rFonts w:cs="Taher"/>
          <w:sz w:val="32"/>
          <w:rtl/>
        </w:rPr>
        <w:footnoteReference w:id="406"/>
      </w:r>
      <w:r w:rsidRPr="00064619">
        <w:rPr>
          <w:rFonts w:cs="Taher"/>
          <w:vertAlign w:val="superscript"/>
          <w:rtl/>
        </w:rPr>
        <w:t>)</w:t>
      </w:r>
      <w:r w:rsidRPr="00EA09EB">
        <w:rPr>
          <w:rFonts w:hint="cs"/>
          <w:rtl/>
        </w:rPr>
        <w:t>. إلا أنه شيئاً فشيئاً، وبشكل تدريجيّ، بدأت مسألة ولاية الفقيه تُطرح بشكل واسع من قبل جمع من المراجع والفقهاء ورجال الدين، ومن غير رجال الدين أيضاً</w:t>
      </w:r>
      <w:r w:rsidRPr="00064619">
        <w:rPr>
          <w:rFonts w:cs="Taher"/>
          <w:vertAlign w:val="superscript"/>
          <w:rtl/>
        </w:rPr>
        <w:t>(</w:t>
      </w:r>
      <w:r w:rsidRPr="00064619">
        <w:rPr>
          <w:rStyle w:val="FootnoteReference"/>
          <w:rFonts w:cs="Taher"/>
          <w:sz w:val="32"/>
          <w:rtl/>
        </w:rPr>
        <w:footnoteReference w:id="407"/>
      </w:r>
      <w:r w:rsidRPr="00064619">
        <w:rPr>
          <w:rFonts w:cs="Taher"/>
          <w:vertAlign w:val="superscript"/>
          <w:rtl/>
        </w:rPr>
        <w:t>)</w:t>
      </w:r>
      <w:r w:rsidRPr="00A32FC0">
        <w:rPr>
          <w:rFonts w:hint="cs"/>
          <w:rtl/>
        </w:rPr>
        <w:t>، الذين طالبوا بأن يتمّ إدخال ولاية الفقيه في الدستور.</w:t>
      </w:r>
    </w:p>
    <w:p w:rsidR="00EA09EB" w:rsidRPr="00A32FC0" w:rsidRDefault="00EA09EB" w:rsidP="00EA09EB">
      <w:pPr>
        <w:rPr>
          <w:rtl/>
          <w:lang w:bidi="ar-LB"/>
        </w:rPr>
      </w:pPr>
      <w:r w:rsidRPr="00A32FC0">
        <w:rPr>
          <w:rFonts w:hint="cs"/>
          <w:rtl/>
          <w:lang w:bidi="ar-LB"/>
        </w:rPr>
        <w:t xml:space="preserve">فقد جاء في بيان السيّد </w:t>
      </w:r>
      <w:r>
        <w:rPr>
          <w:rFonts w:hint="cs"/>
          <w:rtl/>
          <w:lang w:bidi="ar-LB"/>
        </w:rPr>
        <w:t>الگلپايگاني</w:t>
      </w:r>
      <w:r w:rsidRPr="00A32FC0">
        <w:rPr>
          <w:rFonts w:hint="cs"/>
          <w:rtl/>
          <w:lang w:bidi="ar-LB"/>
        </w:rPr>
        <w:t xml:space="preserve">: </w:t>
      </w:r>
      <w:r w:rsidRPr="00A32FC0">
        <w:rPr>
          <w:rFonts w:hint="cs"/>
          <w:rtl/>
        </w:rPr>
        <w:t>«</w:t>
      </w:r>
      <w:r w:rsidRPr="00A32FC0">
        <w:rPr>
          <w:rFonts w:hint="cs"/>
          <w:rtl/>
          <w:lang w:bidi="ar-LB"/>
        </w:rPr>
        <w:t>إذا لم يتمّ تدوين الدستور طبقاً لقوانين الشريعة بشكل كامل، وإذا لم تكن الحكومة مستندة إلى نظام الإمامة وولاية الفقيه، فستكون ظالمة وطاغوتية</w:t>
      </w:r>
      <w:r w:rsidRPr="00064619">
        <w:rPr>
          <w:rFonts w:cs="Taher"/>
          <w:vertAlign w:val="superscript"/>
          <w:rtl/>
          <w:lang w:bidi="ar-LB"/>
        </w:rPr>
        <w:t>(</w:t>
      </w:r>
      <w:r w:rsidRPr="00064619">
        <w:rPr>
          <w:rStyle w:val="FootnoteReference"/>
          <w:rFonts w:cs="Taher"/>
          <w:sz w:val="32"/>
          <w:rtl/>
          <w:lang w:bidi="ar-LB"/>
        </w:rPr>
        <w:footnoteReference w:id="408"/>
      </w:r>
      <w:r w:rsidRPr="00064619">
        <w:rPr>
          <w:rFonts w:cs="Taher"/>
          <w:vertAlign w:val="superscript"/>
          <w:rtl/>
          <w:lang w:bidi="ar-LB"/>
        </w:rPr>
        <w:t>)</w:t>
      </w:r>
      <w:r w:rsidRPr="00A32FC0">
        <w:rPr>
          <w:rFonts w:hint="cs"/>
          <w:rtl/>
          <w:lang w:bidi="ar-LB"/>
        </w:rPr>
        <w:t xml:space="preserve">. </w:t>
      </w:r>
    </w:p>
    <w:p w:rsidR="00EA09EB" w:rsidRPr="00EA09EB" w:rsidRDefault="00EA09EB" w:rsidP="00EA09EB">
      <w:pPr>
        <w:rPr>
          <w:rtl/>
        </w:rPr>
      </w:pPr>
      <w:r w:rsidRPr="00A32FC0">
        <w:rPr>
          <w:rFonts w:hint="cs"/>
          <w:rtl/>
          <w:lang w:bidi="ar-LB"/>
        </w:rPr>
        <w:t>أمّا السيّد مرعشي النجفيّ فقد اقترح أصولاً يجب أن تضاف إلى الدستور، وهي</w:t>
      </w:r>
      <w:r w:rsidRPr="00064619">
        <w:rPr>
          <w:rFonts w:cs="Taher"/>
          <w:vertAlign w:val="superscript"/>
          <w:rtl/>
          <w:lang w:bidi="ar-LB"/>
        </w:rPr>
        <w:t>(</w:t>
      </w:r>
      <w:r w:rsidRPr="00064619">
        <w:rPr>
          <w:rStyle w:val="FootnoteReference"/>
          <w:rFonts w:cs="Taher"/>
          <w:sz w:val="32"/>
          <w:rtl/>
          <w:lang w:bidi="ar-LB"/>
        </w:rPr>
        <w:footnoteReference w:id="409"/>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ولاية فقيه جامع للشرائط، قائمة في كلّ عصر.</w:t>
      </w:r>
    </w:p>
    <w:p w:rsidR="00EA09EB" w:rsidRPr="00A32FC0" w:rsidRDefault="00EA09EB" w:rsidP="00EA09EB">
      <w:pPr>
        <w:rPr>
          <w:rtl/>
          <w:lang w:bidi="ar-LB"/>
        </w:rPr>
      </w:pPr>
      <w:r w:rsidRPr="00A32FC0">
        <w:rPr>
          <w:rFonts w:hint="cs"/>
          <w:rtl/>
          <w:lang w:bidi="ar-LB"/>
        </w:rPr>
        <w:t>2</w:t>
      </w:r>
      <w:r w:rsidRPr="00A32FC0">
        <w:rPr>
          <w:rtl/>
          <w:lang w:bidi="ar-LB"/>
        </w:rPr>
        <w:t>ـ</w:t>
      </w:r>
      <w:r w:rsidRPr="00A32FC0">
        <w:rPr>
          <w:rFonts w:hint="cs"/>
          <w:rtl/>
          <w:lang w:bidi="ar-LB"/>
        </w:rPr>
        <w:t xml:space="preserve"> لمراجع التقليد حقّ الاعتراض </w:t>
      </w:r>
      <w:r w:rsidRPr="00A32FC0">
        <w:rPr>
          <w:rFonts w:hint="cs"/>
          <w:rtl/>
        </w:rPr>
        <w:t>«</w:t>
      </w:r>
      <w:r w:rsidRPr="00A32FC0">
        <w:rPr>
          <w:rFonts w:hint="cs"/>
          <w:rtl/>
          <w:lang w:bidi="ar-LB"/>
        </w:rPr>
        <w:t>فيتو</w:t>
      </w:r>
      <w:r w:rsidRPr="00A32FC0">
        <w:rPr>
          <w:rFonts w:hint="cs"/>
          <w:rtl/>
        </w:rPr>
        <w:t>»</w:t>
      </w:r>
      <w:r w:rsidRPr="00A32FC0">
        <w:rPr>
          <w:rFonts w:hint="cs"/>
          <w:rtl/>
          <w:lang w:bidi="ar-LB"/>
        </w:rPr>
        <w:t xml:space="preserve"> على القرارات التي تصدر عن مجلس الشورى الوطنيّ، في حال كانت هذه القرارات مخالفة للموازين الشرعية، أو لمصلحة البلاد.</w:t>
      </w:r>
    </w:p>
    <w:p w:rsidR="00EA09EB" w:rsidRPr="00A32FC0" w:rsidRDefault="00EA09EB" w:rsidP="000E5EF9">
      <w:pPr>
        <w:pStyle w:val="Normal93"/>
        <w:rPr>
          <w:rtl/>
        </w:rPr>
      </w:pPr>
      <w:r w:rsidRPr="00A32FC0">
        <w:rPr>
          <w:rFonts w:hint="cs"/>
          <w:rtl/>
        </w:rPr>
        <w:t>3</w:t>
      </w:r>
      <w:r w:rsidRPr="00A32FC0">
        <w:rPr>
          <w:rtl/>
        </w:rPr>
        <w:t>ـ</w:t>
      </w:r>
      <w:r w:rsidRPr="00A32FC0">
        <w:rPr>
          <w:rFonts w:hint="cs"/>
          <w:rtl/>
        </w:rPr>
        <w:t xml:space="preserve"> يجب أخذ آراء مراجع التقليد بعين الاعتبار في مسألة تعيين رئيس الجمهورية ورئيس الوزراء، وفي عزل كلٍّ منهما أيضاً. </w:t>
      </w:r>
    </w:p>
    <w:p w:rsidR="00EA09EB" w:rsidRPr="00A32FC0" w:rsidRDefault="00EA09EB" w:rsidP="000E5EF9">
      <w:pPr>
        <w:pStyle w:val="Normal93"/>
        <w:rPr>
          <w:rtl/>
        </w:rPr>
      </w:pPr>
      <w:r w:rsidRPr="00A32FC0">
        <w:rPr>
          <w:rFonts w:hint="cs"/>
          <w:rtl/>
        </w:rPr>
        <w:t>4</w:t>
      </w:r>
      <w:r w:rsidRPr="00A32FC0">
        <w:rPr>
          <w:rtl/>
        </w:rPr>
        <w:t>ـ</w:t>
      </w:r>
      <w:r w:rsidRPr="00A32FC0">
        <w:rPr>
          <w:rFonts w:hint="cs"/>
          <w:rtl/>
        </w:rPr>
        <w:t xml:space="preserve"> يجب تشكيل لجنة من رجال الدين للإشراف على جميع الإدارات والمؤسَّسات الاقتصاديّة والتعليميّة والسياسيّة والقضائيّة.</w:t>
      </w:r>
    </w:p>
    <w:p w:rsidR="00EA09EB" w:rsidRPr="00A32FC0" w:rsidRDefault="00EA09EB" w:rsidP="00EA09EB">
      <w:pPr>
        <w:rPr>
          <w:rtl/>
          <w:lang w:bidi="ar-LB"/>
        </w:rPr>
      </w:pPr>
      <w:r w:rsidRPr="00A32FC0">
        <w:rPr>
          <w:rFonts w:hint="cs"/>
          <w:rtl/>
          <w:lang w:bidi="ar-LB"/>
        </w:rPr>
        <w:t>والأهمّ من هذا كلّه هو رؤية الشيخ منتظري في هذا المجال.</w:t>
      </w:r>
    </w:p>
    <w:p w:rsidR="00EA09EB" w:rsidRPr="00A32FC0" w:rsidRDefault="00EA09EB" w:rsidP="000E5EF9">
      <w:pPr>
        <w:pStyle w:val="Normal93"/>
        <w:rPr>
          <w:rtl/>
        </w:rPr>
      </w:pPr>
      <w:r w:rsidRPr="00A32FC0">
        <w:rPr>
          <w:rFonts w:hint="cs"/>
          <w:rtl/>
        </w:rPr>
        <w:t>ونورد هنا ملخَّصاً للبيان الذي أصدره هذا الفقيه البارز بشأن مسوَّدة الدستور:</w:t>
      </w:r>
    </w:p>
    <w:p w:rsidR="00EA09EB" w:rsidRPr="00A32FC0" w:rsidRDefault="00EA09EB" w:rsidP="000E5EF9">
      <w:pPr>
        <w:pStyle w:val="Normal93"/>
        <w:rPr>
          <w:rtl/>
        </w:rPr>
      </w:pPr>
      <w:r w:rsidRPr="00A32FC0">
        <w:rPr>
          <w:rFonts w:hint="cs"/>
          <w:rtl/>
        </w:rPr>
        <w:t>«إن أساس الحكومة هو آراء الشعب المرتكزة على أسس الأسلام... في زمان الغيبة الكبرى فوّض «أمر الولاية» إلى الأشخاص الذين يتمتَّعون بالشروط التالية: 1</w:t>
      </w:r>
      <w:r w:rsidRPr="00A32FC0">
        <w:rPr>
          <w:rtl/>
        </w:rPr>
        <w:t>ـ</w:t>
      </w:r>
      <w:r w:rsidRPr="00A32FC0">
        <w:rPr>
          <w:rFonts w:hint="cs"/>
          <w:rtl/>
        </w:rPr>
        <w:t xml:space="preserve"> أن يكون مجتهداً ومتخصِّصاً في المسائل الإسلامية؛ 2</w:t>
      </w:r>
      <w:r w:rsidRPr="00A32FC0">
        <w:rPr>
          <w:rtl/>
        </w:rPr>
        <w:t>ـ</w:t>
      </w:r>
      <w:r w:rsidRPr="00A32FC0">
        <w:rPr>
          <w:rFonts w:hint="cs"/>
          <w:rtl/>
        </w:rPr>
        <w:t xml:space="preserve"> أن يكون صاحب عدالة وتقوى؛ 3</w:t>
      </w:r>
      <w:r w:rsidRPr="00A32FC0">
        <w:rPr>
          <w:rtl/>
        </w:rPr>
        <w:t>ـ</w:t>
      </w:r>
      <w:r w:rsidRPr="00A32FC0">
        <w:rPr>
          <w:rFonts w:hint="cs"/>
          <w:rtl/>
        </w:rPr>
        <w:t xml:space="preserve"> أن يكون مطَّلعاً على قضايا العصر ومتطلِّباته، وهذه هي عقيدة الشيعة الإمامية... هناك نوع من القوانين والأحكام الكلّيّة التي عيّنها الله عن طريق الوحي (الأحكام الفقهيّة)، والفقيه العادل هو صاحب الاختصاص في استنباطها وتشخيصها في زمان الغيبة. وهناك نوع آخر من القوانين والأحكام الجزئيّة التي يتولّى إقرارها الحاكم الشرعيّ في كلّ زمان، وبحسب المقتضيات والظروف والاحتياجات التي يراها (الأحكام الولائيّة). لقد فُوِّض أمر الحكم والقضاء وتشريع القوانين الكلّيّة وسَنّ القوانين الجزائية في زمان الغيبة إلى الفقيه العادل المطَّلع على متطلِّبات وقضايا العصر... يجب أن يوكل أمر الحكم والقانون إلى الفقهاء العدول المطَّلعين على مقتضيات العصر، كما يجب أن تكون السلطات الإجرائيّة تحت إشرافهم وإمرتهم، وفي الواقع يجب أن تكون هذه السلطات ممثِّلة لهم وغير مستقلّة عنهم، ومن حقّ الفقيه، أو من يعيِّنه الفقيه. وعلى هذا فإنّ السلطات الثلاث: التشريعيّة؛ والتنفيذيّة؛ والقضائيّة، مرتبطة ببعضها البعض، ولا تنفكّ إحداها عن الأخرى، وكلّ هذه السلطات ترجع إلى الفقيه العادل المطَّلع على مقتضيات العصر... وعلى هذا فإنّ:</w:t>
      </w:r>
    </w:p>
    <w:p w:rsidR="00EA09EB" w:rsidRPr="00A32FC0" w:rsidRDefault="00EA09EB" w:rsidP="000E5EF9">
      <w:pPr>
        <w:pStyle w:val="Normal93"/>
        <w:rPr>
          <w:rtl/>
        </w:rPr>
      </w:pPr>
      <w:r w:rsidRPr="00A32FC0">
        <w:rPr>
          <w:rFonts w:hint="cs"/>
          <w:rtl/>
        </w:rPr>
        <w:t>1</w:t>
      </w:r>
      <w:r w:rsidRPr="00A32FC0">
        <w:rPr>
          <w:rtl/>
        </w:rPr>
        <w:t>ـ</w:t>
      </w:r>
      <w:r w:rsidRPr="00A32FC0">
        <w:rPr>
          <w:rFonts w:hint="cs"/>
          <w:rtl/>
        </w:rPr>
        <w:t xml:space="preserve"> السلطات الثلاث غير منفصلة عن بعضها البعض، والرابط فيما بينها هو الفقيه العادل المطَّلع على مقتضيات العصر، وإذا كان الرابط فيما بينها هو رئيس الجمهورية فعندئذٍ يجب أن يكون رئيس الجمهورية فقيهاً عادلاً، أو معيَّناً من قِبَله.</w:t>
      </w:r>
    </w:p>
    <w:p w:rsidR="00EA09EB" w:rsidRPr="00A32FC0" w:rsidRDefault="00EA09EB" w:rsidP="00EA09EB">
      <w:pPr>
        <w:rPr>
          <w:rtl/>
          <w:lang w:bidi="ar-LB"/>
        </w:rPr>
      </w:pPr>
      <w:r w:rsidRPr="00A32FC0">
        <w:rPr>
          <w:rFonts w:hint="cs"/>
          <w:rtl/>
          <w:lang w:bidi="ar-LB"/>
        </w:rPr>
        <w:t>2</w:t>
      </w:r>
      <w:r w:rsidRPr="00A32FC0">
        <w:rPr>
          <w:rtl/>
          <w:lang w:bidi="ar-LB"/>
        </w:rPr>
        <w:t>ـ</w:t>
      </w:r>
      <w:r w:rsidRPr="00A32FC0">
        <w:rPr>
          <w:rFonts w:hint="cs"/>
          <w:rtl/>
          <w:lang w:bidi="ar-LB"/>
        </w:rPr>
        <w:t xml:space="preserve"> القوانين التي يُقرّها أعضاء مجلس الشورى لابدّ أن يطَّلع عليها الفقيه العادل، ويقرّها...</w:t>
      </w:r>
    </w:p>
    <w:p w:rsidR="00EA09EB" w:rsidRPr="00A32FC0" w:rsidRDefault="00EA09EB" w:rsidP="00EA09EB">
      <w:pPr>
        <w:rPr>
          <w:rtl/>
          <w:lang w:bidi="ar-LB"/>
        </w:rPr>
      </w:pPr>
      <w:r w:rsidRPr="00A32FC0">
        <w:rPr>
          <w:rFonts w:hint="cs"/>
          <w:rtl/>
          <w:lang w:bidi="ar-LB"/>
        </w:rPr>
        <w:t>3</w:t>
      </w:r>
      <w:r w:rsidRPr="00A32FC0">
        <w:rPr>
          <w:rtl/>
          <w:lang w:bidi="ar-LB"/>
        </w:rPr>
        <w:t>ـ</w:t>
      </w:r>
      <w:r w:rsidRPr="00A32FC0">
        <w:rPr>
          <w:rFonts w:hint="cs"/>
          <w:rtl/>
          <w:lang w:bidi="ar-LB"/>
        </w:rPr>
        <w:t xml:space="preserve"> رئيس الجمهوريّة يجب أن يكون فقيهاً عادلاً مطَّلعاً على مقتضيات العصر، أو أن يكون معيَّناً من قبل الفقيه، وأن يقوم بمهامه تحت إشراف الفقيه.</w:t>
      </w:r>
    </w:p>
    <w:p w:rsidR="00EA09EB" w:rsidRPr="00A32FC0" w:rsidRDefault="00EA09EB" w:rsidP="00EA09EB">
      <w:pPr>
        <w:rPr>
          <w:rtl/>
          <w:lang w:bidi="ar-LB"/>
        </w:rPr>
      </w:pPr>
      <w:r w:rsidRPr="00A32FC0">
        <w:rPr>
          <w:rFonts w:hint="cs"/>
          <w:rtl/>
          <w:lang w:bidi="ar-LB"/>
        </w:rPr>
        <w:t>4</w:t>
      </w:r>
      <w:r w:rsidRPr="00A32FC0">
        <w:rPr>
          <w:rtl/>
          <w:lang w:bidi="ar-LB"/>
        </w:rPr>
        <w:t>ـ</w:t>
      </w:r>
      <w:r w:rsidRPr="00A32FC0">
        <w:rPr>
          <w:rFonts w:hint="cs"/>
          <w:rtl/>
          <w:lang w:bidi="ar-LB"/>
        </w:rPr>
        <w:t xml:space="preserve"> يرجع حقّ الحكم بحَلّ مجلس الشورى، وتوقيع القوانين، وقيادة القوى العسكرية، وإعلان الحرب، وإيقاف الحرب، والعفو العامّ، وتخفيف الأحكام، إلى الفقيه العادل المطَّلع على مقتضيات العصر، وإن كانت ترجع إلى رئيس الجمهوريّة ف</w:t>
      </w:r>
      <w:r>
        <w:rPr>
          <w:rFonts w:hint="cs"/>
          <w:rtl/>
          <w:lang w:bidi="ar-LB"/>
        </w:rPr>
        <w:t>لا بُدَّ</w:t>
      </w:r>
      <w:r w:rsidRPr="00A32FC0">
        <w:rPr>
          <w:rFonts w:hint="cs"/>
          <w:rtl/>
          <w:lang w:bidi="ar-LB"/>
        </w:rPr>
        <w:t xml:space="preserve"> أن يكون فقيهاً عادلاً، أو على الأقلّ معيَّناً من قبله.</w:t>
      </w:r>
    </w:p>
    <w:p w:rsidR="00EA09EB" w:rsidRPr="00A32FC0" w:rsidRDefault="00EA09EB" w:rsidP="00EA09EB">
      <w:pPr>
        <w:rPr>
          <w:rtl/>
          <w:lang w:bidi="ar-LB"/>
        </w:rPr>
      </w:pPr>
      <w:r w:rsidRPr="00EA09EB">
        <w:rPr>
          <w:rFonts w:hint="cs"/>
          <w:rtl/>
        </w:rPr>
        <w:t>5</w:t>
      </w:r>
      <w:r w:rsidRPr="00EA09EB">
        <w:rPr>
          <w:rtl/>
        </w:rPr>
        <w:t>ـ</w:t>
      </w:r>
      <w:r w:rsidRPr="00EA09EB">
        <w:rPr>
          <w:rFonts w:hint="cs"/>
          <w:rtl/>
        </w:rPr>
        <w:t xml:space="preserve"> يجب أن يكون القضاة فقهاء عدولاً، أو على الأقلّ معيَّنين من قبل الفقيه العادل، وعارفين بمسائل وأحكام الإسلام... ومن الأفضل أن يفوّض الفقيه العادل المطَّلع على مقتضيات العصر إدارة أمور الدولة إلى «مجلس شورى» مؤلَّف من 3 أو 5 أشخاص يعملون تحت إشرافه، حيث إن ذلك يحفظ الدولة من الاستبداد والديكتاتوريّة. وأخيراً فإن تفويض سياسة البلاد إلى رئيس جمهورية، من دون الأخذ بعين الاعتبار مسألة الولاية وحكومة الفقيه العادل، هو شكل غربيّ للحكم، لا يتلاءم مع الإسلام، وخصوصاً مع المذهب الشيعيّ الاثني عشري... والحكومة الإسلاميّة في زمن الغيبة تعدّ من وظائف الفقيه العادل المطَّلع على مقتضيات العصر. فإذا قَبِلَ تولّي رئاسة الجمهورية بنفسه، وإلا يلزم أن يعمل رئيس الجمهورية تحت إشرافه... لقد تمّت صياغة مسوَّدة الدستور بشكلٍ لا يُعطي لمراجع التقليد والفقهاء العدول </w:t>
      </w:r>
      <w:r w:rsidRPr="00EA09EB">
        <w:rPr>
          <w:rtl/>
        </w:rPr>
        <w:t>ـ</w:t>
      </w:r>
      <w:r w:rsidRPr="00EA09EB">
        <w:rPr>
          <w:rFonts w:hint="cs"/>
          <w:rtl/>
        </w:rPr>
        <w:t xml:space="preserve"> الذين هم محور الحكومة الإسلاميّة </w:t>
      </w:r>
      <w:r w:rsidRPr="00EA09EB">
        <w:rPr>
          <w:rtl/>
        </w:rPr>
        <w:t>ـ</w:t>
      </w:r>
      <w:r w:rsidRPr="00EA09EB">
        <w:rPr>
          <w:rFonts w:hint="cs"/>
          <w:rtl/>
        </w:rPr>
        <w:t xml:space="preserve"> دوراً في التقنين وإدارة الدولة...»</w:t>
      </w:r>
      <w:r w:rsidRPr="00064619">
        <w:rPr>
          <w:rFonts w:cs="Taher"/>
          <w:vertAlign w:val="superscript"/>
          <w:rtl/>
        </w:rPr>
        <w:t>(</w:t>
      </w:r>
      <w:r w:rsidRPr="00064619">
        <w:rPr>
          <w:rStyle w:val="FootnoteReference"/>
          <w:rFonts w:cs="Taher"/>
          <w:sz w:val="32"/>
          <w:rtl/>
        </w:rPr>
        <w:footnoteReference w:id="410"/>
      </w:r>
      <w:r w:rsidRPr="00064619">
        <w:rPr>
          <w:rFonts w:cs="Taher"/>
          <w:vertAlign w:val="superscript"/>
          <w:rtl/>
        </w:rPr>
        <w:t>)</w:t>
      </w:r>
      <w:r w:rsidRPr="00A32FC0">
        <w:rPr>
          <w:rFonts w:hint="cs"/>
          <w:rtl/>
          <w:lang w:bidi="ar-LB"/>
        </w:rPr>
        <w:t>.</w:t>
      </w:r>
    </w:p>
    <w:p w:rsidR="00EA09EB" w:rsidRPr="00A32FC0" w:rsidRDefault="00EA09EB" w:rsidP="00EA09EB">
      <w:pPr>
        <w:rPr>
          <w:rtl/>
          <w:lang w:bidi="ar-LB"/>
        </w:rPr>
      </w:pPr>
      <w:r w:rsidRPr="00A32FC0">
        <w:rPr>
          <w:rFonts w:hint="cs"/>
          <w:rtl/>
          <w:lang w:bidi="ar-LB"/>
        </w:rPr>
        <w:t>وردّاً على الامتعاض والتبرّم الذي صدر عن بعض رجال الدين ب</w:t>
      </w:r>
      <w:r>
        <w:rPr>
          <w:rFonts w:hint="cs"/>
          <w:rtl/>
          <w:lang w:bidi="ar-LB"/>
        </w:rPr>
        <w:t>خصوص مسوَّدة الدستور، قال السيد</w:t>
      </w:r>
      <w:r w:rsidRPr="00A32FC0">
        <w:rPr>
          <w:rFonts w:hint="cs"/>
          <w:rtl/>
          <w:lang w:bidi="ar-LB"/>
        </w:rPr>
        <w:t xml:space="preserve"> الخميني: </w:t>
      </w:r>
      <w:r w:rsidRPr="00A32FC0">
        <w:rPr>
          <w:rFonts w:hint="cs"/>
          <w:rtl/>
        </w:rPr>
        <w:t>«</w:t>
      </w:r>
      <w:r w:rsidRPr="00A32FC0">
        <w:rPr>
          <w:rFonts w:hint="cs"/>
          <w:rtl/>
          <w:lang w:bidi="ar-LB"/>
        </w:rPr>
        <w:t>هذه المسألة هي من المسائل التي يجب أن لا أتدخَّل فيها حاليّاً؛ لأسباب عدّة</w:t>
      </w:r>
      <w:r w:rsidRPr="00A32FC0">
        <w:rPr>
          <w:rFonts w:hint="cs"/>
          <w:rtl/>
        </w:rPr>
        <w:t>»</w:t>
      </w:r>
      <w:r w:rsidRPr="00064619">
        <w:rPr>
          <w:rFonts w:cs="Taher"/>
          <w:vertAlign w:val="superscript"/>
          <w:rtl/>
        </w:rPr>
        <w:t>(</w:t>
      </w:r>
      <w:r w:rsidRPr="00064619">
        <w:rPr>
          <w:rStyle w:val="FootnoteReference"/>
          <w:rFonts w:cs="Taher"/>
          <w:sz w:val="32"/>
          <w:rtl/>
        </w:rPr>
        <w:footnoteReference w:id="411"/>
      </w:r>
      <w:r w:rsidRPr="00064619">
        <w:rPr>
          <w:rFonts w:cs="Taher"/>
          <w:vertAlign w:val="superscript"/>
          <w:rtl/>
        </w:rPr>
        <w:t>)</w:t>
      </w:r>
      <w:r w:rsidRPr="00EA09EB">
        <w:rPr>
          <w:rFonts w:hint="cs"/>
          <w:rtl/>
        </w:rPr>
        <w:t>. وقد قام قبيل إجراء انتخابات أعضاء المجلس الذي يتولى دراسة وصياغة مسوَّدة دستور الجمهورية الإسلامية، مشجِّعاً الناس للمشاركة في الانتخابات، ومذكِّراً، فقال: «يجب أن يكون المنتخبون لإرساء دستور الجمهوريّة الإسلاميّة مطَّلعين على أحكام الإسلام، ولديهم خبرة فيها... وأنا شخصيّاً عندي بعض الملاحظات حول الدستور ومجلس صياغة الدستور، وسوف أطرحها لاحقاً إن شاء الله»</w:t>
      </w:r>
      <w:r w:rsidRPr="00064619">
        <w:rPr>
          <w:rFonts w:cs="Taher"/>
          <w:vertAlign w:val="superscript"/>
          <w:rtl/>
        </w:rPr>
        <w:t>(</w:t>
      </w:r>
      <w:r w:rsidRPr="00064619">
        <w:rPr>
          <w:rStyle w:val="FootnoteReference"/>
          <w:rFonts w:cs="Taher"/>
          <w:sz w:val="32"/>
          <w:rtl/>
        </w:rPr>
        <w:footnoteReference w:id="412"/>
      </w:r>
      <w:r w:rsidRPr="00064619">
        <w:rPr>
          <w:rFonts w:cs="Taher"/>
          <w:vertAlign w:val="superscript"/>
          <w:rtl/>
        </w:rPr>
        <w:t>)</w:t>
      </w:r>
      <w:r w:rsidRPr="00A32FC0">
        <w:rPr>
          <w:rFonts w:hint="cs"/>
          <w:rtl/>
          <w:lang w:bidi="ar-LB"/>
        </w:rPr>
        <w:t>.</w:t>
      </w:r>
    </w:p>
    <w:p w:rsidR="00EA09EB" w:rsidRPr="00EA09EB" w:rsidRDefault="00EA09EB" w:rsidP="000E5EF9">
      <w:pPr>
        <w:pStyle w:val="Normal87"/>
        <w:rPr>
          <w:rtl/>
        </w:rPr>
      </w:pPr>
      <w:r w:rsidRPr="00A32FC0">
        <w:rPr>
          <w:rFonts w:hint="cs"/>
          <w:rtl/>
        </w:rPr>
        <w:t>وفي الجلسة الافتتاحية لمجلس صياغة الدستور في 28 مرداد 1358</w:t>
      </w:r>
      <w:r>
        <w:rPr>
          <w:rFonts w:hint="cs"/>
          <w:rtl/>
        </w:rPr>
        <w:t>هـ.ش / 1979 م</w:t>
      </w:r>
      <w:r w:rsidRPr="00EA09EB">
        <w:rPr>
          <w:rFonts w:hint="cs"/>
          <w:rtl/>
        </w:rPr>
        <w:t xml:space="preserve"> كان للسيد الخميني بيانٌ هامّ، جاء فيه: «إن تشخيص المخالفة والموافقة لأحكام الإسلام منحصرٌ بالفقهاء العظام، وبحمد الله يوجد مجموعة منهم في المجلس، ولأنّ هذا أمرٌ تخصُّصيٌّ فإنّ تدخُّل النوّاب الآخرين المحترمين في الاجتهاد وتشخيص الأحكام الشرعية من الكتاب والسنة هو تدخُّل في اختصاص الغير، من دون توفّر الصلاحية والتخصُّص اللازم لذلك»</w:t>
      </w:r>
      <w:r w:rsidRPr="00064619">
        <w:rPr>
          <w:rFonts w:cs="Taher"/>
          <w:vertAlign w:val="superscript"/>
          <w:rtl/>
        </w:rPr>
        <w:t>(</w:t>
      </w:r>
      <w:r w:rsidRPr="00064619">
        <w:rPr>
          <w:rStyle w:val="FootnoteReference"/>
          <w:rFonts w:cs="Taher"/>
          <w:sz w:val="32"/>
          <w:rtl/>
        </w:rPr>
        <w:footnoteReference w:id="413"/>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وربما يظهر من مجموع خطابات وبيانات</w:t>
      </w:r>
      <w:r>
        <w:rPr>
          <w:rFonts w:hint="cs"/>
          <w:rtl/>
          <w:lang w:bidi="ar-LB"/>
        </w:rPr>
        <w:t xml:space="preserve"> السيد</w:t>
      </w:r>
      <w:r w:rsidRPr="00A32FC0">
        <w:rPr>
          <w:rFonts w:hint="cs"/>
          <w:rtl/>
          <w:lang w:bidi="ar-LB"/>
        </w:rPr>
        <w:t xml:space="preserve"> الخميني، قبل إقرار ولاية الفقيه في مجلس صياغة الدستور، وبعده، أنه كان يرى لزوم إقرار ولاية الفقيه في الدستور، ولم يقُمْ بالتصريح برأيه ما لم تصبح ولاية الفقيه مطلباً شعبيّاً عامّاً، حفاظاً على مصالح كان يراها، ولم يعلن عن رأيه صراحةً في الدفاع عن ولاية الفقيه، إلا بعد أن أُقِرَّت من قبل ممثِّلي الشعب. </w:t>
      </w:r>
    </w:p>
    <w:p w:rsidR="00EA09EB" w:rsidRPr="00A32FC0" w:rsidRDefault="00EA09EB" w:rsidP="000E5EF9">
      <w:pPr>
        <w:pStyle w:val="Normal84"/>
        <w:rPr>
          <w:rtl/>
        </w:rPr>
      </w:pPr>
      <w:r w:rsidRPr="00EA09EB">
        <w:rPr>
          <w:rFonts w:hint="cs"/>
          <w:rtl/>
        </w:rPr>
        <w:t>المرة الأولى التي طرحت فيها ولاية الفقيه على الملأ كانت في صل</w:t>
      </w:r>
      <w:r w:rsidR="008B4604">
        <w:rPr>
          <w:rFonts w:hint="cs"/>
          <w:rtl/>
        </w:rPr>
        <w:t>اة الجمعة في طهران في 23 شهريو</w:t>
      </w:r>
      <w:r w:rsidRPr="00EA09EB">
        <w:rPr>
          <w:rFonts w:hint="cs"/>
          <w:rtl/>
        </w:rPr>
        <w:t xml:space="preserve">ر 1358هـ.ش </w:t>
      </w:r>
      <w:r>
        <w:rPr>
          <w:rFonts w:hint="cs"/>
          <w:rtl/>
        </w:rPr>
        <w:t>/ 1979 م</w:t>
      </w:r>
      <w:r w:rsidRPr="00A32FC0">
        <w:rPr>
          <w:vertAlign w:val="superscript"/>
          <w:rtl/>
        </w:rPr>
        <w:t xml:space="preserve"> </w:t>
      </w:r>
      <w:r w:rsidRPr="00064619">
        <w:rPr>
          <w:rFonts w:cs="Taher"/>
          <w:vertAlign w:val="superscript"/>
          <w:rtl/>
        </w:rPr>
        <w:t>(</w:t>
      </w:r>
      <w:r w:rsidRPr="00064619">
        <w:rPr>
          <w:rStyle w:val="FootnoteReference"/>
          <w:rFonts w:cs="Taher"/>
          <w:sz w:val="32"/>
          <w:rtl/>
        </w:rPr>
        <w:footnoteReference w:id="414"/>
      </w:r>
      <w:r w:rsidRPr="00064619">
        <w:rPr>
          <w:rFonts w:cs="Taher"/>
          <w:vertAlign w:val="superscript"/>
          <w:rtl/>
        </w:rPr>
        <w:t>)</w:t>
      </w:r>
      <w:r w:rsidRPr="00EA09EB">
        <w:rPr>
          <w:rFonts w:hint="cs"/>
          <w:rtl/>
        </w:rPr>
        <w:t xml:space="preserve">. والمرّة الأولى التي أطلق فيها شعارات مؤيِّدة لولاية الفقيه كانت في صلاة الجمعة في 6 مهر 1358هـ.ش </w:t>
      </w:r>
      <w:r>
        <w:rPr>
          <w:rFonts w:hint="cs"/>
          <w:rtl/>
        </w:rPr>
        <w:t>/ 1979 م</w:t>
      </w:r>
      <w:r w:rsidRPr="00A32FC0">
        <w:rPr>
          <w:vertAlign w:val="superscript"/>
          <w:rtl/>
        </w:rPr>
        <w:t xml:space="preserve"> </w:t>
      </w:r>
      <w:r w:rsidRPr="00064619">
        <w:rPr>
          <w:rFonts w:cs="Taher"/>
          <w:vertAlign w:val="superscript"/>
          <w:rtl/>
        </w:rPr>
        <w:t>(</w:t>
      </w:r>
      <w:r w:rsidRPr="00064619">
        <w:rPr>
          <w:rStyle w:val="FootnoteReference"/>
          <w:rFonts w:cs="Taher"/>
          <w:sz w:val="32"/>
          <w:rtl/>
        </w:rPr>
        <w:footnoteReference w:id="415"/>
      </w:r>
      <w:r w:rsidRPr="00064619">
        <w:rPr>
          <w:rFonts w:cs="Taher"/>
          <w:vertAlign w:val="superscript"/>
          <w:rtl/>
        </w:rPr>
        <w:t>)</w:t>
      </w:r>
      <w:r w:rsidRPr="00EA09EB">
        <w:rPr>
          <w:rFonts w:hint="cs"/>
          <w:rtl/>
        </w:rPr>
        <w:t xml:space="preserve">. وأوّل مرة ذكرت ولاية الفقيه على أنها أصلٌ في بيان مظاهرة كانت في مظاهرات التضامن بين الأمّة والسيد الخميني في 4 آبان 1358هـ.ش </w:t>
      </w:r>
      <w:r>
        <w:rPr>
          <w:rFonts w:hint="cs"/>
          <w:rtl/>
        </w:rPr>
        <w:t>/ 1979 م</w:t>
      </w:r>
      <w:r w:rsidRPr="00A32FC0">
        <w:rPr>
          <w:vertAlign w:val="superscript"/>
          <w:rtl/>
        </w:rPr>
        <w:t xml:space="preserve"> </w:t>
      </w:r>
      <w:r w:rsidRPr="00064619">
        <w:rPr>
          <w:rFonts w:cs="Taher"/>
          <w:vertAlign w:val="superscript"/>
          <w:rtl/>
        </w:rPr>
        <w:t>(</w:t>
      </w:r>
      <w:r w:rsidRPr="00064619">
        <w:rPr>
          <w:rStyle w:val="FootnoteReference"/>
          <w:rFonts w:cs="Taher"/>
          <w:sz w:val="32"/>
          <w:rtl/>
        </w:rPr>
        <w:footnoteReference w:id="416"/>
      </w:r>
      <w:r w:rsidRPr="00064619">
        <w:rPr>
          <w:rFonts w:cs="Taher"/>
          <w:vertAlign w:val="superscript"/>
          <w:rtl/>
        </w:rPr>
        <w:t>)</w:t>
      </w:r>
      <w:r w:rsidRPr="00A32FC0">
        <w:rPr>
          <w:rFonts w:hint="cs"/>
          <w:rtl/>
        </w:rPr>
        <w:t>.</w:t>
      </w:r>
    </w:p>
    <w:p w:rsidR="00EA09EB" w:rsidRPr="00EA09EB" w:rsidRDefault="00EA09EB" w:rsidP="000E5EF9">
      <w:pPr>
        <w:pStyle w:val="Normal84"/>
        <w:rPr>
          <w:rtl/>
        </w:rPr>
      </w:pPr>
      <w:r>
        <w:rPr>
          <w:rFonts w:hint="cs"/>
          <w:rtl/>
        </w:rPr>
        <w:t>لا بُدَّ</w:t>
      </w:r>
      <w:r w:rsidRPr="00A32FC0">
        <w:rPr>
          <w:rFonts w:hint="cs"/>
          <w:rtl/>
        </w:rPr>
        <w:t xml:space="preserve"> من الإشارة إلى أن قائد الثورة، في حكم تعيينه لرئيس الوزراء، جعل إحدى وظائفه تشكيل المجلس التأسيسيّ للدستور</w:t>
      </w:r>
      <w:r w:rsidRPr="00064619">
        <w:rPr>
          <w:rFonts w:cs="Taher"/>
          <w:vertAlign w:val="superscript"/>
          <w:rtl/>
        </w:rPr>
        <w:t>(</w:t>
      </w:r>
      <w:r w:rsidRPr="00064619">
        <w:rPr>
          <w:rStyle w:val="FootnoteReference"/>
          <w:rFonts w:cs="Taher"/>
          <w:sz w:val="32"/>
          <w:rtl/>
        </w:rPr>
        <w:footnoteReference w:id="417"/>
      </w:r>
      <w:r w:rsidRPr="00064619">
        <w:rPr>
          <w:rFonts w:cs="Taher"/>
          <w:vertAlign w:val="superscript"/>
          <w:rtl/>
        </w:rPr>
        <w:t>)</w:t>
      </w:r>
      <w:r w:rsidRPr="00EA09EB">
        <w:rPr>
          <w:rFonts w:hint="cs"/>
          <w:rtl/>
        </w:rPr>
        <w:t>، إلا أنه تقرّر لاحقاً تشكيل مجلس أضيق باسم «مجلس الخبراء لصياغة الدستور»</w:t>
      </w:r>
      <w:r w:rsidRPr="00064619">
        <w:rPr>
          <w:rFonts w:cs="Taher"/>
          <w:vertAlign w:val="superscript"/>
          <w:rtl/>
        </w:rPr>
        <w:t>(</w:t>
      </w:r>
      <w:r w:rsidRPr="00064619">
        <w:rPr>
          <w:rStyle w:val="FootnoteReference"/>
          <w:rFonts w:cs="Taher"/>
          <w:sz w:val="32"/>
          <w:rtl/>
        </w:rPr>
        <w:footnoteReference w:id="418"/>
      </w:r>
      <w:r w:rsidRPr="00064619">
        <w:rPr>
          <w:rFonts w:cs="Taher"/>
          <w:vertAlign w:val="superscript"/>
          <w:rtl/>
        </w:rPr>
        <w:t>)</w:t>
      </w:r>
      <w:r w:rsidRPr="00EA09EB">
        <w:rPr>
          <w:rFonts w:hint="cs"/>
          <w:rtl/>
        </w:rPr>
        <w:t>. وكان الفرق بين المجلس التأسيسي ومجلس الخبراء</w:t>
      </w:r>
      <w:r w:rsidRPr="00064619">
        <w:rPr>
          <w:rFonts w:cs="Taher"/>
          <w:vertAlign w:val="superscript"/>
          <w:rtl/>
        </w:rPr>
        <w:t>(</w:t>
      </w:r>
      <w:r w:rsidRPr="00064619">
        <w:rPr>
          <w:rStyle w:val="FootnoteReference"/>
          <w:rFonts w:cs="Taher"/>
          <w:sz w:val="32"/>
          <w:rtl/>
        </w:rPr>
        <w:footnoteReference w:id="419"/>
      </w:r>
      <w:r w:rsidRPr="00064619">
        <w:rPr>
          <w:rFonts w:cs="Taher"/>
          <w:vertAlign w:val="superscript"/>
          <w:rtl/>
        </w:rPr>
        <w:t>)</w:t>
      </w:r>
      <w:r w:rsidRPr="00EA09EB">
        <w:rPr>
          <w:rFonts w:hint="cs"/>
          <w:rtl/>
        </w:rPr>
        <w:t xml:space="preserve"> من جهتين:</w:t>
      </w:r>
    </w:p>
    <w:p w:rsidR="00EA09EB" w:rsidRPr="00EA09EB" w:rsidRDefault="00EA09EB" w:rsidP="000E5EF9">
      <w:pPr>
        <w:pStyle w:val="Normal87"/>
        <w:rPr>
          <w:rtl/>
        </w:rPr>
      </w:pPr>
      <w:r w:rsidRPr="007A340E">
        <w:rPr>
          <w:rFonts w:hint="cs"/>
          <w:b/>
          <w:bCs/>
          <w:rtl/>
        </w:rPr>
        <w:t>الأولى</w:t>
      </w:r>
      <w:r w:rsidRPr="00EA09EB">
        <w:rPr>
          <w:rFonts w:hint="cs"/>
          <w:rtl/>
        </w:rPr>
        <w:t>: عدد الممثِّلين. كان هناك ممثِّل واحدٌ لكلّ مئة ألف مواطن في المجلس التأسيسيّ (أي ما يقارب 360 ممثِّلاً)، والحال أنه في مجلس الخبراء اعتُبر وجود ممثِّل واحد لكلّ خمسمائة ألف (73 ممثِّلاً). وبملاحظة الظروف السائدة في ذلك الوقت فقد اعتبر أن المصلحة تقتضي هذا الأمر، فبانتخاب ثلاثة وسبعين ممثِّلاً يَقلّ احتمال دخول مندسّين في هذا المجلس.</w:t>
      </w:r>
    </w:p>
    <w:p w:rsidR="00EA09EB" w:rsidRPr="00EA09EB" w:rsidRDefault="00EA09EB" w:rsidP="000E5EF9">
      <w:pPr>
        <w:pStyle w:val="Normal84"/>
        <w:rPr>
          <w:rtl/>
        </w:rPr>
      </w:pPr>
      <w:r w:rsidRPr="007A340E">
        <w:rPr>
          <w:rFonts w:hint="cs"/>
          <w:b/>
          <w:bCs/>
          <w:rtl/>
        </w:rPr>
        <w:t>الثانية</w:t>
      </w:r>
      <w:r w:rsidRPr="00EA09EB">
        <w:rPr>
          <w:rFonts w:hint="cs"/>
          <w:rtl/>
        </w:rPr>
        <w:t>: إن فترة عمل المجلس التأسيسيّ منوطة باستيفاء النقاش حول الدستور واقتناعهم به (ما يقارب السنة). والحال أنّه تمّ الاقتصار على شهر واحد من المباحثات في مجلس الخبراء. فقد اعتبر أنه من المصلحة أن يتمّ إرساء الدستور في البلاد بأسرع وقت ممكن. ومن الجدير ذكره أنه لم يكن من شروط الدخول في مجلس الخبراء (الاجتهاد)، ولا (الذكورة)، تماماً كالمجلس التأسيسيّ.</w:t>
      </w:r>
    </w:p>
    <w:p w:rsidR="00EA09EB" w:rsidRPr="00A32FC0" w:rsidRDefault="00EA09EB" w:rsidP="000E5EF9">
      <w:pPr>
        <w:pStyle w:val="Normal87"/>
        <w:rPr>
          <w:rtl/>
        </w:rPr>
      </w:pPr>
      <w:r w:rsidRPr="00A32FC0">
        <w:rPr>
          <w:rFonts w:hint="cs"/>
          <w:rtl/>
        </w:rPr>
        <w:t xml:space="preserve">وعلى </w:t>
      </w:r>
      <w:r>
        <w:rPr>
          <w:rFonts w:hint="cs"/>
          <w:rtl/>
        </w:rPr>
        <w:t>أيّ</w:t>
      </w:r>
      <w:r w:rsidRPr="00A32FC0">
        <w:rPr>
          <w:rFonts w:hint="cs"/>
          <w:rtl/>
        </w:rPr>
        <w:t xml:space="preserve"> حال فإن ولاية الفقيه إلى زمان إقرارها في مجلس خبراء الدستور لم تكن تعدّ من أهداف الثورة الإسلاميّة، ولا من أصول الجمهوري</w:t>
      </w:r>
      <w:r>
        <w:rPr>
          <w:rFonts w:hint="cs"/>
          <w:rtl/>
        </w:rPr>
        <w:t>ّة الإسلاميّة، ولا تحدَّث السيد</w:t>
      </w:r>
      <w:r w:rsidRPr="00A32FC0">
        <w:rPr>
          <w:rFonts w:hint="cs"/>
          <w:rtl/>
        </w:rPr>
        <w:t xml:space="preserve"> الخمينيّ بشكل صريح عن التلازم بينها وبين الجمهوريّة الإسلاميّة.</w:t>
      </w:r>
    </w:p>
    <w:p w:rsidR="00EA09EB" w:rsidRDefault="00EA09EB" w:rsidP="000E5EF9">
      <w:pPr>
        <w:pStyle w:val="Normal84"/>
        <w:rPr>
          <w:rtl/>
        </w:rPr>
      </w:pPr>
      <w:r w:rsidRPr="00EA09EB">
        <w:rPr>
          <w:rFonts w:hint="cs"/>
          <w:rtl/>
        </w:rPr>
        <w:t>إن أصل ولاية الفقيه لم يكن مطروحاً في مسوَّدة الدستور</w:t>
      </w:r>
      <w:r w:rsidRPr="00064619">
        <w:rPr>
          <w:rFonts w:cs="Taher"/>
          <w:vertAlign w:val="superscript"/>
          <w:rtl/>
        </w:rPr>
        <w:t>(</w:t>
      </w:r>
      <w:r w:rsidRPr="00064619">
        <w:rPr>
          <w:rStyle w:val="FootnoteReference"/>
          <w:rFonts w:cs="Taher"/>
          <w:sz w:val="32"/>
          <w:rtl/>
        </w:rPr>
        <w:footnoteReference w:id="420"/>
      </w:r>
      <w:r w:rsidRPr="00064619">
        <w:rPr>
          <w:rFonts w:cs="Taher"/>
          <w:vertAlign w:val="superscript"/>
          <w:rtl/>
        </w:rPr>
        <w:t>)</w:t>
      </w:r>
      <w:r w:rsidRPr="00EA09EB">
        <w:rPr>
          <w:rFonts w:hint="cs"/>
          <w:rtl/>
        </w:rPr>
        <w:t>، إلا أنه وبعد الاقتراحات التي قدّمت إلى أمانة سرّ مجلس المراجعة النهائية للدستور</w:t>
      </w:r>
      <w:r>
        <w:rPr>
          <w:rStyle w:val="FootnoteReference"/>
          <w:rFonts w:cs="Abz-1 (Lotus)"/>
          <w:sz w:val="32"/>
          <w:szCs w:val="32"/>
          <w:rtl/>
        </w:rPr>
        <w:footnoteReference w:id="421"/>
      </w:r>
      <w:r w:rsidRPr="00EA09EB">
        <w:rPr>
          <w:rFonts w:hint="cs"/>
          <w:rtl/>
        </w:rPr>
        <w:t>، وتقبُّل أكثرية الخبراء المنتخبين من قِبل الناس</w:t>
      </w:r>
      <w:r>
        <w:rPr>
          <w:rStyle w:val="FootnoteReference"/>
          <w:rFonts w:cs="Abz-1 (Lotus)"/>
          <w:sz w:val="32"/>
          <w:szCs w:val="32"/>
          <w:rtl/>
        </w:rPr>
        <w:footnoteReference w:id="422"/>
      </w:r>
      <w:r w:rsidRPr="00EA09EB">
        <w:rPr>
          <w:rFonts w:hint="cs"/>
          <w:rtl/>
        </w:rPr>
        <w:t>، تمّ طرح أصل ولاية الفقيه في اللجنة الأولى في المجلس (المكلَّفة ببحث المقدّمة والفصل الأول من الدستور). وبعد ذلك، وفي جلسة مشتركة للجان والمجموعات في مجلس الخبراء، بحضور أكثرية الممثِّلين، وبعد مدة من البحث دامت إحدى عشرة ساعة موزَّعة على ثلاثة أيام</w:t>
      </w:r>
      <w:r>
        <w:rPr>
          <w:rStyle w:val="FootnoteReference"/>
          <w:rFonts w:cs="Abz-1 (Lotus)"/>
          <w:sz w:val="32"/>
          <w:szCs w:val="32"/>
          <w:rtl/>
        </w:rPr>
        <w:footnoteReference w:id="423"/>
      </w:r>
      <w:r w:rsidRPr="00EA09EB">
        <w:rPr>
          <w:rFonts w:hint="cs"/>
          <w:rtl/>
        </w:rPr>
        <w:t xml:space="preserve">، تمّ ـ أخيراً ـ إقرار أصل ولاية الفقيه في 21 شهريور 1358هـ.ش </w:t>
      </w:r>
      <w:r>
        <w:rPr>
          <w:rFonts w:hint="cs"/>
          <w:rtl/>
        </w:rPr>
        <w:t>/ 1979 م</w:t>
      </w:r>
      <w:r w:rsidRPr="00A32FC0">
        <w:rPr>
          <w:rFonts w:hint="cs"/>
          <w:rtl/>
        </w:rPr>
        <w:t xml:space="preserve"> في الجلسة الخامسة عشرة للمجلس، بعد عرض وجهة نظر عضو موافق وآخر مخالف، بتصويت أكثرية ثلاث وخمسين عضواً موافقاً (وكان هناك ثمانية أعضاء مخالفين، وامتنع أربعة أعضاء عن التصويت).</w:t>
      </w:r>
    </w:p>
    <w:p w:rsidR="00EA09EB" w:rsidRPr="00A32FC0" w:rsidRDefault="00EA09EB" w:rsidP="000E5EF9">
      <w:pPr>
        <w:rPr>
          <w:rtl/>
        </w:rPr>
      </w:pPr>
      <w:r w:rsidRPr="00A32FC0">
        <w:rPr>
          <w:rFonts w:hint="cs"/>
          <w:rtl/>
        </w:rPr>
        <w:t>«</w:t>
      </w:r>
      <w:r w:rsidRPr="003A3526">
        <w:rPr>
          <w:rFonts w:hint="cs"/>
          <w:rtl/>
        </w:rPr>
        <w:t>الأصل الخامس: في زمن غيبة الإمام المهدي</w:t>
      </w:r>
      <w:r w:rsidRPr="003A3526">
        <w:rPr>
          <w:rFonts w:hint="cs"/>
          <w:rtl/>
        </w:rPr>
        <w:sym w:font="Abz Roumouz" w:char="F02E"/>
      </w:r>
      <w:r w:rsidRPr="003A3526">
        <w:rPr>
          <w:rFonts w:hint="cs"/>
          <w:rtl/>
        </w:rPr>
        <w:t xml:space="preserve"> تكون ولاية الأمر وإمامة الأمة في الجمهورية الإسلامية الإيرانية بيد الفقيه العادل المتقي</w:t>
      </w:r>
      <w:r>
        <w:rPr>
          <w:rFonts w:hint="cs"/>
          <w:rtl/>
        </w:rPr>
        <w:t>،</w:t>
      </w:r>
      <w:r w:rsidRPr="003A3526">
        <w:rPr>
          <w:rFonts w:hint="cs"/>
          <w:rtl/>
        </w:rPr>
        <w:t xml:space="preserve"> والعالم بأمر الأمّة</w:t>
      </w:r>
      <w:r>
        <w:rPr>
          <w:rFonts w:hint="cs"/>
          <w:rtl/>
        </w:rPr>
        <w:t>،</w:t>
      </w:r>
      <w:r w:rsidRPr="003A3526">
        <w:rPr>
          <w:rFonts w:hint="cs"/>
          <w:rtl/>
        </w:rPr>
        <w:t xml:space="preserve"> والشجاع القادر على الإدارة والتدبير، الذي تعرفه أكثرية الجماهير</w:t>
      </w:r>
      <w:r>
        <w:rPr>
          <w:rFonts w:hint="cs"/>
          <w:rtl/>
        </w:rPr>
        <w:t>،</w:t>
      </w:r>
      <w:r w:rsidRPr="003A3526">
        <w:rPr>
          <w:rFonts w:hint="cs"/>
          <w:rtl/>
        </w:rPr>
        <w:t xml:space="preserve"> وتتقبل قيادته</w:t>
      </w:r>
      <w:r>
        <w:rPr>
          <w:rFonts w:hint="cs"/>
          <w:rtl/>
        </w:rPr>
        <w:t>.</w:t>
      </w:r>
      <w:r w:rsidRPr="003A3526">
        <w:rPr>
          <w:rFonts w:hint="cs"/>
          <w:rtl/>
        </w:rPr>
        <w:t xml:space="preserve"> وفي حال عدم إحراز أي فقيه لهذه الأكثرية فإن القائد </w:t>
      </w:r>
      <w:r>
        <w:rPr>
          <w:rFonts w:hint="cs"/>
          <w:rtl/>
        </w:rPr>
        <w:t>ـ</w:t>
      </w:r>
      <w:r w:rsidRPr="003A3526">
        <w:rPr>
          <w:rFonts w:hint="cs"/>
          <w:rtl/>
        </w:rPr>
        <w:t xml:space="preserve"> أو مجلس القيادة الم</w:t>
      </w:r>
      <w:r>
        <w:rPr>
          <w:rFonts w:hint="cs"/>
          <w:rtl/>
        </w:rPr>
        <w:t>كوَّن</w:t>
      </w:r>
      <w:r w:rsidRPr="003A3526">
        <w:rPr>
          <w:rFonts w:hint="cs"/>
          <w:rtl/>
        </w:rPr>
        <w:t xml:space="preserve"> من الفقهاء جامعي الشرائط </w:t>
      </w:r>
      <w:r>
        <w:rPr>
          <w:rFonts w:hint="cs"/>
          <w:rtl/>
        </w:rPr>
        <w:t>ـ</w:t>
      </w:r>
      <w:r w:rsidRPr="003A3526">
        <w:rPr>
          <w:rFonts w:hint="cs"/>
          <w:rtl/>
        </w:rPr>
        <w:t xml:space="preserve"> يتحمل هذه المسؤولية</w:t>
      </w:r>
      <w:r>
        <w:rPr>
          <w:rFonts w:hint="cs"/>
          <w:rtl/>
        </w:rPr>
        <w:t>،</w:t>
      </w:r>
      <w:r w:rsidRPr="003A3526">
        <w:rPr>
          <w:rFonts w:hint="cs"/>
          <w:rtl/>
        </w:rPr>
        <w:t xml:space="preserve"> وفقاً للمادة السابعة بعد المئة</w:t>
      </w:r>
      <w:r w:rsidRPr="00A32FC0">
        <w:rPr>
          <w:rFonts w:hint="cs"/>
          <w:rtl/>
        </w:rPr>
        <w:t>»</w:t>
      </w:r>
      <w:r w:rsidRPr="00064619">
        <w:rPr>
          <w:rFonts w:cs="Taher" w:hint="cs"/>
          <w:vertAlign w:val="superscript"/>
          <w:rtl/>
        </w:rPr>
        <w:t>(</w:t>
      </w:r>
      <w:r w:rsidRPr="00064619">
        <w:rPr>
          <w:rFonts w:cs="Taher"/>
          <w:vertAlign w:val="superscript"/>
          <w:rtl/>
        </w:rPr>
        <w:footnoteReference w:id="424"/>
      </w:r>
      <w:r w:rsidRPr="00064619">
        <w:rPr>
          <w:rFonts w:cs="Taher" w:hint="cs"/>
          <w:vertAlign w:val="superscript"/>
          <w:rtl/>
        </w:rPr>
        <w:t>)</w:t>
      </w:r>
      <w:r>
        <w:rPr>
          <w:rFonts w:hint="cs"/>
          <w:rtl/>
        </w:rPr>
        <w:t>.</w:t>
      </w:r>
    </w:p>
    <w:p w:rsidR="00EA09EB" w:rsidRPr="00A32FC0" w:rsidRDefault="00EA09EB" w:rsidP="000E5EF9">
      <w:pPr>
        <w:pStyle w:val="Normal84"/>
        <w:rPr>
          <w:rtl/>
        </w:rPr>
      </w:pPr>
      <w:r w:rsidRPr="00A32FC0">
        <w:rPr>
          <w:rFonts w:hint="cs"/>
          <w:rtl/>
        </w:rPr>
        <w:t xml:space="preserve">وفي جوابه عن الإشكالية التالية: «إذا قمنا بتبديل الأصل الذي تبتني عليه الحكومة، الذي هو آراء الشعب، إلى حكومة الفقيه فعلينا تبديل جميع الأصول التي تعارض هذا الأصل، ومن الواجب أخذ نظر الشعب في ذلك» صرّح </w:t>
      </w:r>
      <w:r>
        <w:rPr>
          <w:rFonts w:hint="cs"/>
          <w:rtl/>
        </w:rPr>
        <w:t>السيد</w:t>
      </w:r>
      <w:r w:rsidRPr="00A32FC0">
        <w:rPr>
          <w:rFonts w:hint="cs"/>
          <w:rtl/>
        </w:rPr>
        <w:t xml:space="preserve"> بهشتي: «إذا تمّ الاتفاق على أن يكون نظامنا المستقبلي هو الجمهوريّة الإسلاميّة يجب أن تكون قيادة هذا النظام ومركز ثقل إدارته بعهدة شخص أو أشخاص يُعَدّون أسوةً ونموذجاً، من جهة معرفتهم بالإسلام، والتزامهم العمليّ به. إنّ المجتمع والنُظم الاجتماعيّة على نوعين: </w:t>
      </w:r>
      <w:r w:rsidRPr="00A32FC0">
        <w:rPr>
          <w:rFonts w:hint="cs"/>
          <w:b/>
          <w:bCs/>
          <w:rtl/>
        </w:rPr>
        <w:t>الأول</w:t>
      </w:r>
      <w:r w:rsidRPr="00EA09EB">
        <w:rPr>
          <w:rFonts w:hint="cs"/>
          <w:rtl/>
        </w:rPr>
        <w:t xml:space="preserve">: يرتكز على أصل رأي الشعب بدون أيّ قيد أو شرط (الديمقراطية)؛ </w:t>
      </w:r>
      <w:r w:rsidRPr="00A32FC0">
        <w:rPr>
          <w:rFonts w:hint="cs"/>
          <w:b/>
          <w:bCs/>
          <w:rtl/>
        </w:rPr>
        <w:t>والثاني</w:t>
      </w:r>
      <w:r w:rsidRPr="00EA09EB">
        <w:rPr>
          <w:rFonts w:hint="cs"/>
          <w:rtl/>
        </w:rPr>
        <w:t>: المجتمعات الرسالية والإيديولوجية، فالناس في تلك المجتمعات يقومون في البداية بانتخاب مذهب، وبهذا الانتخاب يكونون قد أعلنوا أنّه من الآن فصاعداً يجب أن يكون كلّ شيءٍ مرتكزاً على هذا المذهب. والجمهورية الإسلاميّة هي نظام مذهبيّ. وهذا الأصل هو نتيجة انتخاب الناس للجمهوريّة الإسلاميّة. ولا بُدَّ أن يكون قانون هذا المجتمع قائماً على الإسلام، كما لابدّ أن يكون قائد هذا المجتمع عالماً إسلاميّاً، ويتمتَّع بالقدرة على الإدارة والتدبير</w:t>
      </w:r>
      <w:r w:rsidRPr="00064619">
        <w:rPr>
          <w:rFonts w:cs="Taher"/>
          <w:vertAlign w:val="superscript"/>
          <w:rtl/>
        </w:rPr>
        <w:t>(</w:t>
      </w:r>
      <w:r w:rsidRPr="00064619">
        <w:rPr>
          <w:rStyle w:val="FootnoteReference"/>
          <w:rFonts w:cs="Taher"/>
          <w:sz w:val="32"/>
          <w:rtl/>
        </w:rPr>
        <w:footnoteReference w:id="425"/>
      </w:r>
      <w:r w:rsidRPr="00064619">
        <w:rPr>
          <w:rFonts w:cs="Taher"/>
          <w:vertAlign w:val="superscript"/>
          <w:rtl/>
        </w:rPr>
        <w:t>)</w:t>
      </w:r>
      <w:r w:rsidRPr="00A32FC0">
        <w:rPr>
          <w:rFonts w:hint="cs"/>
          <w:rtl/>
        </w:rPr>
        <w:t xml:space="preserve">. </w:t>
      </w:r>
    </w:p>
    <w:p w:rsidR="00EA09EB" w:rsidRPr="00A32FC0" w:rsidRDefault="00EA09EB" w:rsidP="000E5EF9">
      <w:pPr>
        <w:pStyle w:val="Normal84"/>
        <w:rPr>
          <w:rtl/>
        </w:rPr>
      </w:pPr>
      <w:r w:rsidRPr="00A32FC0">
        <w:rPr>
          <w:rFonts w:hint="cs"/>
          <w:rtl/>
        </w:rPr>
        <w:t>وعلّق بعض أعضاء مجلس الخبراء بالتالي: «هذا الأصل أصل هامّ وأساسي، وسوف يُحدث ثورة في المجتمع الإيراني، ولذلك لا تجعلوه يُمرَّر بشكل سطحيّ... لم يتمّ توضيح هذا الأصل بالقدر الكافي في مجلس الخبراء، وإذا كنتم تريدون حسم الموضوع بشكل سريع فإن ذلك من وجهة نظر الشعب الإيراني سوف يسبِّب الكثير من المشاكل»</w:t>
      </w:r>
      <w:r w:rsidRPr="00064619">
        <w:rPr>
          <w:rFonts w:cs="Taher"/>
          <w:vertAlign w:val="superscript"/>
          <w:rtl/>
        </w:rPr>
        <w:t>(</w:t>
      </w:r>
      <w:r w:rsidRPr="00064619">
        <w:rPr>
          <w:rStyle w:val="FootnoteReference"/>
          <w:rFonts w:cs="Taher"/>
          <w:sz w:val="32"/>
          <w:rtl/>
        </w:rPr>
        <w:footnoteReference w:id="426"/>
      </w:r>
      <w:r w:rsidRPr="00064619">
        <w:rPr>
          <w:rFonts w:cs="Taher"/>
          <w:vertAlign w:val="superscript"/>
          <w:rtl/>
        </w:rPr>
        <w:t>)</w:t>
      </w:r>
      <w:r w:rsidRPr="00A32FC0">
        <w:rPr>
          <w:rFonts w:hint="cs"/>
          <w:rtl/>
        </w:rPr>
        <w:t>.</w:t>
      </w:r>
    </w:p>
    <w:p w:rsidR="00EA09EB" w:rsidRPr="00A32FC0" w:rsidRDefault="00EA09EB" w:rsidP="000E5EF9">
      <w:pPr>
        <w:pStyle w:val="Normal84"/>
        <w:rPr>
          <w:rtl/>
        </w:rPr>
      </w:pPr>
      <w:r w:rsidRPr="00A32FC0">
        <w:rPr>
          <w:rFonts w:hint="cs"/>
          <w:rtl/>
        </w:rPr>
        <w:t>إلاّ أن أكثرية الخبراء كانوا يرون ضرورة الإسراع في التصويت على هذا الأصل</w:t>
      </w:r>
      <w:r w:rsidRPr="00064619">
        <w:rPr>
          <w:rFonts w:cs="Taher"/>
          <w:vertAlign w:val="superscript"/>
          <w:rtl/>
        </w:rPr>
        <w:t>(</w:t>
      </w:r>
      <w:r w:rsidRPr="00064619">
        <w:rPr>
          <w:rStyle w:val="FootnoteReference"/>
          <w:rFonts w:cs="Taher"/>
          <w:sz w:val="32"/>
          <w:rtl/>
        </w:rPr>
        <w:footnoteReference w:id="427"/>
      </w:r>
      <w:r w:rsidRPr="00064619">
        <w:rPr>
          <w:rFonts w:cs="Taher"/>
          <w:vertAlign w:val="superscript"/>
          <w:rtl/>
        </w:rPr>
        <w:t>)</w:t>
      </w:r>
      <w:r w:rsidRPr="00A32FC0">
        <w:rPr>
          <w:rFonts w:hint="cs"/>
          <w:rtl/>
        </w:rPr>
        <w:t>.</w:t>
      </w:r>
    </w:p>
    <w:p w:rsidR="00EA09EB" w:rsidRPr="00EA09EB" w:rsidRDefault="00EA09EB" w:rsidP="000E5EF9">
      <w:pPr>
        <w:pStyle w:val="Normal84"/>
        <w:rPr>
          <w:rtl/>
        </w:rPr>
      </w:pPr>
      <w:r w:rsidRPr="00A32FC0">
        <w:rPr>
          <w:rFonts w:hint="cs"/>
          <w:rtl/>
        </w:rPr>
        <w:t>في النقاشات التي دارت حول الأصل السادس والخمسين من الدستور (حقّ سيادة الشعب) تمّ التركيز في مجلس الخبراء على العلاقة بين حقّ سيادة الشعب وولاية الفقيه. اتّفق الخبراء على أن السلطة المطلقة أمرٌ مختصّ بالله</w:t>
      </w:r>
      <w:r w:rsidRPr="00064619">
        <w:rPr>
          <w:rFonts w:cs="Taher"/>
          <w:vertAlign w:val="superscript"/>
          <w:rtl/>
        </w:rPr>
        <w:t>(</w:t>
      </w:r>
      <w:r w:rsidRPr="00064619">
        <w:rPr>
          <w:rStyle w:val="FootnoteReference"/>
          <w:rFonts w:cs="Taher"/>
          <w:sz w:val="32"/>
          <w:rtl/>
        </w:rPr>
        <w:footnoteReference w:id="428"/>
      </w:r>
      <w:r w:rsidRPr="00064619">
        <w:rPr>
          <w:rFonts w:cs="Taher"/>
          <w:vertAlign w:val="superscript"/>
          <w:rtl/>
        </w:rPr>
        <w:t>)</w:t>
      </w:r>
      <w:r w:rsidRPr="00EA09EB">
        <w:rPr>
          <w:rFonts w:hint="cs"/>
          <w:rtl/>
        </w:rPr>
        <w:t>. وكان قسم من الخبراء يعتقد بأن الله قد فوّض هذا الحقّ إلى جميع الناس؛ ليستعملوه في إطار الدين. أمّا القسم الآخر منهم فقد كان يعتقد بأن هذه السلطة قد فوّضت للعباد الصالحين «الفقهاء العدول» في عصر الغيبة، لذلك فإنّ أصل حقّ سيادة الشعب يتعارض مع ولاية الفقيه؛ لأننا قد فوّضنا في الأصل الخامس حقّ تقرير المصير إلى الفقيه، فكيف يمكن الآن أن نعتبر أن حق السيادة هو للشعب؟ وعلى هذا فإن هذا النصّ (الأصل 56) مخالفٌ للشرع، فإن تقرير مصيره لم يُفوَّض إليه بشكل مطلق</w:t>
      </w:r>
      <w:r w:rsidRPr="00064619">
        <w:rPr>
          <w:rFonts w:cs="Taher"/>
          <w:vertAlign w:val="superscript"/>
          <w:rtl/>
        </w:rPr>
        <w:t>(</w:t>
      </w:r>
      <w:r w:rsidRPr="00064619">
        <w:rPr>
          <w:rStyle w:val="FootnoteReference"/>
          <w:rFonts w:cs="Taher"/>
          <w:sz w:val="32"/>
          <w:rtl/>
        </w:rPr>
        <w:footnoteReference w:id="429"/>
      </w:r>
      <w:r w:rsidRPr="00064619">
        <w:rPr>
          <w:rFonts w:cs="Taher"/>
          <w:vertAlign w:val="superscript"/>
          <w:rtl/>
        </w:rPr>
        <w:t>)</w:t>
      </w:r>
      <w:r w:rsidRPr="00EA09EB">
        <w:rPr>
          <w:rFonts w:hint="cs"/>
          <w:rtl/>
        </w:rPr>
        <w:t>. وافق القسم الأول من الأعضاء على حذف كلمة «الشعب» من عبارة «حق سيادة الشعب»، وقاموا بالاستدلال على انسجام هذين الأصلين الأساسيّين في الدستور بما يلي</w:t>
      </w:r>
      <w:r w:rsidRPr="00064619">
        <w:rPr>
          <w:rFonts w:cs="Taher"/>
          <w:vertAlign w:val="superscript"/>
          <w:rtl/>
        </w:rPr>
        <w:t>(</w:t>
      </w:r>
      <w:r w:rsidRPr="00064619">
        <w:rPr>
          <w:rStyle w:val="FootnoteReference"/>
          <w:rFonts w:cs="Taher"/>
          <w:sz w:val="32"/>
          <w:rtl/>
        </w:rPr>
        <w:footnoteReference w:id="430"/>
      </w:r>
      <w:r w:rsidRPr="00064619">
        <w:rPr>
          <w:rFonts w:cs="Taher"/>
          <w:vertAlign w:val="superscript"/>
          <w:rtl/>
        </w:rPr>
        <w:t>)</w:t>
      </w:r>
      <w:r w:rsidRPr="00EA09EB">
        <w:rPr>
          <w:rFonts w:hint="cs"/>
          <w:rtl/>
        </w:rPr>
        <w:t>: «إن هذا الأصل (حق السيادة) لا يتنافى مع الأصل الخامس (ولاية الفقيه)؛ وذلك لأننا ذكرنا في ولاية الفقيه بأنه لابدّ أن تكون منتخبة من قبل أكثرية الناس»؛ إلا أن القسم الثاني من الخبراء أجاب: «إن مسألة القيادة ليست انتخابيّة، فإن الله هو الذي وهب هذه السلطة، ومسألة القبول تختلف عن مسألة الانتخاب»</w:t>
      </w:r>
      <w:r w:rsidRPr="00064619">
        <w:rPr>
          <w:rFonts w:cs="Taher"/>
          <w:vertAlign w:val="superscript"/>
          <w:rtl/>
        </w:rPr>
        <w:t>(</w:t>
      </w:r>
      <w:r w:rsidRPr="00064619">
        <w:rPr>
          <w:rStyle w:val="FootnoteReference"/>
          <w:rFonts w:cs="Taher"/>
          <w:sz w:val="32"/>
          <w:rtl/>
        </w:rPr>
        <w:footnoteReference w:id="431"/>
      </w:r>
      <w:r w:rsidRPr="00064619">
        <w:rPr>
          <w:rFonts w:cs="Taher"/>
          <w:vertAlign w:val="superscript"/>
          <w:rtl/>
        </w:rPr>
        <w:t>)</w:t>
      </w:r>
      <w:r w:rsidRPr="00EA09EB">
        <w:rPr>
          <w:rFonts w:hint="cs"/>
          <w:rtl/>
        </w:rPr>
        <w:t>.</w:t>
      </w:r>
    </w:p>
    <w:p w:rsidR="00EA09EB" w:rsidRDefault="00EA09EB" w:rsidP="00EA09EB">
      <w:pPr>
        <w:rPr>
          <w:rtl/>
          <w:lang w:bidi="ar-LB"/>
        </w:rPr>
      </w:pPr>
      <w:r w:rsidRPr="00A32FC0">
        <w:rPr>
          <w:rFonts w:hint="cs"/>
          <w:rtl/>
          <w:lang w:bidi="ar-LB"/>
        </w:rPr>
        <w:t xml:space="preserve">وعلى </w:t>
      </w:r>
      <w:r>
        <w:rPr>
          <w:rFonts w:hint="cs"/>
          <w:rtl/>
          <w:lang w:bidi="ar-LB"/>
        </w:rPr>
        <w:t>أيّ</w:t>
      </w:r>
      <w:r w:rsidRPr="00A32FC0">
        <w:rPr>
          <w:rFonts w:hint="cs"/>
          <w:rtl/>
          <w:lang w:bidi="ar-LB"/>
        </w:rPr>
        <w:t xml:space="preserve"> حال فإن الأصل 56 من الدستور قد أُقِرَّ بأكثرية 51 موافقاً (وستّة مخالفين، وتسعة ممتنعين عن التصويت).</w:t>
      </w:r>
    </w:p>
    <w:p w:rsidR="00EA09EB" w:rsidRPr="00EA09EB" w:rsidRDefault="00EA09EB" w:rsidP="007A340E">
      <w:pPr>
        <w:ind w:firstLine="283"/>
        <w:rPr>
          <w:rtl/>
        </w:rPr>
      </w:pPr>
      <w:r w:rsidRPr="00EA09EB">
        <w:rPr>
          <w:rFonts w:hint="cs"/>
          <w:rtl/>
        </w:rPr>
        <w:t>«السيادة المطلقة على العالم، وعلى الإنسان، لله وحده، وهو الذي منح الإنسان حق السيادة على مصيره الاجتماعي، ولا يحقّ لأحدٍ سلب الإنسان هذا الحقّ الإلهي، أو تسخيره في خدمة فردٍ أو فئة ما، والشعب يمارس هذا الحقّ الممنوح من الله بالطرق المبيَّنة في المواد اللاحقة»</w:t>
      </w:r>
      <w:r w:rsidRPr="00064619">
        <w:rPr>
          <w:rFonts w:cs="Taher" w:hint="cs"/>
          <w:sz w:val="32"/>
          <w:vertAlign w:val="superscript"/>
          <w:rtl/>
        </w:rPr>
        <w:t>(</w:t>
      </w:r>
      <w:r w:rsidRPr="00064619">
        <w:rPr>
          <w:rFonts w:cs="Taher"/>
          <w:sz w:val="32"/>
          <w:vertAlign w:val="superscript"/>
          <w:rtl/>
        </w:rPr>
        <w:footnoteReference w:id="432"/>
      </w:r>
      <w:r w:rsidRPr="00064619">
        <w:rPr>
          <w:rFonts w:cs="Taher" w:hint="cs"/>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إن المناقشات حول الأصل 110 من الدستور (وظائف وصلاحيات القائد) أشارت بوضوح إلى: </w:t>
      </w:r>
    </w:p>
    <w:p w:rsidR="00EA09EB" w:rsidRPr="00EA09EB" w:rsidRDefault="00EA09EB" w:rsidP="007A340E">
      <w:pPr>
        <w:ind w:firstLine="283"/>
        <w:rPr>
          <w:rtl/>
        </w:rPr>
      </w:pPr>
      <w:r w:rsidRPr="007A340E">
        <w:rPr>
          <w:rFonts w:hint="cs"/>
          <w:b/>
          <w:bCs/>
          <w:rtl/>
        </w:rPr>
        <w:t>أولاً</w:t>
      </w:r>
      <w:r w:rsidRPr="00EA09EB">
        <w:rPr>
          <w:rFonts w:hint="cs"/>
          <w:rtl/>
        </w:rPr>
        <w:t>: وجود رأيين فقهيّين إسلاميّين مختلفين في مجلس الخبراء حول ولاية الفقيه</w:t>
      </w:r>
      <w:r w:rsidRPr="00064619">
        <w:rPr>
          <w:rFonts w:cs="Taher"/>
          <w:sz w:val="32"/>
          <w:vertAlign w:val="superscript"/>
          <w:rtl/>
          <w:lang w:bidi="ar-LB"/>
        </w:rPr>
        <w:t>(</w:t>
      </w:r>
      <w:r w:rsidRPr="00064619">
        <w:rPr>
          <w:rStyle w:val="FootnoteReference"/>
          <w:rFonts w:cs="Taher"/>
          <w:sz w:val="32"/>
          <w:rtl/>
          <w:lang w:bidi="ar-LB"/>
        </w:rPr>
        <w:footnoteReference w:id="433"/>
      </w:r>
      <w:r w:rsidRPr="00064619">
        <w:rPr>
          <w:rFonts w:cs="Taher"/>
          <w:sz w:val="32"/>
          <w:vertAlign w:val="superscript"/>
          <w:rtl/>
          <w:lang w:bidi="ar-LB"/>
        </w:rPr>
        <w:t>)</w:t>
      </w:r>
      <w:r w:rsidRPr="00EA09EB">
        <w:rPr>
          <w:rFonts w:hint="cs"/>
          <w:rtl/>
        </w:rPr>
        <w:t>: تعيين الولي الفقيه من قِبَل الله؛ وانتخابه من قبل الناس.</w:t>
      </w:r>
    </w:p>
    <w:p w:rsidR="00EA09EB" w:rsidRPr="00A32FC0" w:rsidRDefault="00EA09EB" w:rsidP="00EA09EB">
      <w:pPr>
        <w:rPr>
          <w:rtl/>
          <w:lang w:bidi="ar-LB"/>
        </w:rPr>
      </w:pPr>
      <w:r w:rsidRPr="00A32FC0">
        <w:rPr>
          <w:rFonts w:hint="cs"/>
          <w:b/>
          <w:bCs/>
          <w:rtl/>
          <w:lang w:bidi="ar-LB"/>
        </w:rPr>
        <w:t>ثانياً</w:t>
      </w:r>
      <w:r w:rsidRPr="00A32FC0">
        <w:rPr>
          <w:rFonts w:hint="cs"/>
          <w:rtl/>
          <w:lang w:bidi="ar-LB"/>
        </w:rPr>
        <w:t xml:space="preserve">: الإبهام وعدم الوضوح الذي يحيط بحدود صلاحيات ولاية الفقيه، وبدوره التنفيذيّ، وبمدى حقّه في التدخل في إدارة المجتمع. </w:t>
      </w:r>
    </w:p>
    <w:p w:rsidR="00EA09EB" w:rsidRPr="00A32FC0" w:rsidRDefault="00EA09EB" w:rsidP="000E5EF9">
      <w:pPr>
        <w:pStyle w:val="Normal93"/>
        <w:rPr>
          <w:rtl/>
        </w:rPr>
      </w:pPr>
      <w:r w:rsidRPr="00A32FC0">
        <w:rPr>
          <w:rFonts w:hint="cs"/>
          <w:rtl/>
        </w:rPr>
        <w:t xml:space="preserve">وقد ادعى أحد الفقهاء، العضو في مجلس الخبراء، «أن الذين اقترحوا هذا الأصل كانوا متأثِّرين بالأجواء والظروف المحيطة بهم حالياً، ويظنّون أنه سوف يكون هناك دائماً شخص كبير كالإمام الخمينيّ. فالدستور هو مسألة كلّيّة تصلح لكلّ زمان ومكان. وهذا الأصل الذي دوّن بهذا الشكل غير قابل للتنفيذ في عصرنا، وأكبر دليل على عدم </w:t>
      </w:r>
      <w:r w:rsidRPr="005C7346">
        <w:rPr>
          <w:rFonts w:hint="cs"/>
          <w:rtl/>
        </w:rPr>
        <w:t>صلاحية أيّ قانون</w:t>
      </w:r>
      <w:r w:rsidRPr="00A32FC0">
        <w:rPr>
          <w:rFonts w:hint="cs"/>
          <w:rtl/>
        </w:rPr>
        <w:t xml:space="preserve"> هو عدم القدرة على تنفيذه. عليكم التفكير بشكل صحيح، فإن الأعداء، في الداخل والخارج، يتَّهموننا بالاستبداد والمعارضة لحقّ سيادة الشعب. ولتجريد العدوّ من سلاحه سعى الإمام دائماً أن يتولّى الناس شؤونهم بأنفسهم، إلاّ أن هذه المادة من الدستور تقول: نحن (رجال الدين) الذين نمسك بزمام الأمور كلّها. وهذا يعتبر أفضل ذريعة يتمسَّك بها الأعداء؛ حيث إنهم اعتماداً على هذا الأمر سوف يقولون: إن مجموعة من رجال الدين في مجلس الخبراء اجتمعوا وفصّلوا دستوراً يثبت سلطتهم. أقسم عليكم بالله أن لا تفعلوا ذلك. من الممكن أن لا يعترض الناس اليوم، إلاّ أنّهم سوف يتخلّون عن هذا الدستور لاحقاً. أقسم بالله إنّ هذا ليس في صالح الإسلام، ولا في صالح الثورة. نحن أقررنا في الأصول السابقة مسألة سيادة الشعب فلا نقومنَّ بأيّ عمل يؤدّي إلى إفراغ سيادة الشعب من مضمونها ومحتواها. لو طبقنا ولاية الفقيه بشكلها الصحيح فإن ذلك سوف يكون منسجماً مع سيادة الشعب وأصل الشورى، وأمّا إذا لم نطبِّقها بشكل صحيح فسوف ينتهي بنا الأمر إلى انحلال أصل الشورى، وهذا ما لا يُكتَب له الدوام، وبحسب تعبيرنا </w:t>
      </w:r>
      <w:r w:rsidRPr="00DB29D4">
        <w:rPr>
          <w:rFonts w:hint="cs"/>
          <w:rtl/>
        </w:rPr>
        <w:t>الفقهي «مصلحة الأمّة وغلبة المسلمين</w:t>
      </w:r>
      <w:r w:rsidRPr="00A32FC0">
        <w:rPr>
          <w:rFonts w:hint="cs"/>
          <w:rtl/>
        </w:rPr>
        <w:t>» تفرض علينا عدم حصر جميع الصلاحيات بنا بدون أيّ دليل شرعيّ؛ إذ هو مدعاة للتساؤل والإيهام»</w:t>
      </w:r>
      <w:r w:rsidRPr="00064619">
        <w:rPr>
          <w:rFonts w:cs="Taher"/>
          <w:vertAlign w:val="superscript"/>
          <w:rtl/>
        </w:rPr>
        <w:t>(</w:t>
      </w:r>
      <w:r w:rsidRPr="00064619">
        <w:rPr>
          <w:rStyle w:val="FootnoteReference"/>
          <w:rFonts w:cs="Taher"/>
          <w:sz w:val="32"/>
          <w:rtl/>
        </w:rPr>
        <w:footnoteReference w:id="434"/>
      </w:r>
      <w:r w:rsidRPr="00064619">
        <w:rPr>
          <w:rFonts w:cs="Taher"/>
          <w:vertAlign w:val="superscript"/>
          <w:rtl/>
        </w:rPr>
        <w:t>)</w:t>
      </w:r>
      <w:r w:rsidRPr="00A32FC0">
        <w:rPr>
          <w:rFonts w:hint="cs"/>
          <w:rtl/>
        </w:rPr>
        <w:t>.</w:t>
      </w:r>
    </w:p>
    <w:p w:rsidR="00EA09EB" w:rsidRPr="00A32FC0" w:rsidRDefault="00EA09EB" w:rsidP="00EA09EB">
      <w:pPr>
        <w:rPr>
          <w:rtl/>
          <w:lang w:bidi="ar-LB"/>
        </w:rPr>
      </w:pPr>
      <w:r w:rsidRPr="00A32FC0">
        <w:rPr>
          <w:rFonts w:hint="cs"/>
          <w:rtl/>
          <w:lang w:bidi="ar-LB"/>
        </w:rPr>
        <w:t>وفي نهاية المطاف، وبعد تمديدين</w:t>
      </w:r>
      <w:r w:rsidRPr="00064619">
        <w:rPr>
          <w:rFonts w:cs="Taher"/>
          <w:vertAlign w:val="superscript"/>
          <w:rtl/>
          <w:lang w:bidi="ar-LB"/>
        </w:rPr>
        <w:t>(</w:t>
      </w:r>
      <w:r w:rsidRPr="00064619">
        <w:rPr>
          <w:rStyle w:val="FootnoteReference"/>
          <w:rFonts w:cs="Taher"/>
          <w:sz w:val="32"/>
          <w:rtl/>
          <w:lang w:bidi="ar-LB"/>
        </w:rPr>
        <w:footnoteReference w:id="435"/>
      </w:r>
      <w:r w:rsidRPr="00064619">
        <w:rPr>
          <w:rFonts w:cs="Taher"/>
          <w:vertAlign w:val="superscript"/>
          <w:rtl/>
          <w:lang w:bidi="ar-LB"/>
        </w:rPr>
        <w:t>)</w:t>
      </w:r>
      <w:r w:rsidRPr="00EA09EB">
        <w:rPr>
          <w:rFonts w:hint="cs"/>
          <w:rtl/>
        </w:rPr>
        <w:t xml:space="preserve"> لفترته، أنهى مجلس الخبراء الصياغة النهائية للدستور، بتاريخ 24 آبان 1358هـ.ش </w:t>
      </w:r>
      <w:r>
        <w:rPr>
          <w:rFonts w:hint="cs"/>
          <w:rtl/>
        </w:rPr>
        <w:t>/ 1979 م</w:t>
      </w:r>
      <w:r w:rsidRPr="00EA09EB">
        <w:rPr>
          <w:rFonts w:hint="cs"/>
          <w:rtl/>
        </w:rPr>
        <w:t xml:space="preserve">، بعد 67 جلسة، وقام الناس بالتصويت لصالح هذا الدستور، بتاريخ 11 و12 آذر 1358هـ.ش </w:t>
      </w:r>
      <w:r>
        <w:rPr>
          <w:rFonts w:hint="cs"/>
          <w:rtl/>
        </w:rPr>
        <w:t>/ 1979 م</w:t>
      </w:r>
      <w:r w:rsidRPr="00EA09EB">
        <w:rPr>
          <w:rFonts w:hint="cs"/>
          <w:rtl/>
        </w:rPr>
        <w:t>. وقد شارك في هذا الاستطلاع للرأي 15758956 شخصاً. ونسبة المصوِّتين لصالح هذا الدستور كانت 99.5%، أي (15680339 شخصاً)</w:t>
      </w:r>
      <w:r w:rsidRPr="00064619">
        <w:rPr>
          <w:rFonts w:cs="Taher"/>
          <w:vertAlign w:val="superscript"/>
          <w:rtl/>
          <w:lang w:bidi="ar-LB"/>
        </w:rPr>
        <w:t>(</w:t>
      </w:r>
      <w:r w:rsidRPr="00064619">
        <w:rPr>
          <w:rStyle w:val="FootnoteReference"/>
          <w:rFonts w:cs="Taher"/>
          <w:sz w:val="32"/>
          <w:rtl/>
          <w:lang w:bidi="ar-LB"/>
        </w:rPr>
        <w:footnoteReference w:id="436"/>
      </w:r>
      <w:r w:rsidRPr="00064619">
        <w:rPr>
          <w:rFonts w:cs="Taher"/>
          <w:vertAlign w:val="superscript"/>
          <w:rtl/>
          <w:lang w:bidi="ar-LB"/>
        </w:rPr>
        <w:t>)</w:t>
      </w:r>
      <w:r w:rsidRPr="00A32FC0">
        <w:rPr>
          <w:rFonts w:hint="cs"/>
          <w:rtl/>
          <w:lang w:bidi="ar-LB"/>
        </w:rPr>
        <w:t>.</w:t>
      </w:r>
    </w:p>
    <w:p w:rsidR="00EA09EB" w:rsidRPr="00EA09EB" w:rsidRDefault="00EA09EB" w:rsidP="00EA09EB">
      <w:pPr>
        <w:rPr>
          <w:rtl/>
        </w:rPr>
      </w:pPr>
      <w:r w:rsidRPr="00A32FC0">
        <w:rPr>
          <w:rFonts w:hint="cs"/>
          <w:rtl/>
          <w:lang w:bidi="ar-LB"/>
        </w:rPr>
        <w:t>6</w:t>
      </w:r>
      <w:r w:rsidRPr="00A32FC0">
        <w:rPr>
          <w:rtl/>
          <w:lang w:bidi="ar-LB"/>
        </w:rPr>
        <w:t>ـ</w:t>
      </w:r>
      <w:r w:rsidRPr="00A32FC0">
        <w:rPr>
          <w:rFonts w:hint="cs"/>
          <w:rtl/>
          <w:lang w:bidi="ar-LB"/>
        </w:rPr>
        <w:t xml:space="preserve"> وبعد أسبوع واحد من إقرار أصل ولاية الفقيه في مجلس الصياغة النهائية للدستور، وفي أحد المجالس العا</w:t>
      </w:r>
      <w:r>
        <w:rPr>
          <w:rFonts w:hint="cs"/>
          <w:rtl/>
          <w:lang w:bidi="ar-LB"/>
        </w:rPr>
        <w:t>مّة، أعلن السيد</w:t>
      </w:r>
      <w:r w:rsidRPr="00A32FC0">
        <w:rPr>
          <w:rFonts w:hint="cs"/>
          <w:rtl/>
          <w:lang w:bidi="ar-LB"/>
        </w:rPr>
        <w:t xml:space="preserve"> الخميني ـ لأوّل مرة ـ دعمه لولاية الفقيه بالعبارات التالية: </w:t>
      </w:r>
      <w:r w:rsidRPr="00A32FC0">
        <w:rPr>
          <w:rFonts w:hint="cs"/>
          <w:rtl/>
        </w:rPr>
        <w:t>«</w:t>
      </w:r>
      <w:r w:rsidRPr="00A32FC0">
        <w:rPr>
          <w:rFonts w:hint="cs"/>
          <w:rtl/>
          <w:lang w:bidi="ar-LB"/>
        </w:rPr>
        <w:t>وإني أطمئن كلّ الشعب والقوات العسكرية بأنه لو أصبح أمر الحكومة الإسلاميّة تحت إشراف (ولاية الفقيه) فلن يلحق بهذه البلاد أيّ ضرر. فلا يخشَ الخطباء والكتّاب ولاية الفقيه. إنّ ولاية الفقيه ـ كما قرَّرها الإسلام وحدَّدها أئمتنا ـ لن تؤدّي إلى الدكتاتورية، ولو حاولت الحكومة أو رئيس الجمهوريّة أو أيّ شخص آخر أن يعمل خلافاً لمسار الشعب ومصالح البلاد فإن الفقيه سوف يراقب ذلك، ويضبطه، ويحول دون وقوعه، فلا تخشوا الإسلام وولاية الفقيه والفقيه... لا تقولوا: إننا نؤمن بولاية الفقيه، ولكنّ الإسلام يضيع مع ولاية الفقيه! فحينما تقولون هذا فمعناه تكذيب الأئمة</w:t>
      </w:r>
      <w:r w:rsidR="007A340E">
        <w:rPr>
          <w:rFonts w:hint="cs"/>
          <w:rtl/>
        </w:rPr>
        <w:t>^</w:t>
      </w:r>
      <w:r w:rsidRPr="00A32FC0">
        <w:rPr>
          <w:rFonts w:hint="cs"/>
          <w:rtl/>
          <w:lang w:bidi="ar-LB"/>
        </w:rPr>
        <w:t xml:space="preserve"> والإسلام، من حيث لا تشعرون</w:t>
      </w:r>
      <w:r w:rsidRPr="00A32FC0">
        <w:rPr>
          <w:rFonts w:hint="cs"/>
          <w:rtl/>
        </w:rPr>
        <w:t>»</w:t>
      </w:r>
      <w:r w:rsidRPr="00064619">
        <w:rPr>
          <w:rFonts w:cs="Taher"/>
          <w:vertAlign w:val="superscript"/>
          <w:rtl/>
        </w:rPr>
        <w:t>(</w:t>
      </w:r>
      <w:r w:rsidRPr="00064619">
        <w:rPr>
          <w:rStyle w:val="FootnoteReference"/>
          <w:rFonts w:cs="Taher"/>
          <w:sz w:val="32"/>
          <w:rtl/>
        </w:rPr>
        <w:footnoteReference w:id="437"/>
      </w:r>
      <w:r w:rsidRPr="00064619">
        <w:rPr>
          <w:rFonts w:cs="Taher"/>
          <w:vertAlign w:val="superscript"/>
          <w:rtl/>
        </w:rPr>
        <w:t>)</w:t>
      </w:r>
      <w:r w:rsidRPr="00EA09EB">
        <w:rPr>
          <w:rFonts w:hint="cs"/>
          <w:rtl/>
        </w:rPr>
        <w:t>.</w:t>
      </w:r>
    </w:p>
    <w:p w:rsidR="00EA09EB" w:rsidRPr="00A32FC0" w:rsidRDefault="00EA09EB" w:rsidP="000E5EF9">
      <w:pPr>
        <w:pStyle w:val="Normal87"/>
        <w:rPr>
          <w:rtl/>
        </w:rPr>
      </w:pPr>
      <w:r w:rsidRPr="00A32FC0">
        <w:rPr>
          <w:rFonts w:hint="cs"/>
          <w:rtl/>
        </w:rPr>
        <w:t>قام</w:t>
      </w:r>
      <w:r>
        <w:rPr>
          <w:rFonts w:hint="cs"/>
          <w:rtl/>
        </w:rPr>
        <w:t xml:space="preserve"> السيد</w:t>
      </w:r>
      <w:r w:rsidRPr="00A32FC0">
        <w:rPr>
          <w:rFonts w:hint="cs"/>
          <w:rtl/>
        </w:rPr>
        <w:t xml:space="preserve"> الخمينيّ، وعلى مدى مئة يوم بعد إقرار أصل ولاية الفقيه في مجلس الخبراء، وفي عدّة مناسبات، بتوضيح أبعاد ولاية الفقيه للناس، وأجاب فيها عن الإشكاليّات التي كانت مطروحة في ذلك الوقت. ويمكن لنا أن نستخلص من مجموع هذه التوضيحات عشر نقاط: </w:t>
      </w:r>
    </w:p>
    <w:p w:rsidR="00EA09EB" w:rsidRPr="00EA09EB" w:rsidRDefault="00EA09EB" w:rsidP="000E5EF9">
      <w:pPr>
        <w:pStyle w:val="Normal84"/>
        <w:rPr>
          <w:rtl/>
        </w:rPr>
      </w:pPr>
      <w:r w:rsidRPr="007A340E">
        <w:rPr>
          <w:rFonts w:hint="cs"/>
          <w:b/>
          <w:bCs/>
          <w:rtl/>
        </w:rPr>
        <w:t>الأولى</w:t>
      </w:r>
      <w:r w:rsidRPr="00EA09EB">
        <w:rPr>
          <w:rFonts w:hint="cs"/>
          <w:rtl/>
        </w:rPr>
        <w:t>: ليست ولاية الفقيه أمراً ابتكره مجلس الخبراء، إنّما هي أمر شرّعه الله تبارك وتعالى، كولاية رسول الله</w:t>
      </w:r>
      <w:r w:rsidRPr="00EA09EB">
        <w:rPr>
          <w:rFonts w:hint="cs"/>
          <w:rtl/>
        </w:rPr>
        <w:sym w:font="Roumouz" w:char="F02D"/>
      </w:r>
      <w:r w:rsidRPr="00EA09EB">
        <w:rPr>
          <w:rFonts w:hint="cs"/>
          <w:rtl/>
        </w:rPr>
        <w:t>... إنّ مجلس الخبراء يريد أن يُقِرَّ ما شرّعه الله</w:t>
      </w:r>
      <w:r w:rsidRPr="00064619">
        <w:rPr>
          <w:rFonts w:cs="Taher"/>
          <w:sz w:val="32"/>
          <w:vertAlign w:val="superscript"/>
          <w:rtl/>
        </w:rPr>
        <w:t>(</w:t>
      </w:r>
      <w:r w:rsidRPr="00064619">
        <w:rPr>
          <w:rStyle w:val="FootnoteReference"/>
          <w:rFonts w:cs="Taher"/>
          <w:sz w:val="32"/>
          <w:rtl/>
        </w:rPr>
        <w:footnoteReference w:id="438"/>
      </w:r>
      <w:r w:rsidRPr="00064619">
        <w:rPr>
          <w:rFonts w:cs="Taher"/>
          <w:sz w:val="32"/>
          <w:vertAlign w:val="superscript"/>
          <w:rtl/>
        </w:rPr>
        <w:t>)</w:t>
      </w:r>
      <w:r w:rsidRPr="00EA09EB">
        <w:rPr>
          <w:rFonts w:hint="cs"/>
          <w:rtl/>
        </w:rPr>
        <w:t>. فأنتم لا اطّلاع لكم حتّى تنكروا ولاية الفقيه. لقد كانت ثابتة منذ البداية، وقد كانت في زمن الرسول</w:t>
      </w:r>
      <w:r w:rsidRPr="00EA09EB">
        <w:rPr>
          <w:rFonts w:hint="cs"/>
          <w:rtl/>
        </w:rPr>
        <w:sym w:font="Roumouz" w:char="F02D"/>
      </w:r>
      <w:r w:rsidRPr="00064619">
        <w:rPr>
          <w:rFonts w:cs="Taher"/>
          <w:sz w:val="32"/>
          <w:vertAlign w:val="superscript"/>
          <w:rtl/>
        </w:rPr>
        <w:t>(</w:t>
      </w:r>
      <w:r w:rsidRPr="00064619">
        <w:rPr>
          <w:rStyle w:val="FootnoteReference"/>
          <w:rFonts w:cs="Taher"/>
          <w:sz w:val="32"/>
          <w:rtl/>
        </w:rPr>
        <w:footnoteReference w:id="439"/>
      </w:r>
      <w:r w:rsidRPr="00064619">
        <w:rPr>
          <w:rFonts w:cs="Taher"/>
          <w:sz w:val="32"/>
          <w:vertAlign w:val="superscript"/>
          <w:rtl/>
        </w:rPr>
        <w:t>)</w:t>
      </w:r>
      <w:r w:rsidRPr="00EA09EB">
        <w:rPr>
          <w:rFonts w:hint="cs"/>
          <w:rtl/>
        </w:rPr>
        <w:t>، وهي هدية من الله تعالى للمسلمين</w:t>
      </w:r>
      <w:r w:rsidRPr="00064619">
        <w:rPr>
          <w:rFonts w:cs="Taher"/>
          <w:sz w:val="32"/>
          <w:vertAlign w:val="superscript"/>
          <w:rtl/>
        </w:rPr>
        <w:t>(</w:t>
      </w:r>
      <w:r w:rsidRPr="00064619">
        <w:rPr>
          <w:rStyle w:val="FootnoteReference"/>
          <w:rFonts w:cs="Taher"/>
          <w:sz w:val="32"/>
          <w:rtl/>
        </w:rPr>
        <w:footnoteReference w:id="440"/>
      </w:r>
      <w:r w:rsidRPr="00064619">
        <w:rPr>
          <w:rFonts w:cs="Taher"/>
          <w:sz w:val="32"/>
          <w:vertAlign w:val="superscript"/>
          <w:rtl/>
        </w:rPr>
        <w:t>)</w:t>
      </w:r>
      <w:r w:rsidRPr="00EA09EB">
        <w:rPr>
          <w:rFonts w:hint="cs"/>
          <w:rtl/>
        </w:rPr>
        <w:t>. ولاية الفقيه ليست فاجعة، إنّها إسلاميّة</w:t>
      </w:r>
      <w:r w:rsidRPr="00064619">
        <w:rPr>
          <w:rFonts w:cs="Taher"/>
          <w:sz w:val="32"/>
          <w:vertAlign w:val="superscript"/>
          <w:rtl/>
        </w:rPr>
        <w:t>(</w:t>
      </w:r>
      <w:r w:rsidRPr="00064619">
        <w:rPr>
          <w:rStyle w:val="FootnoteReference"/>
          <w:rFonts w:cs="Taher"/>
          <w:sz w:val="32"/>
          <w:rtl/>
        </w:rPr>
        <w:footnoteReference w:id="441"/>
      </w:r>
      <w:r w:rsidRPr="00064619">
        <w:rPr>
          <w:rFonts w:cs="Taher"/>
          <w:sz w:val="32"/>
          <w:vertAlign w:val="superscript"/>
          <w:rtl/>
        </w:rPr>
        <w:t>)</w:t>
      </w:r>
      <w:r w:rsidRPr="00EA09EB">
        <w:rPr>
          <w:rFonts w:hint="cs"/>
          <w:rtl/>
        </w:rPr>
        <w:t>، والإسلام أوجبها</w:t>
      </w:r>
      <w:r w:rsidRPr="00064619">
        <w:rPr>
          <w:rFonts w:cs="Taher"/>
          <w:sz w:val="32"/>
          <w:vertAlign w:val="superscript"/>
          <w:rtl/>
        </w:rPr>
        <w:t>(</w:t>
      </w:r>
      <w:r w:rsidRPr="00064619">
        <w:rPr>
          <w:rStyle w:val="FootnoteReference"/>
          <w:rFonts w:cs="Taher"/>
          <w:sz w:val="32"/>
          <w:rtl/>
        </w:rPr>
        <w:footnoteReference w:id="442"/>
      </w:r>
      <w:r w:rsidRPr="00064619">
        <w:rPr>
          <w:rFonts w:cs="Taher"/>
          <w:sz w:val="32"/>
          <w:vertAlign w:val="superscript"/>
          <w:rtl/>
        </w:rPr>
        <w:t>)</w:t>
      </w:r>
      <w:r w:rsidRPr="00EA09EB">
        <w:rPr>
          <w:rFonts w:hint="cs"/>
          <w:rtl/>
        </w:rPr>
        <w:t>.</w:t>
      </w:r>
    </w:p>
    <w:p w:rsidR="00EA09EB" w:rsidRPr="00EA09EB" w:rsidRDefault="00EA09EB" w:rsidP="000E5EF9">
      <w:pPr>
        <w:pStyle w:val="Normal87"/>
        <w:rPr>
          <w:rtl/>
        </w:rPr>
      </w:pPr>
      <w:r w:rsidRPr="007A340E">
        <w:rPr>
          <w:rFonts w:hint="cs"/>
          <w:b/>
          <w:bCs/>
          <w:rtl/>
        </w:rPr>
        <w:t>الثانية</w:t>
      </w:r>
      <w:r w:rsidRPr="00EA09EB">
        <w:rPr>
          <w:rFonts w:hint="cs"/>
          <w:rtl/>
        </w:rPr>
        <w:t>: الشعب يريد الإسلام، ويريد ولاية الفقيه التي شرّعها الله، والناس يعملون ما يريدون. وولاية الفقيه تعني أن الله تبارك وتعالى قد عيّن الشخص الذي يشرف على تعيين مراكز القدرة، وهذا الشخص عبارة عن الفقيه الجامع للشرائط. إذا كان هذا الأمر هو المطروح للاستفتاء... فإنّ الشعب سوف يقبله. والناس يريدون ما أراده الله ورسوله</w:t>
      </w:r>
      <w:r w:rsidRPr="00EA09EB">
        <w:rPr>
          <w:rFonts w:hint="cs"/>
          <w:rtl/>
        </w:rPr>
        <w:sym w:font="Roumouz" w:char="F02D"/>
      </w:r>
      <w:r w:rsidRPr="00064619">
        <w:rPr>
          <w:rFonts w:cs="Taher"/>
          <w:sz w:val="32"/>
          <w:vertAlign w:val="superscript"/>
          <w:rtl/>
        </w:rPr>
        <w:t>(</w:t>
      </w:r>
      <w:r w:rsidRPr="00064619">
        <w:rPr>
          <w:rStyle w:val="FootnoteReference"/>
          <w:rFonts w:cs="Taher"/>
          <w:sz w:val="32"/>
          <w:rtl/>
        </w:rPr>
        <w:footnoteReference w:id="443"/>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الثالثة</w:t>
      </w:r>
      <w:r w:rsidRPr="00EA09EB">
        <w:rPr>
          <w:rFonts w:hint="cs"/>
          <w:rtl/>
        </w:rPr>
        <w:t>: إن لم يكن هناك فقيه، ولم تكن هناك ولاية فقيه، فسوف يكون هناك الطاغوت؛ فإمّا الله؛ وإمّا الطاغوت. إذا لم يكن رئيس الجمهورية منصوباً من قبل الفقيه، أي لم يكن منصوباً بأمرٍ من الله، فلن يكون شرعيّاً، وإذا لم يكن شرعيّاً كان طاغوتاً، وإطاعته إطاعة للطاغوت، والدخول في دائرة سلطته دخول في دائرة سلطة الطاغوت. وعندما يعيّن الله حاكماً فإن الطاغوت سوف يزول</w:t>
      </w:r>
      <w:r w:rsidRPr="00064619">
        <w:rPr>
          <w:rFonts w:cs="Taher"/>
          <w:sz w:val="32"/>
          <w:vertAlign w:val="superscript"/>
          <w:rtl/>
          <w:lang w:bidi="ar-LB"/>
        </w:rPr>
        <w:t>(</w:t>
      </w:r>
      <w:r w:rsidRPr="00064619">
        <w:rPr>
          <w:rStyle w:val="FootnoteReference"/>
          <w:rFonts w:cs="Taher"/>
          <w:sz w:val="32"/>
          <w:rtl/>
          <w:lang w:bidi="ar-LB"/>
        </w:rPr>
        <w:footnoteReference w:id="444"/>
      </w:r>
      <w:r w:rsidRPr="00064619">
        <w:rPr>
          <w:rFonts w:cs="Taher"/>
          <w:sz w:val="32"/>
          <w:vertAlign w:val="superscript"/>
          <w:rtl/>
          <w:lang w:bidi="ar-LB"/>
        </w:rPr>
        <w:t>)</w:t>
      </w:r>
      <w:r w:rsidRPr="00EA09EB">
        <w:rPr>
          <w:rFonts w:hint="cs"/>
          <w:rtl/>
        </w:rPr>
        <w:t>.</w:t>
      </w:r>
    </w:p>
    <w:p w:rsidR="00EA09EB" w:rsidRPr="00EA09EB" w:rsidRDefault="00EA09EB" w:rsidP="000E5EF9">
      <w:pPr>
        <w:pStyle w:val="Normal87"/>
        <w:rPr>
          <w:rtl/>
        </w:rPr>
      </w:pPr>
      <w:r w:rsidRPr="007A340E">
        <w:rPr>
          <w:rFonts w:hint="cs"/>
          <w:b/>
          <w:bCs/>
          <w:rtl/>
        </w:rPr>
        <w:t>الرابعة</w:t>
      </w:r>
      <w:r w:rsidRPr="00EA09EB">
        <w:rPr>
          <w:rFonts w:hint="cs"/>
          <w:rtl/>
        </w:rPr>
        <w:t>: لا تقولوا: «نحن نقبل ولاية الفقيه، لكنَّ ولاية الفقيه سوف تبيد الإسلام». إن هذا الكلام يحمل تكذيباً للأئمة</w:t>
      </w:r>
      <w:r w:rsidR="007A340E">
        <w:rPr>
          <w:rFonts w:hint="cs"/>
          <w:rtl/>
        </w:rPr>
        <w:t>^</w:t>
      </w:r>
      <w:r w:rsidRPr="00EA09EB">
        <w:rPr>
          <w:rFonts w:hint="cs"/>
          <w:rtl/>
        </w:rPr>
        <w:t xml:space="preserve"> وللإسلام، وأنتم تقولون ذلك من حيث لا تشعرون</w:t>
      </w:r>
      <w:r w:rsidRPr="00064619">
        <w:rPr>
          <w:rFonts w:cs="Taher"/>
          <w:sz w:val="32"/>
          <w:vertAlign w:val="superscript"/>
          <w:rtl/>
        </w:rPr>
        <w:t>(</w:t>
      </w:r>
      <w:r w:rsidRPr="00064619">
        <w:rPr>
          <w:rStyle w:val="FootnoteReference"/>
          <w:rFonts w:cs="Taher"/>
          <w:sz w:val="32"/>
          <w:rtl/>
        </w:rPr>
        <w:footnoteReference w:id="445"/>
      </w:r>
      <w:r w:rsidRPr="00064619">
        <w:rPr>
          <w:rFonts w:cs="Taher"/>
          <w:sz w:val="32"/>
          <w:vertAlign w:val="superscript"/>
          <w:rtl/>
        </w:rPr>
        <w:t>)</w:t>
      </w:r>
      <w:r w:rsidRPr="00EA09EB">
        <w:rPr>
          <w:rFonts w:hint="cs"/>
          <w:rtl/>
        </w:rPr>
        <w:t>. إن البعض يقول: «إذا كانت مسألة ولاية الفقيه مسألة شكليّة فلا مانع لدينا، أمّا إذا أراد الوليّ أن يتدخَّل في الأمور فلن نقبل ذلك. لابدّ أن يأتي شخص من الغرب، فنحن لا نقبل أن يتدخَّل شخص عيّنه الإسلام في الأمور. إذا كان هؤلاء ملتفتين إلى لوازم هذا المعنى عُدّوا مُرتَدّين، إلاّ أنّهم غير ملتفتين</w:t>
      </w:r>
      <w:r w:rsidRPr="00064619">
        <w:rPr>
          <w:rFonts w:cs="Taher"/>
          <w:sz w:val="32"/>
          <w:vertAlign w:val="superscript"/>
          <w:rtl/>
        </w:rPr>
        <w:t>(</w:t>
      </w:r>
      <w:r w:rsidRPr="00064619">
        <w:rPr>
          <w:rStyle w:val="FootnoteReference"/>
          <w:rFonts w:cs="Taher"/>
          <w:sz w:val="32"/>
          <w:rtl/>
        </w:rPr>
        <w:footnoteReference w:id="446"/>
      </w:r>
      <w:r w:rsidRPr="00064619">
        <w:rPr>
          <w:rFonts w:cs="Taher"/>
          <w:sz w:val="32"/>
          <w:vertAlign w:val="superscript"/>
          <w:rtl/>
        </w:rPr>
        <w:t>)</w:t>
      </w:r>
      <w:r w:rsidRPr="00EA09EB">
        <w:rPr>
          <w:rFonts w:hint="cs"/>
          <w:rtl/>
        </w:rPr>
        <w:t xml:space="preserve"> إلى أنّ القيام ضدّ الحكومة الإسلامية بحكم الكفر، وهو من أكبر المعاصي</w:t>
      </w:r>
      <w:r w:rsidRPr="00064619">
        <w:rPr>
          <w:rFonts w:cs="Taher"/>
          <w:sz w:val="32"/>
          <w:vertAlign w:val="superscript"/>
          <w:rtl/>
        </w:rPr>
        <w:t>(</w:t>
      </w:r>
      <w:r w:rsidRPr="00064619">
        <w:rPr>
          <w:rStyle w:val="FootnoteReference"/>
          <w:rFonts w:cs="Taher"/>
          <w:sz w:val="32"/>
          <w:rtl/>
        </w:rPr>
        <w:footnoteReference w:id="447"/>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الخامسة</w:t>
      </w:r>
      <w:r w:rsidRPr="00EA09EB">
        <w:rPr>
          <w:rFonts w:hint="cs"/>
          <w:rtl/>
        </w:rPr>
        <w:t xml:space="preserve">: إن ولاية الفقيه ليست مسألة شكلية. يقولون: إذا تحقَّقت ولاية الفقيه فسوف تكون جميع السلطات بيد الفقيه، وعندها لابدّ من الحداد. وعندما تكون جميع السلطات بيد رئيس الجمهوريّة الفلاني لا تجدهم يعترضون. وكذلك إذا كانت هذه السلطات بيد رئيس وزراء منحرف فإنّهم أيضاً لا يعترضون. وأما إذا كانت السلطة </w:t>
      </w:r>
      <w:r w:rsidRPr="00EA09EB">
        <w:rPr>
          <w:rtl/>
        </w:rPr>
        <w:t>ـ</w:t>
      </w:r>
      <w:r w:rsidRPr="00EA09EB">
        <w:rPr>
          <w:rFonts w:hint="cs"/>
          <w:rtl/>
        </w:rPr>
        <w:t xml:space="preserve"> لا السلطة الشيطانيّة، بل الرقابة على أمور الدولة تجنباً للانحراف ـ فسوف يختلف الأمر... ثم نعود ونقول: إن الأمور سوف تستقيم بآراء أكثريّة الشعب</w:t>
      </w:r>
      <w:r w:rsidRPr="00064619">
        <w:rPr>
          <w:rFonts w:cs="Taher"/>
          <w:sz w:val="32"/>
          <w:vertAlign w:val="superscript"/>
          <w:rtl/>
          <w:lang w:bidi="ar-LB"/>
        </w:rPr>
        <w:t>(</w:t>
      </w:r>
      <w:r w:rsidRPr="00064619">
        <w:rPr>
          <w:rStyle w:val="FootnoteReference"/>
          <w:rFonts w:cs="Taher"/>
          <w:sz w:val="32"/>
          <w:rtl/>
          <w:lang w:bidi="ar-LB"/>
        </w:rPr>
        <w:footnoteReference w:id="448"/>
      </w:r>
      <w:r w:rsidRPr="00064619">
        <w:rPr>
          <w:rFonts w:cs="Taher"/>
          <w:sz w:val="32"/>
          <w:vertAlign w:val="superscript"/>
          <w:rtl/>
          <w:lang w:bidi="ar-LB"/>
        </w:rPr>
        <w:t>)</w:t>
      </w:r>
      <w:r w:rsidRPr="00EA09EB">
        <w:rPr>
          <w:rFonts w:hint="cs"/>
          <w:rtl/>
        </w:rPr>
        <w:t>.</w:t>
      </w:r>
    </w:p>
    <w:p w:rsidR="00EA09EB" w:rsidRPr="00EA09EB" w:rsidRDefault="00EA09EB" w:rsidP="000E5EF9">
      <w:pPr>
        <w:pStyle w:val="Normal87"/>
        <w:rPr>
          <w:rtl/>
        </w:rPr>
      </w:pPr>
      <w:r w:rsidRPr="007A340E">
        <w:rPr>
          <w:rFonts w:hint="cs"/>
          <w:b/>
          <w:bCs/>
          <w:rtl/>
        </w:rPr>
        <w:t>السادسة</w:t>
      </w:r>
      <w:r w:rsidRPr="00EA09EB">
        <w:rPr>
          <w:rFonts w:hint="cs"/>
          <w:rtl/>
        </w:rPr>
        <w:t>: أطمئنكم بأنه طالما أن الدولة الإسلامية باقية تحت نظارة الفقيه وولاية الفقيه فلن يصيبها أيّ مكروه. وإذا أرادت الحكومة أو رئيس الجمهوريّة أو أيّ شخص آخر أن يقوم بأيّ عمل خلاف مصالح البلد فإنّ الفقيه سوف يكون بالمرصاد</w:t>
      </w:r>
      <w:r w:rsidRPr="00064619">
        <w:rPr>
          <w:rFonts w:cs="Taher"/>
          <w:sz w:val="32"/>
          <w:vertAlign w:val="superscript"/>
          <w:rtl/>
        </w:rPr>
        <w:t>(</w:t>
      </w:r>
      <w:r w:rsidRPr="00064619">
        <w:rPr>
          <w:rStyle w:val="FootnoteReference"/>
          <w:rFonts w:cs="Taher"/>
          <w:sz w:val="32"/>
          <w:rtl/>
        </w:rPr>
        <w:footnoteReference w:id="449"/>
      </w:r>
      <w:r w:rsidRPr="00064619">
        <w:rPr>
          <w:rFonts w:cs="Taher"/>
          <w:sz w:val="32"/>
          <w:vertAlign w:val="superscript"/>
          <w:rtl/>
        </w:rPr>
        <w:t>)</w:t>
      </w:r>
      <w:r w:rsidRPr="00EA09EB">
        <w:rPr>
          <w:rFonts w:hint="cs"/>
          <w:rtl/>
        </w:rPr>
        <w:t>. ولاية الفقيه ولاية على الأمور التي يجب أن لا تخرج عن مسارها. وهي نظارة على المجلس، وعلى رئيس الجمهوريّة؛ تجنُّباً لأيّ خطأ، ونظارة على رئيس الوزراء كذلك، ونظارة على جميع المؤسَّسات، وعلى الجيش؛ تجنُّباً لأيّ خطأ</w:t>
      </w:r>
      <w:r w:rsidRPr="00064619">
        <w:rPr>
          <w:rFonts w:cs="Taher"/>
          <w:sz w:val="32"/>
          <w:vertAlign w:val="superscript"/>
          <w:rtl/>
        </w:rPr>
        <w:t>(</w:t>
      </w:r>
      <w:r w:rsidRPr="00064619">
        <w:rPr>
          <w:rStyle w:val="FootnoteReference"/>
          <w:rFonts w:cs="Taher"/>
          <w:sz w:val="32"/>
          <w:rtl/>
        </w:rPr>
        <w:footnoteReference w:id="450"/>
      </w:r>
      <w:r w:rsidRPr="00064619">
        <w:rPr>
          <w:rFonts w:cs="Taher"/>
          <w:sz w:val="32"/>
          <w:vertAlign w:val="superscript"/>
          <w:rtl/>
        </w:rPr>
        <w:t>)</w:t>
      </w:r>
      <w:r w:rsidRPr="00EA09EB">
        <w:rPr>
          <w:rFonts w:hint="cs"/>
          <w:rtl/>
        </w:rPr>
        <w:t>. والشعب هو الذي يعيّنه [الفقيه]، وهو يشرف على الأمور، تحسُّباً للخيانة... ويشرف على رئيس الجمهورية... وهكذا فإنّ الفقيه يشرف على هذه المسائل الحسّاسة، ويتصرَّف فيها...</w:t>
      </w:r>
      <w:r w:rsidRPr="00064619">
        <w:rPr>
          <w:rFonts w:cs="Taher"/>
          <w:sz w:val="32"/>
          <w:vertAlign w:val="superscript"/>
          <w:rtl/>
        </w:rPr>
        <w:t>(</w:t>
      </w:r>
      <w:r w:rsidRPr="00064619">
        <w:rPr>
          <w:rStyle w:val="FootnoteReference"/>
          <w:rFonts w:cs="Taher"/>
          <w:sz w:val="32"/>
          <w:rtl/>
        </w:rPr>
        <w:footnoteReference w:id="451"/>
      </w:r>
      <w:r w:rsidRPr="00064619">
        <w:rPr>
          <w:rFonts w:cs="Taher"/>
          <w:sz w:val="32"/>
          <w:vertAlign w:val="superscript"/>
          <w:rtl/>
        </w:rPr>
        <w:t>)</w:t>
      </w:r>
      <w:r w:rsidRPr="00EA09EB">
        <w:rPr>
          <w:rFonts w:hint="cs"/>
          <w:rtl/>
        </w:rPr>
        <w:t>. وأولئك الذين يقولون: إن على المؤسسة الدينية أن لا تتدخَّل في هذه الشؤون إمّا أنَّهم لا يفهمون؛ وإمّا أنهم يفهمون ولكنّهم يضلِّلون الناس. وهذا خطأ، فإنّ المؤسسة الدينيّة لها حقّ النظارة على الأوضاع. والأمور بيد المتخصِّصين من غير رجال الدين، ورجال الدين يشرفون على هذه الأمور؛ تحسُّباً للأخطاء، وتجنُّباً لأيّ انقلابٍ عسكريٍّ، ولأيّ ظلم يلحق بالناس. فالمؤسسة الدينيّة تريد أن تقف مقابل أيّ عدوان وظلم</w:t>
      </w:r>
      <w:r w:rsidRPr="00064619">
        <w:rPr>
          <w:rFonts w:cs="Taher"/>
          <w:sz w:val="32"/>
          <w:vertAlign w:val="superscript"/>
          <w:rtl/>
        </w:rPr>
        <w:t>(</w:t>
      </w:r>
      <w:r w:rsidRPr="00064619">
        <w:rPr>
          <w:rStyle w:val="FootnoteReference"/>
          <w:rFonts w:cs="Taher"/>
          <w:sz w:val="32"/>
          <w:rtl/>
        </w:rPr>
        <w:footnoteReference w:id="452"/>
      </w:r>
      <w:r w:rsidRPr="00064619">
        <w:rPr>
          <w:rFonts w:cs="Taher"/>
          <w:sz w:val="32"/>
          <w:vertAlign w:val="superscript"/>
          <w:rtl/>
        </w:rPr>
        <w:t>)</w:t>
      </w:r>
      <w:r w:rsidRPr="00EA09EB">
        <w:rPr>
          <w:rFonts w:hint="cs"/>
          <w:rtl/>
        </w:rPr>
        <w:t>.</w:t>
      </w:r>
    </w:p>
    <w:p w:rsidR="00EA09EB" w:rsidRPr="00A32FC0" w:rsidRDefault="00EA09EB" w:rsidP="000E5EF9">
      <w:pPr>
        <w:pStyle w:val="Normal93"/>
        <w:rPr>
          <w:rtl/>
        </w:rPr>
      </w:pPr>
      <w:r w:rsidRPr="00A32FC0">
        <w:rPr>
          <w:rFonts w:hint="cs"/>
          <w:b/>
          <w:bCs/>
          <w:rtl/>
        </w:rPr>
        <w:t>السابعة</w:t>
      </w:r>
      <w:r w:rsidRPr="00EA09EB">
        <w:rPr>
          <w:rFonts w:hint="cs"/>
          <w:rtl/>
        </w:rPr>
        <w:t>: من شؤون الفقيه أنه إذا أساء رجل إلى زوجته فإنّه أوّلاً: ينصحه، وثانياً: يؤدّبه. وإذا رأى أن ذلك لا يفيد فإنه يجري الطلاق</w:t>
      </w:r>
      <w:r w:rsidRPr="00064619">
        <w:rPr>
          <w:rFonts w:cs="Taher"/>
          <w:vertAlign w:val="superscript"/>
          <w:rtl/>
        </w:rPr>
        <w:t>(</w:t>
      </w:r>
      <w:r w:rsidRPr="00064619">
        <w:rPr>
          <w:rStyle w:val="FootnoteReference"/>
          <w:rFonts w:cs="Taher"/>
          <w:sz w:val="32"/>
          <w:rtl/>
        </w:rPr>
        <w:footnoteReference w:id="453"/>
      </w:r>
      <w:r w:rsidRPr="00064619">
        <w:rPr>
          <w:rFonts w:cs="Taher"/>
          <w:vertAlign w:val="superscript"/>
          <w:rtl/>
        </w:rPr>
        <w:t>)</w:t>
      </w:r>
      <w:r w:rsidRPr="00EA09EB">
        <w:rPr>
          <w:rFonts w:hint="cs"/>
          <w:rtl/>
        </w:rPr>
        <w:t xml:space="preserve">. وأحد الأمور التي تترتَّب على ولاية الفقيه </w:t>
      </w:r>
      <w:r w:rsidRPr="00EA09EB">
        <w:rPr>
          <w:rtl/>
        </w:rPr>
        <w:t>ـ</w:t>
      </w:r>
      <w:r w:rsidRPr="00EA09EB">
        <w:rPr>
          <w:rFonts w:hint="cs"/>
          <w:rtl/>
        </w:rPr>
        <w:t xml:space="preserve"> ومع الأسف فإنّ مثقَّفينا لا يفهمون معنى ولاية الفقيه </w:t>
      </w:r>
      <w:r w:rsidRPr="00EA09EB">
        <w:rPr>
          <w:rtl/>
        </w:rPr>
        <w:t>ـ</w:t>
      </w:r>
      <w:r w:rsidRPr="00EA09EB">
        <w:rPr>
          <w:rFonts w:hint="cs"/>
          <w:rtl/>
        </w:rPr>
        <w:t xml:space="preserve"> هو تحديد أمور، كالملكية، فإنّ الملكية في الوقت الذي عدّها الشارع من الأمور المحترمة يستطيع الوليّ الفقيه أن يحدِّد هذه الملكية إذا رأى أنها خلاف صلاح الإسلام والمسلمين، فيحدد هذه الملكية المشروعة بحدٍّ معيَّنٍ، بل ويمكن مصادرتها بحكم الفقيه</w:t>
      </w:r>
      <w:r w:rsidRPr="00064619">
        <w:rPr>
          <w:rFonts w:cs="Taher"/>
          <w:vertAlign w:val="superscript"/>
          <w:rtl/>
        </w:rPr>
        <w:t>(</w:t>
      </w:r>
      <w:r w:rsidRPr="00064619">
        <w:rPr>
          <w:rStyle w:val="FootnoteReference"/>
          <w:rFonts w:cs="Taher"/>
          <w:sz w:val="32"/>
          <w:rtl/>
        </w:rPr>
        <w:footnoteReference w:id="454"/>
      </w:r>
      <w:r w:rsidRPr="00064619">
        <w:rPr>
          <w:rFonts w:cs="Taher"/>
          <w:vertAlign w:val="superscript"/>
          <w:rtl/>
        </w:rPr>
        <w:t>)</w:t>
      </w:r>
      <w:r w:rsidRPr="00A32FC0">
        <w:rPr>
          <w:rFonts w:hint="cs"/>
          <w:rtl/>
        </w:rPr>
        <w:t>.</w:t>
      </w:r>
    </w:p>
    <w:p w:rsidR="00EA09EB" w:rsidRPr="00EA09EB" w:rsidRDefault="00EA09EB" w:rsidP="000E5EF9">
      <w:pPr>
        <w:pStyle w:val="Normal93"/>
        <w:rPr>
          <w:rtl/>
        </w:rPr>
      </w:pPr>
      <w:r w:rsidRPr="00A32FC0">
        <w:rPr>
          <w:rFonts w:hint="cs"/>
          <w:rtl/>
        </w:rPr>
        <w:t xml:space="preserve">إن ما هو موجود في الدستور [حول ولاية الفقيه]، وإنْ كنت أعتقد أنه غير كافٍ، فإن صلاحيّات المؤسَّسة الدينيّة في الإسلام أوسع من ذلك، والسادة </w:t>
      </w:r>
      <w:r w:rsidRPr="00A32FC0">
        <w:rPr>
          <w:rtl/>
        </w:rPr>
        <w:t>ـ</w:t>
      </w:r>
      <w:r w:rsidRPr="00A32FC0">
        <w:rPr>
          <w:rFonts w:hint="cs"/>
          <w:rtl/>
        </w:rPr>
        <w:t xml:space="preserve"> الذين دوّنوا الدستور </w:t>
      </w:r>
      <w:r w:rsidRPr="00A32FC0">
        <w:rPr>
          <w:rtl/>
        </w:rPr>
        <w:t>ـ</w:t>
      </w:r>
      <w:r w:rsidRPr="00A32FC0">
        <w:rPr>
          <w:rFonts w:hint="cs"/>
          <w:rtl/>
        </w:rPr>
        <w:t xml:space="preserve"> قصَّروا عندما تجنَّبوا مخالفة المثقَّفين. إنّ هذا الموجود في الدستور هو بعض شؤون ولاية الفقيه، وليس كلّها</w:t>
      </w:r>
      <w:r w:rsidRPr="00064619">
        <w:rPr>
          <w:rFonts w:cs="Taher"/>
          <w:vertAlign w:val="superscript"/>
          <w:rtl/>
        </w:rPr>
        <w:t>(</w:t>
      </w:r>
      <w:r w:rsidRPr="00064619">
        <w:rPr>
          <w:rStyle w:val="FootnoteReference"/>
          <w:rFonts w:cs="Taher"/>
          <w:sz w:val="32"/>
          <w:rtl/>
        </w:rPr>
        <w:footnoteReference w:id="455"/>
      </w:r>
      <w:r w:rsidRPr="00064619">
        <w:rPr>
          <w:rFonts w:cs="Taher"/>
          <w:vertAlign w:val="superscript"/>
          <w:rtl/>
        </w:rPr>
        <w:t>)</w:t>
      </w:r>
      <w:r w:rsidRPr="00EA09EB">
        <w:rPr>
          <w:rFonts w:hint="cs"/>
          <w:rtl/>
        </w:rPr>
        <w:t>.</w:t>
      </w:r>
    </w:p>
    <w:p w:rsidR="00EA09EB" w:rsidRPr="00EA09EB" w:rsidRDefault="00EA09EB" w:rsidP="000E5EF9">
      <w:pPr>
        <w:pStyle w:val="Normal93"/>
        <w:rPr>
          <w:rtl/>
        </w:rPr>
      </w:pPr>
      <w:r w:rsidRPr="007A340E">
        <w:rPr>
          <w:rFonts w:hint="cs"/>
          <w:b/>
          <w:bCs/>
          <w:rtl/>
        </w:rPr>
        <w:t>الثامنة</w:t>
      </w:r>
      <w:r w:rsidRPr="00EA09EB">
        <w:rPr>
          <w:rFonts w:hint="cs"/>
          <w:rtl/>
        </w:rPr>
        <w:t>: إذا قام الفقيه بأيّ عمل ديكتاتوريّ فإن ولايته تسقط بنظر الإسلام. فالإسلام لا يعتبر كلّ فقيه وليّاً. والولي بنظر الإسلام هو العالم العامل السائر على خطى الإسلام، وسياسته سياسة الإسلام، والذي أمضى عمره في خدمة الإسلام، ولا يكون منحرفاً</w:t>
      </w:r>
      <w:r w:rsidRPr="00064619">
        <w:rPr>
          <w:rFonts w:cs="Taher"/>
          <w:sz w:val="32"/>
          <w:vertAlign w:val="superscript"/>
          <w:rtl/>
        </w:rPr>
        <w:t>(</w:t>
      </w:r>
      <w:r w:rsidRPr="00064619">
        <w:rPr>
          <w:rStyle w:val="FootnoteReference"/>
          <w:rFonts w:cs="Taher"/>
          <w:sz w:val="32"/>
          <w:rtl/>
        </w:rPr>
        <w:footnoteReference w:id="456"/>
      </w:r>
      <w:r w:rsidRPr="00064619">
        <w:rPr>
          <w:rFonts w:cs="Taher"/>
          <w:sz w:val="32"/>
          <w:vertAlign w:val="superscript"/>
          <w:rtl/>
        </w:rPr>
        <w:t>)</w:t>
      </w:r>
      <w:r w:rsidRPr="00EA09EB">
        <w:rPr>
          <w:rFonts w:hint="cs"/>
          <w:rtl/>
        </w:rPr>
        <w:t>. وهؤلاء يتوهَّمون أنه إذا تولّت ولاية الفقيه السلطة حلّ الظلم والديكتاتوريّة؛ والحال أن الإسلام بعيد عن هذه الأمور. فإنْ لم يكن هناك ولاية فقيه فسوف يكون هناك ديكتاتوريّة. نحن نريد أن نتخلَّص من الديكتاتوريّة، ولا نريد إرساءها، نريد أن نكون ضدّها. ولاية الفقيه ليست ديكتاتورية</w:t>
      </w:r>
      <w:r w:rsidRPr="00064619">
        <w:rPr>
          <w:rFonts w:cs="Taher"/>
          <w:sz w:val="32"/>
          <w:vertAlign w:val="superscript"/>
          <w:rtl/>
        </w:rPr>
        <w:t>(</w:t>
      </w:r>
      <w:r w:rsidRPr="00064619">
        <w:rPr>
          <w:rStyle w:val="FootnoteReference"/>
          <w:rFonts w:cs="Taher"/>
          <w:sz w:val="32"/>
          <w:rtl/>
        </w:rPr>
        <w:footnoteReference w:id="457"/>
      </w:r>
      <w:r w:rsidRPr="00064619">
        <w:rPr>
          <w:rFonts w:cs="Taher"/>
          <w:sz w:val="32"/>
          <w:vertAlign w:val="superscript"/>
          <w:rtl/>
        </w:rPr>
        <w:t>)</w:t>
      </w:r>
      <w:r w:rsidRPr="00EA09EB">
        <w:rPr>
          <w:rFonts w:hint="cs"/>
          <w:rtl/>
        </w:rPr>
        <w:t>، وهي ضدٌّ لها. إن ما يقولونه، من أنه إذا تمّ إرساء ولاية الفقيه فسوف يكون هناك ديكتاتوريّة، ناتج عن عدم فهمهم لولاية الفقيه... ولاية الفقيه تريد أن تلغي الديكتاتورية، لا أن تكون ديكتاتورية</w:t>
      </w:r>
      <w:r w:rsidRPr="00064619">
        <w:rPr>
          <w:rFonts w:cs="Taher"/>
          <w:sz w:val="32"/>
          <w:vertAlign w:val="superscript"/>
          <w:rtl/>
        </w:rPr>
        <w:t>(</w:t>
      </w:r>
      <w:r w:rsidRPr="00064619">
        <w:rPr>
          <w:rStyle w:val="FootnoteReference"/>
          <w:rFonts w:cs="Taher"/>
          <w:sz w:val="32"/>
          <w:rtl/>
        </w:rPr>
        <w:footnoteReference w:id="458"/>
      </w:r>
      <w:r w:rsidRPr="00064619">
        <w:rPr>
          <w:rFonts w:cs="Taher"/>
          <w:sz w:val="32"/>
          <w:vertAlign w:val="superscript"/>
          <w:rtl/>
        </w:rPr>
        <w:t>)</w:t>
      </w:r>
      <w:r w:rsidRPr="00EA09EB">
        <w:rPr>
          <w:rFonts w:hint="cs"/>
          <w:rtl/>
        </w:rPr>
        <w:t>. وفي الوقت الذي لا يعرفون شيئاً عن ولاية الفقيه يقولون: إنه إذا تمّ تطبيق ولاية الفقيه فسوف تكون هناك ديكتاتوريّة، فهل كان الإمام علي</w:t>
      </w:r>
      <w:r>
        <w:rPr>
          <w:rFonts w:hint="cs"/>
          <w:rtl/>
        </w:rPr>
        <w:t>×</w:t>
      </w:r>
      <w:r w:rsidRPr="00EA09EB">
        <w:rPr>
          <w:rFonts w:hint="cs"/>
          <w:rtl/>
        </w:rPr>
        <w:t>، وهو وليّ أمور الناس، ديكتاتوريّاً؟ وهل كان النبيّ</w:t>
      </w:r>
      <w:r w:rsidRPr="00EA09EB">
        <w:rPr>
          <w:rFonts w:hint="cs"/>
          <w:rtl/>
        </w:rPr>
        <w:sym w:font="Roumouz" w:char="F02D"/>
      </w:r>
      <w:r w:rsidRPr="00EA09EB">
        <w:rPr>
          <w:rFonts w:hint="cs"/>
          <w:rtl/>
        </w:rPr>
        <w:t>، صاحب الولاية، ديكتاتوريّاً؟ مَنْ هو الديكتاتور؟ فالإسلام بعيدٌ عن هذا الأمر، والإسلام ضدّ الديكتاتورية، فإنْ كان هناك فقيه ديكتاتوريّ فإنّ الإسلام سوف يسقطه</w:t>
      </w:r>
      <w:r w:rsidRPr="00064619">
        <w:rPr>
          <w:rFonts w:cs="Taher"/>
          <w:sz w:val="32"/>
          <w:vertAlign w:val="superscript"/>
          <w:rtl/>
        </w:rPr>
        <w:t>(</w:t>
      </w:r>
      <w:r w:rsidRPr="00064619">
        <w:rPr>
          <w:rStyle w:val="FootnoteReference"/>
          <w:rFonts w:cs="Taher"/>
          <w:sz w:val="32"/>
          <w:rtl/>
        </w:rPr>
        <w:footnoteReference w:id="459"/>
      </w:r>
      <w:r w:rsidRPr="00064619">
        <w:rPr>
          <w:rFonts w:cs="Taher"/>
          <w:sz w:val="32"/>
          <w:vertAlign w:val="superscript"/>
          <w:rtl/>
        </w:rPr>
        <w:t>)</w:t>
      </w:r>
      <w:r w:rsidRPr="00EA09EB">
        <w:rPr>
          <w:rFonts w:hint="cs"/>
          <w:rtl/>
        </w:rPr>
        <w:t>.</w:t>
      </w:r>
    </w:p>
    <w:p w:rsidR="00EA09EB" w:rsidRPr="00EA09EB" w:rsidRDefault="00EA09EB" w:rsidP="000E5EF9">
      <w:pPr>
        <w:pStyle w:val="Normal93"/>
        <w:rPr>
          <w:rtl/>
        </w:rPr>
      </w:pPr>
      <w:r w:rsidRPr="007A340E">
        <w:rPr>
          <w:rFonts w:hint="cs"/>
          <w:b/>
          <w:bCs/>
          <w:rtl/>
        </w:rPr>
        <w:t>التاسعة</w:t>
      </w:r>
      <w:r w:rsidRPr="00EA09EB">
        <w:rPr>
          <w:rFonts w:hint="cs"/>
          <w:rtl/>
        </w:rPr>
        <w:t xml:space="preserve">: من خطابه إلى أعضاء مجلس صيانة الدستور المنتخب: «لقد انتخبكم الناس لتبنوا جمهوريّة إسلاميّة. فمَنْ يخالف أحكام الإسلام فهو مخالف للجمهوريّة الإسلاميّة، ومخالف لرأي مَنْ انتخبه. فالشعب لم ينتخبكم لأجل هذا الأمر. وإذا قمتم بأيّ شيء مخالف لمصالح الإسلام فعند ذلك يسقط تمثيلكم للشعب. وهذا غير مقبول. فكلّ ما هو مخالف لمصالح الإسلام سوف نضربه عرض الحائط. إنّ صلاحياتكم في هذا المجلس تقضي بأن تُرْسُوا الجمهوريّة الإسلاميّة طبقاً لموازين الإسلام. أمّا بما يرجع إلى المسائل الإداريّة [وما شابهها] فلا مانع من إبداء رأيكم... فإذا أراد ممثِّلو الشعب أن يقوموا بشيءٍ مخالف للإسلام فللشعب أن يعزلهم ويبعدهم. وأولئك يتوهَّمون أنّ هذا الأمر مخالف للحرّيّة، وهذا هو عين الديكتاتوريّة، وهذا وقوفٌ مقابل الشعب. فالشعب يريد الإسلام، وأنتم تقولون: هذا غير هامّ؛ والشعب يريد ولاية الفقيه </w:t>
      </w:r>
      <w:r w:rsidRPr="00EA09EB">
        <w:rPr>
          <w:rtl/>
        </w:rPr>
        <w:t>ـ</w:t>
      </w:r>
      <w:r w:rsidRPr="00EA09EB">
        <w:rPr>
          <w:rFonts w:hint="cs"/>
          <w:rtl/>
        </w:rPr>
        <w:t xml:space="preserve"> التي شرّعها الله </w:t>
      </w:r>
      <w:r w:rsidRPr="00EA09EB">
        <w:rPr>
          <w:rtl/>
        </w:rPr>
        <w:t>ـ</w:t>
      </w:r>
      <w:r w:rsidRPr="00EA09EB">
        <w:rPr>
          <w:rFonts w:hint="cs"/>
          <w:rtl/>
        </w:rPr>
        <w:t>، وأنتم تقولون: لا، هذا غير ضروريّ»</w:t>
      </w:r>
      <w:r w:rsidRPr="00064619">
        <w:rPr>
          <w:rFonts w:cs="Taher"/>
          <w:sz w:val="32"/>
          <w:vertAlign w:val="superscript"/>
          <w:rtl/>
        </w:rPr>
        <w:t>(</w:t>
      </w:r>
      <w:r w:rsidRPr="00064619">
        <w:rPr>
          <w:rStyle w:val="FootnoteReference"/>
          <w:rFonts w:cs="Taher"/>
          <w:sz w:val="32"/>
          <w:rtl/>
        </w:rPr>
        <w:footnoteReference w:id="460"/>
      </w:r>
      <w:r w:rsidRPr="00064619">
        <w:rPr>
          <w:rFonts w:cs="Taher"/>
          <w:sz w:val="32"/>
          <w:vertAlign w:val="superscript"/>
          <w:rtl/>
        </w:rPr>
        <w:t>)</w:t>
      </w:r>
      <w:r w:rsidRPr="00EA09EB">
        <w:rPr>
          <w:rFonts w:hint="cs"/>
          <w:rtl/>
        </w:rPr>
        <w:t>.</w:t>
      </w:r>
    </w:p>
    <w:p w:rsidR="00EA09EB" w:rsidRPr="00A32FC0" w:rsidRDefault="00EA09EB" w:rsidP="000E5EF9">
      <w:pPr>
        <w:pStyle w:val="Normal87"/>
        <w:rPr>
          <w:rtl/>
        </w:rPr>
      </w:pPr>
      <w:r w:rsidRPr="00A32FC0">
        <w:rPr>
          <w:rFonts w:hint="cs"/>
          <w:b/>
          <w:bCs/>
          <w:rtl/>
        </w:rPr>
        <w:t>العاشرة</w:t>
      </w:r>
      <w:r w:rsidRPr="00EA09EB">
        <w:rPr>
          <w:rFonts w:hint="cs"/>
          <w:rtl/>
        </w:rPr>
        <w:t>: إن ولاية الفقيه تتمتَّع بقدر كبير من التقدُّميّة التي لا يُعْلم توفُّرها في ما تطرحونه</w:t>
      </w:r>
      <w:r w:rsidRPr="00064619">
        <w:rPr>
          <w:rFonts w:cs="Taher"/>
          <w:vertAlign w:val="superscript"/>
          <w:rtl/>
        </w:rPr>
        <w:t>(</w:t>
      </w:r>
      <w:r w:rsidRPr="00064619">
        <w:rPr>
          <w:rStyle w:val="FootnoteReference"/>
          <w:rFonts w:cs="Taher"/>
          <w:sz w:val="32"/>
          <w:rtl/>
        </w:rPr>
        <w:footnoteReference w:id="461"/>
      </w:r>
      <w:r w:rsidRPr="00064619">
        <w:rPr>
          <w:rFonts w:cs="Taher"/>
          <w:vertAlign w:val="superscript"/>
          <w:rtl/>
        </w:rPr>
        <w:t>)</w:t>
      </w:r>
      <w:r w:rsidRPr="00EA09EB">
        <w:rPr>
          <w:rFonts w:hint="cs"/>
          <w:rtl/>
        </w:rPr>
        <w:t>. وأفضل أصل من أصول الدستور هو أصل ولاية الفقيه</w:t>
      </w:r>
      <w:r w:rsidRPr="00064619">
        <w:rPr>
          <w:rFonts w:cs="Taher"/>
          <w:vertAlign w:val="superscript"/>
          <w:rtl/>
        </w:rPr>
        <w:t>(</w:t>
      </w:r>
      <w:r w:rsidRPr="00064619">
        <w:rPr>
          <w:rStyle w:val="FootnoteReference"/>
          <w:rFonts w:cs="Taher"/>
          <w:sz w:val="32"/>
          <w:rtl/>
        </w:rPr>
        <w:footnoteReference w:id="462"/>
      </w:r>
      <w:r w:rsidRPr="00064619">
        <w:rPr>
          <w:rFonts w:cs="Taher"/>
          <w:vertAlign w:val="superscript"/>
          <w:rtl/>
        </w:rPr>
        <w:t>)</w:t>
      </w:r>
      <w:r w:rsidRPr="00A32FC0">
        <w:rPr>
          <w:rFonts w:hint="cs"/>
          <w:rtl/>
        </w:rPr>
        <w:t>.</w:t>
      </w:r>
    </w:p>
    <w:p w:rsidR="00EA09EB" w:rsidRPr="00A32FC0" w:rsidRDefault="00EA09EB" w:rsidP="000E5EF9">
      <w:pPr>
        <w:pStyle w:val="Normal84"/>
        <w:rPr>
          <w:rtl/>
        </w:rPr>
      </w:pPr>
      <w:r w:rsidRPr="00A32FC0">
        <w:rPr>
          <w:rFonts w:hint="cs"/>
          <w:rtl/>
        </w:rPr>
        <w:t>بعد الإقرار القانونيّ لولاية الفقيه، أي منذ أوائل شتاء 1358</w:t>
      </w:r>
      <w:r>
        <w:rPr>
          <w:rFonts w:hint="cs"/>
          <w:rtl/>
        </w:rPr>
        <w:t>هـ.ش / 1979 م</w:t>
      </w:r>
      <w:r w:rsidRPr="00EA09EB">
        <w:rPr>
          <w:rFonts w:hint="cs"/>
          <w:rtl/>
        </w:rPr>
        <w:t xml:space="preserve"> وحتى أواخر خريف 1366هـ.ش </w:t>
      </w:r>
      <w:r>
        <w:rPr>
          <w:rFonts w:hint="cs"/>
          <w:rtl/>
        </w:rPr>
        <w:t xml:space="preserve">/ </w:t>
      </w:r>
      <w:r w:rsidRPr="00EA09EB">
        <w:rPr>
          <w:rFonts w:hint="cs"/>
          <w:rtl/>
        </w:rPr>
        <w:t>1987 م، لمدة سبع سنوات، أي إلى الفترة التي طُرحت فيها الولاية المطلقة للفقيه، كان من النادر جدّاً تعرُّض السيد الخميني لهذه المسألة</w:t>
      </w:r>
      <w:r w:rsidRPr="00064619">
        <w:rPr>
          <w:rFonts w:cs="Taher"/>
          <w:vertAlign w:val="superscript"/>
          <w:rtl/>
        </w:rPr>
        <w:t>(</w:t>
      </w:r>
      <w:r w:rsidRPr="00064619">
        <w:rPr>
          <w:rStyle w:val="FootnoteReference"/>
          <w:rFonts w:cs="Taher"/>
          <w:sz w:val="32"/>
          <w:rtl/>
        </w:rPr>
        <w:footnoteReference w:id="463"/>
      </w:r>
      <w:r w:rsidRPr="00064619">
        <w:rPr>
          <w:rFonts w:cs="Taher"/>
          <w:vertAlign w:val="superscript"/>
          <w:rtl/>
        </w:rPr>
        <w:t>)</w:t>
      </w:r>
      <w:r w:rsidRPr="00A32FC0">
        <w:rPr>
          <w:rFonts w:hint="cs"/>
          <w:rtl/>
        </w:rPr>
        <w:t>؛ فقد كان متفرِّغاً لممارسة الولاية.</w:t>
      </w:r>
    </w:p>
    <w:p w:rsidR="00EA09EB" w:rsidRPr="00EA09EB" w:rsidRDefault="00EA09EB" w:rsidP="00EA09EB">
      <w:pPr>
        <w:rPr>
          <w:rtl/>
        </w:rPr>
      </w:pPr>
      <w:r w:rsidRPr="00A32FC0">
        <w:rPr>
          <w:rFonts w:hint="cs"/>
          <w:rtl/>
          <w:lang w:bidi="ar-LB"/>
        </w:rPr>
        <w:t xml:space="preserve">ومن أهمّ آرائه في هذه الفترة البيان الذي خاطب به نوّاب مجلس الشورى: </w:t>
      </w:r>
      <w:r w:rsidRPr="00A32FC0">
        <w:rPr>
          <w:rFonts w:hint="cs"/>
          <w:rtl/>
        </w:rPr>
        <w:t>«</w:t>
      </w:r>
      <w:r w:rsidRPr="00A32FC0">
        <w:rPr>
          <w:rFonts w:hint="cs"/>
          <w:rtl/>
          <w:lang w:bidi="ar-LB"/>
        </w:rPr>
        <w:t>مع الشكر الجزيل لنوّاب مجلس الشورى الإسلاميّ. إن إذاعة مداخلات النوّاب [عبر الراديو] يمكن أن يسبِّب سوء فهم عند الناس. فمن الضروري أن أقول: إن الآيات والروايات الخاصّة بالمعصومين</w:t>
      </w:r>
      <w:r w:rsidR="007A340E">
        <w:rPr>
          <w:rFonts w:hint="cs"/>
          <w:rtl/>
        </w:rPr>
        <w:t>^</w:t>
      </w:r>
      <w:r w:rsidRPr="00A32FC0">
        <w:rPr>
          <w:rFonts w:hint="cs"/>
          <w:rtl/>
          <w:lang w:bidi="ar-LB"/>
        </w:rPr>
        <w:t xml:space="preserve"> الواردة على ألسنة النوّاب، والتي لا يشاركهم فيها كبار فقهاء وعلماء الإسلام، فضلاً عن شخص مثلي، فإنّ الفقهاء الجامعين للشرائط وإنْ كانوا نوّاباً من قبل المعصومين في جميع الأمور الشرعيّة والسياسيّة والاجتماعيّة، وموكَّلين بتولّي الأمور في عصر الغيبة الكبرى، إلا أنّ هذا الأمر يختلف عن الولاية الكبرى المختصّة بالمعصومين</w:t>
      </w:r>
      <w:r w:rsidR="007A340E">
        <w:rPr>
          <w:rFonts w:hint="cs"/>
          <w:rtl/>
        </w:rPr>
        <w:t>^</w:t>
      </w:r>
      <w:r w:rsidRPr="00A32FC0">
        <w:rPr>
          <w:rFonts w:hint="cs"/>
          <w:rtl/>
          <w:lang w:bidi="ar-LB"/>
        </w:rPr>
        <w:t>. فأطلب إليكم أن لا يكون هناك أيّ إبهام في الكلمات التي تذاع، وليكُنْ الكلام دقيقاً</w:t>
      </w:r>
      <w:r w:rsidRPr="00A32FC0">
        <w:rPr>
          <w:rFonts w:hint="cs"/>
          <w:rtl/>
        </w:rPr>
        <w:t>»</w:t>
      </w:r>
      <w:r w:rsidRPr="00064619">
        <w:rPr>
          <w:rFonts w:cs="Taher"/>
          <w:vertAlign w:val="superscript"/>
          <w:rtl/>
        </w:rPr>
        <w:t>(</w:t>
      </w:r>
      <w:r w:rsidRPr="00064619">
        <w:rPr>
          <w:rStyle w:val="FootnoteReference"/>
          <w:rFonts w:cs="Taher"/>
          <w:sz w:val="32"/>
          <w:rtl/>
        </w:rPr>
        <w:footnoteReference w:id="464"/>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7</w:t>
      </w:r>
      <w:r w:rsidRPr="00A32FC0">
        <w:rPr>
          <w:rtl/>
          <w:lang w:bidi="ar-LB"/>
        </w:rPr>
        <w:t>ـ</w:t>
      </w:r>
      <w:r w:rsidRPr="00A32FC0">
        <w:rPr>
          <w:rFonts w:hint="cs"/>
          <w:rtl/>
          <w:lang w:bidi="ar-LB"/>
        </w:rPr>
        <w:t xml:space="preserve"> في المجتمع</w:t>
      </w:r>
      <w:r>
        <w:rPr>
          <w:rFonts w:hint="cs"/>
          <w:rtl/>
          <w:lang w:bidi="ar-LB"/>
        </w:rPr>
        <w:t xml:space="preserve"> الذي كان تحت ولايته أعطى السيد</w:t>
      </w:r>
      <w:r w:rsidRPr="00A32FC0">
        <w:rPr>
          <w:rFonts w:hint="cs"/>
          <w:rtl/>
          <w:lang w:bidi="ar-LB"/>
        </w:rPr>
        <w:t xml:space="preserve"> الخميني الحرّيّة للناس في انتخاب ممثِّليهم في المجلس، ورئيس جمهوريّتهم. وفي مق</w:t>
      </w:r>
      <w:r>
        <w:rPr>
          <w:rFonts w:hint="cs"/>
          <w:rtl/>
          <w:lang w:bidi="ar-LB"/>
        </w:rPr>
        <w:t>ابل هذا النهج الذي اتّبعه السيد</w:t>
      </w:r>
      <w:r w:rsidRPr="00A32FC0">
        <w:rPr>
          <w:rFonts w:hint="cs"/>
          <w:rtl/>
          <w:lang w:bidi="ar-LB"/>
        </w:rPr>
        <w:t xml:space="preserve"> الخميني كان بعض رجال الدين يرى بأن الأمور المتعلِّقة بالشأن العامّ هي في الأصل من اختصاص الفقهاء، وليس للناس حقّ التدخُّل فيها من دون الرجوع إليهم. وبعبارة أخرى: إن هذه المجموعة من رجال الدين كانت ترى بأن الناس في دائرة الشؤون العامّة محجورٌ عليهم بشكل مطلق، بل ويرَوْن أنه ليس من حقّ الناس أن يقوموا بتطبيق التوجيهات الكلّيّة للمجتهدين على مصاديقها. وببيان آخر: إن مسألة تطبيق الأحكام على موضوعاتها، وتشخيص موضوعات الأحكام، في دائرة الشؤون العامّة </w:t>
      </w:r>
      <w:r w:rsidRPr="00A32FC0">
        <w:rPr>
          <w:rtl/>
          <w:lang w:bidi="ar-LB"/>
        </w:rPr>
        <w:t>ـ</w:t>
      </w:r>
      <w:r w:rsidRPr="00A32FC0">
        <w:rPr>
          <w:rFonts w:hint="cs"/>
          <w:rtl/>
          <w:lang w:bidi="ar-LB"/>
        </w:rPr>
        <w:t xml:space="preserve"> من قبيل: تشخيص الفرد الأصلح في انتخابات المجلس، أو رئاسة الجمهورية </w:t>
      </w:r>
      <w:r w:rsidRPr="00A32FC0">
        <w:rPr>
          <w:rtl/>
          <w:lang w:bidi="ar-LB"/>
        </w:rPr>
        <w:t>ـ</w:t>
      </w:r>
      <w:r w:rsidRPr="00A32FC0">
        <w:rPr>
          <w:rFonts w:hint="cs"/>
          <w:rtl/>
          <w:lang w:bidi="ar-LB"/>
        </w:rPr>
        <w:t xml:space="preserve"> هو من اختصاص الف</w:t>
      </w:r>
      <w:r>
        <w:rPr>
          <w:rFonts w:hint="cs"/>
          <w:rtl/>
          <w:lang w:bidi="ar-LB"/>
        </w:rPr>
        <w:t>قهاء المجتهدين فقط. ولكنّ السيد</w:t>
      </w:r>
      <w:r w:rsidRPr="00A32FC0">
        <w:rPr>
          <w:rFonts w:hint="cs"/>
          <w:rtl/>
          <w:lang w:bidi="ar-LB"/>
        </w:rPr>
        <w:t xml:space="preserve"> الخميني رفض هذه الرؤية، ورأى في المقابل أنّه من المصلحة أن يجوّز للناس حقّ الانتخاب، طالما أنّهم ملتزمون مراعاة الضوابط الدينيّة في المجتمع تحت إشراف الوليّ الفقيه. وعلى سبيل المثال: نشير هن</w:t>
      </w:r>
      <w:r>
        <w:rPr>
          <w:rFonts w:hint="cs"/>
          <w:rtl/>
          <w:lang w:bidi="ar-LB"/>
        </w:rPr>
        <w:t>ا إلى ثلاثة نماذج من آراء السيد الخميني</w:t>
      </w:r>
      <w:r w:rsidRPr="00A32FC0">
        <w:rPr>
          <w:rFonts w:hint="cs"/>
          <w:rtl/>
          <w:lang w:bidi="ar-LB"/>
        </w:rPr>
        <w:t xml:space="preserve"> في هذا المجال:</w:t>
      </w:r>
    </w:p>
    <w:p w:rsidR="00EA09EB" w:rsidRPr="00A32FC0" w:rsidRDefault="00EA09EB" w:rsidP="000E5EF9">
      <w:pPr>
        <w:pStyle w:val="Normal87"/>
        <w:rPr>
          <w:rtl/>
        </w:rPr>
      </w:pPr>
      <w:r w:rsidRPr="00EA09EB">
        <w:rPr>
          <w:rFonts w:hint="cs"/>
          <w:rtl/>
        </w:rPr>
        <w:t>أـ «إن الانتخابات غير منحصرة بأيّ شخص، لا بالمؤسسة الدينيّة، ولا بالأحزاب، ولا بالتجمُّعات. إنها من حقّ جميع الناس. فالناس هم الذين يقرِّرون مصيرهم. والانتخابات طريقٌ لتحديد مصير الشعب. ما نقل إليّ من أنّ هناك بعض الأشخاص في الجامعة يقولون بأن التدخُّل في الانتخابات تدخُّل في السياسة، وهذا حقٌّ للعلماء المجتهدين... إنّ هذه مؤامرة. فكما أنّ للمجتهد حقَّ التدخُّل في تعيين مصيره كذلك للطالب الجامعيّ الشابّ أن يتدخَّل في تحقيق مصيره»</w:t>
      </w:r>
      <w:r w:rsidRPr="00064619">
        <w:rPr>
          <w:rFonts w:cs="Taher"/>
          <w:vertAlign w:val="superscript"/>
          <w:rtl/>
        </w:rPr>
        <w:t>(</w:t>
      </w:r>
      <w:r w:rsidRPr="00064619">
        <w:rPr>
          <w:rStyle w:val="FootnoteReference"/>
          <w:rFonts w:cs="Taher"/>
          <w:sz w:val="32"/>
          <w:rtl/>
        </w:rPr>
        <w:footnoteReference w:id="465"/>
      </w:r>
      <w:r w:rsidRPr="00064619">
        <w:rPr>
          <w:rFonts w:cs="Taher"/>
          <w:vertAlign w:val="superscript"/>
          <w:rtl/>
        </w:rPr>
        <w:t>)</w:t>
      </w:r>
      <w:r w:rsidRPr="00A32FC0">
        <w:rPr>
          <w:rFonts w:hint="cs"/>
          <w:rtl/>
        </w:rPr>
        <w:t>.</w:t>
      </w:r>
    </w:p>
    <w:p w:rsidR="00EA09EB" w:rsidRPr="00A32FC0" w:rsidRDefault="00EA09EB" w:rsidP="000E5EF9">
      <w:pPr>
        <w:pStyle w:val="Normal87"/>
        <w:rPr>
          <w:rtl/>
        </w:rPr>
      </w:pPr>
      <w:r w:rsidRPr="00A32FC0">
        <w:rPr>
          <w:rFonts w:hint="cs"/>
          <w:rtl/>
        </w:rPr>
        <w:t>ب ـ «علينا أن نقدِّر الناس، ونؤمِّن لهم استقلالهم، وأن نتنحَّى جانباً؛ لنكون نظّاراً على الأمور، خيرها وشر</w:t>
      </w:r>
      <w:r>
        <w:rPr>
          <w:rFonts w:hint="cs"/>
          <w:rtl/>
        </w:rPr>
        <w:t>ّ</w:t>
      </w:r>
      <w:r w:rsidRPr="00A32FC0">
        <w:rPr>
          <w:rFonts w:hint="cs"/>
          <w:rtl/>
        </w:rPr>
        <w:t>ها»</w:t>
      </w:r>
      <w:r w:rsidRPr="00064619">
        <w:rPr>
          <w:rFonts w:cs="Taher"/>
          <w:vertAlign w:val="superscript"/>
          <w:rtl/>
        </w:rPr>
        <w:t>(</w:t>
      </w:r>
      <w:r w:rsidRPr="00064619">
        <w:rPr>
          <w:rStyle w:val="FootnoteReference"/>
          <w:rFonts w:cs="Taher"/>
          <w:sz w:val="32"/>
          <w:rtl/>
        </w:rPr>
        <w:footnoteReference w:id="466"/>
      </w:r>
      <w:r w:rsidRPr="00064619">
        <w:rPr>
          <w:rFonts w:cs="Taher"/>
          <w:vertAlign w:val="superscript"/>
          <w:rtl/>
        </w:rPr>
        <w:t>)</w:t>
      </w:r>
      <w:r w:rsidRPr="00A32FC0">
        <w:rPr>
          <w:rFonts w:hint="cs"/>
          <w:rtl/>
        </w:rPr>
        <w:t>.</w:t>
      </w:r>
    </w:p>
    <w:p w:rsidR="00EA09EB" w:rsidRPr="00EA09EB" w:rsidRDefault="00EA09EB" w:rsidP="000E5EF9">
      <w:pPr>
        <w:pStyle w:val="Normal87"/>
        <w:rPr>
          <w:rtl/>
        </w:rPr>
      </w:pPr>
      <w:r w:rsidRPr="00A32FC0">
        <w:rPr>
          <w:rFonts w:hint="cs"/>
          <w:rtl/>
        </w:rPr>
        <w:t>ج ـ «الناس أحرار في الانتخابات، ولا يحتاجون إلى قيّم. ولا يحقّ لأيّ شخص أو مجموعة أن يلزموا الناس بفرد أو أفراد. إنّ المجتمع الإسلاميّ في إيران، الذي اختار بدرايته ووعيه الجمهوريّة الإسلامية، وقيمها السامية، وحاكميّة القوانين الإلهية، والذي بَقيَ وفيّاً في هذه البيعة، قادرٌ حتماً على تشخيص وانتخاب المرشَّح الأصلح»</w:t>
      </w:r>
      <w:r w:rsidRPr="00064619">
        <w:rPr>
          <w:rFonts w:cs="Taher"/>
          <w:vertAlign w:val="superscript"/>
          <w:rtl/>
        </w:rPr>
        <w:t>(</w:t>
      </w:r>
      <w:r w:rsidRPr="00064619">
        <w:rPr>
          <w:rStyle w:val="FootnoteReference"/>
          <w:rFonts w:cs="Taher"/>
          <w:sz w:val="32"/>
          <w:rtl/>
        </w:rPr>
        <w:footnoteReference w:id="467"/>
      </w:r>
      <w:r w:rsidRPr="00064619">
        <w:rPr>
          <w:rFonts w:cs="Taher"/>
          <w:vertAlign w:val="superscript"/>
          <w:rtl/>
        </w:rPr>
        <w:t>)</w:t>
      </w:r>
      <w:r w:rsidRPr="00EA09EB">
        <w:rPr>
          <w:rFonts w:hint="cs"/>
          <w:rtl/>
        </w:rPr>
        <w:t>.</w:t>
      </w:r>
    </w:p>
    <w:p w:rsidR="00EA09EB" w:rsidRPr="00A32FC0" w:rsidRDefault="00EA09EB" w:rsidP="008B4604">
      <w:pPr>
        <w:rPr>
          <w:rtl/>
          <w:lang w:bidi="ar-LB"/>
        </w:rPr>
      </w:pPr>
      <w:r w:rsidRPr="00A32FC0">
        <w:rPr>
          <w:rFonts w:hint="cs"/>
          <w:rtl/>
          <w:lang w:bidi="ar-LB"/>
        </w:rPr>
        <w:t>وفي ا</w:t>
      </w:r>
      <w:r>
        <w:rPr>
          <w:rFonts w:hint="cs"/>
          <w:rtl/>
          <w:lang w:bidi="ar-LB"/>
        </w:rPr>
        <w:t>لسنتين الأخيرتين من تولّي السيد</w:t>
      </w:r>
      <w:r w:rsidRPr="00A32FC0">
        <w:rPr>
          <w:rFonts w:hint="cs"/>
          <w:rtl/>
          <w:lang w:bidi="ar-LB"/>
        </w:rPr>
        <w:t xml:space="preserve"> الخمينيّ زمام الأمور قام بطرح موضوعات ترتبط بثلاثة محاور أخرى من فكره السياسيّ، أي مجال الصلاحيّات (إطلاق الولاية)؛ ورؤية جديدة حول شرط الفقاهة (</w:t>
      </w:r>
      <w:r w:rsidR="008B4604">
        <w:rPr>
          <w:rFonts w:hint="cs"/>
          <w:rtl/>
          <w:lang w:bidi="ar-LB"/>
        </w:rPr>
        <w:t>مراعاة</w:t>
      </w:r>
      <w:r w:rsidRPr="00A32FC0">
        <w:rPr>
          <w:rFonts w:hint="cs"/>
          <w:rtl/>
          <w:lang w:bidi="ar-LB"/>
        </w:rPr>
        <w:t xml:space="preserve"> عُنصرَي الزمان والمكان)؛ وملاحظات حول الوليّ المنتخَب تتطرَّق إلى مسألة التعيين. </w:t>
      </w:r>
    </w:p>
    <w:p w:rsidR="00EA09EB" w:rsidRPr="00A32FC0" w:rsidRDefault="00EA09EB" w:rsidP="00EA09EB">
      <w:pPr>
        <w:rPr>
          <w:rtl/>
          <w:lang w:bidi="ar-LB"/>
        </w:rPr>
      </w:pPr>
      <w:r w:rsidRPr="00A32FC0">
        <w:rPr>
          <w:rFonts w:hint="cs"/>
          <w:rtl/>
          <w:lang w:bidi="ar-LB"/>
        </w:rPr>
        <w:t xml:space="preserve">أمّا بالنسبة إلى المحور الأول، أعني إطلاق الولاية، فليس في كلامه أيّ جديد غير الذي ذكرنا. </w:t>
      </w:r>
    </w:p>
    <w:p w:rsidR="00EA09EB" w:rsidRPr="00A32FC0" w:rsidRDefault="00EA09EB" w:rsidP="00EA09EB">
      <w:pPr>
        <w:rPr>
          <w:rtl/>
          <w:lang w:bidi="ar-LB"/>
        </w:rPr>
      </w:pPr>
      <w:r w:rsidRPr="00A32FC0">
        <w:rPr>
          <w:rFonts w:hint="cs"/>
          <w:rtl/>
          <w:lang w:bidi="ar-LB"/>
        </w:rPr>
        <w:t xml:space="preserve">وفي مناقشات مجلس إعادة صياغة الدستور تركَّز البحث حول موضوع الإطلاق والتعيين ولوازمهما، وقلَّما تعرَّضوا إلى أصل موضوع الولاية. </w:t>
      </w:r>
    </w:p>
    <w:p w:rsidR="00EA09EB" w:rsidRPr="00A32FC0" w:rsidRDefault="00EA09EB" w:rsidP="008B4604">
      <w:pPr>
        <w:rPr>
          <w:rtl/>
          <w:lang w:bidi="ar-LB"/>
        </w:rPr>
      </w:pPr>
      <w:r w:rsidRPr="00A32FC0">
        <w:rPr>
          <w:rFonts w:hint="cs"/>
          <w:rtl/>
          <w:lang w:bidi="ar-LB"/>
        </w:rPr>
        <w:t xml:space="preserve">إن البحث حول أسباب وكيفيّة أسلوب التعاطي مع </w:t>
      </w:r>
      <w:r w:rsidR="008B4604">
        <w:rPr>
          <w:rFonts w:hint="cs"/>
          <w:rtl/>
          <w:lang w:bidi="ar-LB"/>
        </w:rPr>
        <w:t>الترويج</w:t>
      </w:r>
      <w:r w:rsidRPr="00A32FC0">
        <w:rPr>
          <w:rFonts w:hint="cs"/>
          <w:rtl/>
          <w:lang w:bidi="ar-LB"/>
        </w:rPr>
        <w:t xml:space="preserve"> المستمرّ لفكرة الحكومة الولائي</w:t>
      </w:r>
      <w:r w:rsidR="008B4604">
        <w:rPr>
          <w:rFonts w:hint="cs"/>
          <w:rtl/>
          <w:lang w:bidi="ar-LB"/>
        </w:rPr>
        <w:t xml:space="preserve">ة وولاية الفقيه وطرحها على الملأ </w:t>
      </w:r>
      <w:r w:rsidR="008B4604" w:rsidRPr="009D41F1">
        <w:rPr>
          <w:rFonts w:hint="cs"/>
          <w:rtl/>
          <w:lang w:bidi="ar-LB"/>
        </w:rPr>
        <w:t>العام</w:t>
      </w:r>
      <w:r w:rsidRPr="009D41F1">
        <w:rPr>
          <w:rFonts w:hint="cs"/>
          <w:rtl/>
          <w:lang w:bidi="ar-LB"/>
        </w:rPr>
        <w:t xml:space="preserve"> بعد</w:t>
      </w:r>
      <w:r>
        <w:rPr>
          <w:rFonts w:hint="cs"/>
          <w:rtl/>
          <w:lang w:bidi="ar-LB"/>
        </w:rPr>
        <w:t xml:space="preserve"> وفاة السيد</w:t>
      </w:r>
      <w:r w:rsidRPr="00A32FC0">
        <w:rPr>
          <w:rFonts w:hint="cs"/>
          <w:rtl/>
          <w:lang w:bidi="ar-LB"/>
        </w:rPr>
        <w:t xml:space="preserve"> الخميني، يحتاج إلى مجال آخر للبحث.</w:t>
      </w:r>
    </w:p>
    <w:p w:rsidR="007A340E" w:rsidRDefault="00EA09EB" w:rsidP="007A340E">
      <w:pPr>
        <w:pStyle w:val="Heading2"/>
        <w:jc w:val="center"/>
        <w:rPr>
          <w:rtl/>
        </w:rPr>
      </w:pPr>
      <w:r w:rsidRPr="00EA09EB">
        <w:rPr>
          <w:rtl/>
        </w:rPr>
        <w:br w:type="page"/>
      </w:r>
    </w:p>
    <w:p w:rsidR="007A340E" w:rsidRDefault="007A340E" w:rsidP="007A340E">
      <w:pPr>
        <w:rPr>
          <w:rtl/>
        </w:rPr>
        <w:sectPr w:rsidR="007A340E" w:rsidSect="009003FC">
          <w:headerReference w:type="even" r:id="rId38"/>
          <w:headerReference w:type="default" r:id="rId39"/>
          <w:headerReference w:type="first" r:id="rId40"/>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Pr="000E5EF9" w:rsidRDefault="007A340E" w:rsidP="007A340E">
      <w:pPr>
        <w:rPr>
          <w:sz w:val="22"/>
          <w:szCs w:val="24"/>
          <w:rtl/>
        </w:rPr>
      </w:pPr>
    </w:p>
    <w:p w:rsidR="00EA09EB" w:rsidRPr="007A340E" w:rsidRDefault="00EA09EB" w:rsidP="007A340E">
      <w:pPr>
        <w:pStyle w:val="Heading2"/>
        <w:jc w:val="center"/>
        <w:rPr>
          <w:rtl/>
        </w:rPr>
      </w:pPr>
      <w:bookmarkStart w:id="45" w:name="_Toc413658828"/>
      <w:r w:rsidRPr="00E2207F">
        <w:rPr>
          <w:rFonts w:hint="cs"/>
          <w:rtl/>
          <w:lang w:bidi="ar-LB"/>
        </w:rPr>
        <w:t>الفصل الثاني عش</w:t>
      </w:r>
      <w:r w:rsidRPr="007A340E">
        <w:rPr>
          <w:rFonts w:hint="cs"/>
          <w:rtl/>
        </w:rPr>
        <w:t>ر: الولاية والجمهوريّة</w:t>
      </w:r>
      <w:bookmarkEnd w:id="45"/>
    </w:p>
    <w:p w:rsidR="00EA09EB" w:rsidRDefault="00EA09EB" w:rsidP="000E5EF9">
      <w:pPr>
        <w:pStyle w:val="Normal84"/>
        <w:rPr>
          <w:rtl/>
        </w:rPr>
      </w:pPr>
      <w:r w:rsidRPr="00A32FC0">
        <w:rPr>
          <w:rFonts w:hint="cs"/>
          <w:rtl/>
        </w:rPr>
        <w:t>إن فهم الأبعاد النظرية للعلاقة بين الولاية والجمهورية يرتبط بالإجابة عن الأسئلة التالية: ما هي ضوابط وذاتيّات الحكم الجمهوريّ؟ وما هي العلاقة بين الحكومة الولائية والحكم الجمهوريّ؟ وهل تنسجم ولاية الفقيه مع الجمهوريّة الإسلاميّة؟ وكيف يمكن أن نجمع بين الحكومة الولائيّة والجمهوريّة الإسلاميّة؟ وما هو الرابط بين الحلول المختلفة للجمع بين ولاية الفقيه والجمهوريّة الإسلاميّة؟</w:t>
      </w:r>
    </w:p>
    <w:p w:rsidR="007A340E" w:rsidRPr="00A32FC0" w:rsidRDefault="007A340E" w:rsidP="00EA09EB">
      <w:pPr>
        <w:rPr>
          <w:rtl/>
          <w:lang w:bidi="ar-LB"/>
        </w:rPr>
      </w:pPr>
    </w:p>
    <w:p w:rsidR="00EA09EB" w:rsidRPr="005C7346" w:rsidRDefault="00EA09EB" w:rsidP="007A340E">
      <w:pPr>
        <w:pStyle w:val="Heading3"/>
        <w:rPr>
          <w:rtl/>
        </w:rPr>
      </w:pPr>
      <w:r w:rsidRPr="005C7346">
        <w:rPr>
          <w:rFonts w:hint="cs"/>
          <w:rtl/>
        </w:rPr>
        <w:t>1</w:t>
      </w:r>
      <w:r w:rsidRPr="005C7346">
        <w:rPr>
          <w:rtl/>
        </w:rPr>
        <w:t>ـ</w:t>
      </w:r>
      <w:r w:rsidRPr="005C7346">
        <w:rPr>
          <w:rFonts w:hint="cs"/>
          <w:rtl/>
        </w:rPr>
        <w:t xml:space="preserve"> خصائص الحكم </w:t>
      </w:r>
      <w:r w:rsidRPr="007A340E">
        <w:rPr>
          <w:rFonts w:hint="cs"/>
          <w:rtl/>
        </w:rPr>
        <w:t>الجمهوريّ</w:t>
      </w:r>
    </w:p>
    <w:p w:rsidR="00EA09EB" w:rsidRPr="00A32FC0" w:rsidRDefault="00EA09EB" w:rsidP="000E5EF9">
      <w:pPr>
        <w:pStyle w:val="Normal84"/>
        <w:rPr>
          <w:rtl/>
        </w:rPr>
      </w:pPr>
      <w:r w:rsidRPr="00EA09EB">
        <w:rPr>
          <w:rFonts w:hint="cs"/>
          <w:rtl/>
        </w:rPr>
        <w:t>في تعريفه للجمهورية الإسلاميّة صرّح السيد الخمينيّ عدّة مرّات بأنّ «معنى الجمهوريّة هو ذاك المعنى الذي تستعمل فيه الجمهوريّة أينما كان. فالجمهورية الإسلامية هي جمهوريّة كسائر الجمهوريّات»</w:t>
      </w:r>
      <w:r w:rsidRPr="00064619">
        <w:rPr>
          <w:rFonts w:cs="Taher"/>
          <w:vertAlign w:val="superscript"/>
          <w:rtl/>
        </w:rPr>
        <w:t>(</w:t>
      </w:r>
      <w:r w:rsidRPr="00064619">
        <w:rPr>
          <w:rStyle w:val="FootnoteReference"/>
          <w:rFonts w:cs="Taher"/>
          <w:sz w:val="32"/>
          <w:rtl/>
        </w:rPr>
        <w:footnoteReference w:id="468"/>
      </w:r>
      <w:r w:rsidRPr="00064619">
        <w:rPr>
          <w:rFonts w:cs="Taher"/>
          <w:vertAlign w:val="superscript"/>
          <w:rtl/>
        </w:rPr>
        <w:t>)</w:t>
      </w:r>
      <w:r w:rsidRPr="00A32FC0">
        <w:rPr>
          <w:rFonts w:hint="cs"/>
          <w:rtl/>
        </w:rPr>
        <w:t>.</w:t>
      </w:r>
    </w:p>
    <w:p w:rsidR="00EA09EB" w:rsidRPr="00EA09EB" w:rsidRDefault="00EA09EB" w:rsidP="000E5EF9">
      <w:pPr>
        <w:pStyle w:val="Normal84"/>
        <w:rPr>
          <w:rtl/>
        </w:rPr>
      </w:pPr>
      <w:r w:rsidRPr="00A32FC0">
        <w:rPr>
          <w:rFonts w:hint="cs"/>
          <w:rtl/>
        </w:rPr>
        <w:t>وهنا سؤال يطرح نفسه: ما هو معنى الجمهورية</w:t>
      </w:r>
      <w:r w:rsidRPr="00EA09EB">
        <w:rPr>
          <w:rFonts w:hint="cs"/>
          <w:rtl/>
        </w:rPr>
        <w:t xml:space="preserve"> أينما كان؟ ما هي خصائص سائر الجمهوريّات؟</w:t>
      </w:r>
    </w:p>
    <w:p w:rsidR="00EA09EB" w:rsidRPr="00A32FC0" w:rsidRDefault="00EA09EB" w:rsidP="00EA09EB">
      <w:pPr>
        <w:rPr>
          <w:rtl/>
          <w:lang w:bidi="ar-LB"/>
        </w:rPr>
      </w:pPr>
      <w:r w:rsidRPr="00A32FC0">
        <w:rPr>
          <w:rFonts w:hint="cs"/>
          <w:rtl/>
          <w:lang w:bidi="ar-LB"/>
        </w:rPr>
        <w:t>النظام الجمهوري هو نوع من السلطة وإدارة المجتمع.</w:t>
      </w:r>
    </w:p>
    <w:p w:rsidR="00EA09EB" w:rsidRPr="00A32FC0" w:rsidRDefault="00EA09EB" w:rsidP="00EA09EB">
      <w:pPr>
        <w:rPr>
          <w:rtl/>
        </w:rPr>
      </w:pPr>
      <w:r w:rsidRPr="00A32FC0">
        <w:rPr>
          <w:rFonts w:hint="cs"/>
          <w:rtl/>
          <w:lang w:bidi="ar-LB"/>
        </w:rPr>
        <w:t xml:space="preserve">والحكم الجمهوري </w:t>
      </w:r>
      <w:r w:rsidRPr="00A32FC0">
        <w:rPr>
          <w:rtl/>
          <w:lang w:bidi="ar-LB"/>
        </w:rPr>
        <w:t>ـ</w:t>
      </w:r>
      <w:r w:rsidRPr="00A32FC0">
        <w:rPr>
          <w:rFonts w:hint="cs"/>
          <w:rtl/>
          <w:lang w:bidi="ar-LB"/>
        </w:rPr>
        <w:t xml:space="preserve"> في عرفنا الحالي </w:t>
      </w:r>
      <w:r w:rsidRPr="00A32FC0">
        <w:rPr>
          <w:rtl/>
          <w:lang w:bidi="ar-LB"/>
        </w:rPr>
        <w:t>ـ</w:t>
      </w:r>
      <w:r w:rsidRPr="00A32FC0">
        <w:rPr>
          <w:rFonts w:hint="cs"/>
          <w:rtl/>
          <w:lang w:bidi="ar-LB"/>
        </w:rPr>
        <w:t xml:space="preserve"> ي</w:t>
      </w:r>
      <w:r w:rsidRPr="00A32FC0">
        <w:rPr>
          <w:rFonts w:hint="cs"/>
          <w:rtl/>
        </w:rPr>
        <w:t>تمتَّع بالخصائص التالية:</w:t>
      </w:r>
    </w:p>
    <w:p w:rsidR="00EA09EB" w:rsidRPr="00EA09EB" w:rsidRDefault="00EA09EB" w:rsidP="007A340E">
      <w:pPr>
        <w:ind w:firstLine="283"/>
        <w:rPr>
          <w:rtl/>
        </w:rPr>
      </w:pPr>
      <w:r w:rsidRPr="007A340E">
        <w:rPr>
          <w:rFonts w:hint="cs"/>
          <w:b/>
          <w:bCs/>
          <w:rtl/>
        </w:rPr>
        <w:t>الأولى</w:t>
      </w:r>
      <w:r w:rsidRPr="00EA09EB">
        <w:rPr>
          <w:rFonts w:hint="cs"/>
          <w:rtl/>
        </w:rPr>
        <w:t>: يتساوى الناس في دائرة شؤونهم العامّة. كما أنّ لهم حقّ تقرير مصيرهم. وهم يتمتَّعون بصلاحيّة انتزاع هذا الحقّ. وبعبارة أخرى: إن الناس في دائرة شؤونهم العامّة راشدون.</w:t>
      </w:r>
    </w:p>
    <w:p w:rsidR="00EA09EB" w:rsidRPr="00EA09EB" w:rsidRDefault="00EA09EB" w:rsidP="007A340E">
      <w:pPr>
        <w:ind w:firstLine="283"/>
        <w:rPr>
          <w:rtl/>
        </w:rPr>
      </w:pPr>
      <w:r w:rsidRPr="007A340E">
        <w:rPr>
          <w:rFonts w:hint="cs"/>
          <w:b/>
          <w:bCs/>
          <w:rtl/>
        </w:rPr>
        <w:t>الثانية</w:t>
      </w:r>
      <w:r w:rsidRPr="00EA09EB">
        <w:rPr>
          <w:rFonts w:hint="cs"/>
          <w:rtl/>
        </w:rPr>
        <w:t>: رئيس الجمهورية يُنتخب من قِبَل الشعب. وهو وكيلهم في ما يخصّ شؤونهم العامّة.</w:t>
      </w:r>
    </w:p>
    <w:p w:rsidR="00EA09EB" w:rsidRPr="00EA09EB" w:rsidRDefault="00EA09EB" w:rsidP="007A340E">
      <w:pPr>
        <w:ind w:firstLine="283"/>
        <w:rPr>
          <w:rtl/>
        </w:rPr>
      </w:pPr>
      <w:r w:rsidRPr="007A340E">
        <w:rPr>
          <w:rFonts w:hint="cs"/>
          <w:b/>
          <w:bCs/>
          <w:rtl/>
        </w:rPr>
        <w:t>الثالثة</w:t>
      </w:r>
      <w:r w:rsidRPr="00EA09EB">
        <w:rPr>
          <w:rFonts w:hint="cs"/>
          <w:rtl/>
        </w:rPr>
        <w:t>: إنّ فترة حكم رئيس الجمهورية محدَّدة (من أربع إلى سبع سنوات)، وتُعَدّ إعادة انتخابه أكثر من مرّة أمراً صعباً. ولهذا فإنّ رئاسة الجمهورية تداوليّة وسلميّة، وتتمّ بانتخاب الناس لرئيسهم، وبعد أن تنتهي مدة حكمه، يسلِّم السلطة إلى غيره.</w:t>
      </w:r>
    </w:p>
    <w:p w:rsidR="00EA09EB" w:rsidRPr="00EA09EB" w:rsidRDefault="00EA09EB" w:rsidP="007A340E">
      <w:pPr>
        <w:ind w:firstLine="283"/>
        <w:rPr>
          <w:rtl/>
        </w:rPr>
      </w:pPr>
      <w:r w:rsidRPr="007A340E">
        <w:rPr>
          <w:rFonts w:hint="cs"/>
          <w:b/>
          <w:bCs/>
          <w:rtl/>
        </w:rPr>
        <w:t>الرابعة</w:t>
      </w:r>
      <w:r w:rsidRPr="00EA09EB">
        <w:rPr>
          <w:rFonts w:hint="cs"/>
          <w:rtl/>
        </w:rPr>
        <w:t>: إنّ رئيس الجمهورية مسؤول أمام الناس، ويقوم بوظائفه تحت إشرافهم.</w:t>
      </w:r>
    </w:p>
    <w:p w:rsidR="00EA09EB" w:rsidRPr="00EA09EB" w:rsidRDefault="00EA09EB" w:rsidP="007A340E">
      <w:pPr>
        <w:ind w:firstLine="283"/>
        <w:rPr>
          <w:rtl/>
        </w:rPr>
      </w:pPr>
      <w:r w:rsidRPr="007A340E">
        <w:rPr>
          <w:rFonts w:hint="cs"/>
          <w:b/>
          <w:bCs/>
          <w:rtl/>
        </w:rPr>
        <w:t>الخامسة</w:t>
      </w:r>
      <w:r w:rsidRPr="00EA09EB">
        <w:rPr>
          <w:rFonts w:hint="cs"/>
          <w:rtl/>
        </w:rPr>
        <w:t>: ليس لرئيس الجمهوريّة أيّ امتياز شخصيّ يميِّزه من غيره من المواطنين. وهو ـ كغيره من الناس ـ ملزمٌ بالقانون، ومسؤولٌ عن جميع أعماله.</w:t>
      </w:r>
    </w:p>
    <w:p w:rsidR="00EA09EB" w:rsidRPr="00EA09EB" w:rsidRDefault="00EA09EB" w:rsidP="007A340E">
      <w:pPr>
        <w:ind w:firstLine="283"/>
        <w:rPr>
          <w:rtl/>
        </w:rPr>
      </w:pPr>
      <w:r w:rsidRPr="007A340E">
        <w:rPr>
          <w:rFonts w:hint="cs"/>
          <w:b/>
          <w:bCs/>
          <w:rtl/>
        </w:rPr>
        <w:t>السادسة</w:t>
      </w:r>
      <w:r w:rsidRPr="00EA09EB">
        <w:rPr>
          <w:rFonts w:hint="cs"/>
          <w:rtl/>
        </w:rPr>
        <w:t xml:space="preserve">: إنّ صلاحيات رئيس الجمهورية مقيَّدة بالقانون الذي قبله الناس. </w:t>
      </w:r>
    </w:p>
    <w:p w:rsidR="00EA09EB" w:rsidRPr="00EA09EB" w:rsidRDefault="00EA09EB" w:rsidP="007A340E">
      <w:pPr>
        <w:ind w:firstLine="283"/>
        <w:rPr>
          <w:rtl/>
        </w:rPr>
      </w:pPr>
      <w:r w:rsidRPr="007A340E">
        <w:rPr>
          <w:rFonts w:hint="cs"/>
          <w:b/>
          <w:bCs/>
          <w:rtl/>
        </w:rPr>
        <w:t>السابعة</w:t>
      </w:r>
      <w:r w:rsidRPr="00EA09EB">
        <w:rPr>
          <w:rFonts w:hint="cs"/>
          <w:rtl/>
        </w:rPr>
        <w:t xml:space="preserve">: تقسَّم السيادة الوطنية بشكلٍ متساوٍ إلى سلطتين: إجرائية؛ وتشريعية. </w:t>
      </w:r>
    </w:p>
    <w:p w:rsidR="00EA09EB" w:rsidRPr="00A32FC0" w:rsidRDefault="00EA09EB" w:rsidP="00EA09EB">
      <w:pPr>
        <w:rPr>
          <w:rtl/>
        </w:rPr>
      </w:pPr>
      <w:r w:rsidRPr="00A32FC0">
        <w:rPr>
          <w:rFonts w:hint="cs"/>
          <w:rtl/>
        </w:rPr>
        <w:t>إنّ رئيس الجمهورية هو رئيس الدولة، ورئيس السلطة الإجرائيّة. وأمّا وزراء الدولة فهم مسؤولون أمام رئيس الجمهوريّة، وليس أمام البرلمان. لا يمكن للسلطة التشريعيّة أن تسقط الحكومة (السلطة الإجرائيّة). كما أنه لا يمكن للسلطة الإجرائيّة حلّ البرلمان.</w:t>
      </w:r>
    </w:p>
    <w:p w:rsidR="00EA09EB" w:rsidRPr="00EA09EB" w:rsidRDefault="00EA09EB" w:rsidP="007A340E">
      <w:pPr>
        <w:ind w:firstLine="283"/>
        <w:rPr>
          <w:rtl/>
        </w:rPr>
      </w:pPr>
      <w:r w:rsidRPr="00EA09EB">
        <w:rPr>
          <w:rFonts w:hint="cs"/>
          <w:rtl/>
        </w:rPr>
        <w:t>وعلى هذا الأساس فإن السلطة الإجرائيّة الرئاسيّة تقابلها السلطة الإجرائيّة البرلمانيّة</w:t>
      </w:r>
      <w:r w:rsidRPr="00064619">
        <w:rPr>
          <w:rFonts w:cs="Taher"/>
          <w:sz w:val="32"/>
          <w:vertAlign w:val="superscript"/>
          <w:rtl/>
        </w:rPr>
        <w:t>(</w:t>
      </w:r>
      <w:r w:rsidRPr="00064619">
        <w:rPr>
          <w:rStyle w:val="FootnoteReference"/>
          <w:rFonts w:cs="Taher"/>
          <w:sz w:val="32"/>
          <w:rtl/>
        </w:rPr>
        <w:footnoteReference w:id="469"/>
      </w:r>
      <w:r w:rsidRPr="00064619">
        <w:rPr>
          <w:rFonts w:cs="Taher"/>
          <w:sz w:val="32"/>
          <w:vertAlign w:val="superscript"/>
          <w:rtl/>
        </w:rPr>
        <w:t>)</w:t>
      </w:r>
      <w:r w:rsidRPr="00EA09EB">
        <w:rPr>
          <w:rFonts w:hint="cs"/>
          <w:rtl/>
        </w:rPr>
        <w:t xml:space="preserve">. </w:t>
      </w:r>
    </w:p>
    <w:p w:rsidR="00EA09EB" w:rsidRPr="00A32FC0" w:rsidRDefault="00EA09EB" w:rsidP="000E5EF9">
      <w:pPr>
        <w:pStyle w:val="Normal87"/>
        <w:rPr>
          <w:rtl/>
        </w:rPr>
      </w:pPr>
      <w:r w:rsidRPr="00A32FC0">
        <w:rPr>
          <w:rFonts w:hint="cs"/>
          <w:rtl/>
        </w:rPr>
        <w:t>يوجد في عالمنا المعاصر نوعان آخران من النظام الجمهوريّ، غير النظام الجمهوريّ الديمقراطي (الذي عرضنا بعض خصائصه):</w:t>
      </w:r>
    </w:p>
    <w:p w:rsidR="00EA09EB" w:rsidRPr="00EA09EB" w:rsidRDefault="00EA09EB" w:rsidP="000E5EF9">
      <w:pPr>
        <w:pStyle w:val="Normal87"/>
        <w:rPr>
          <w:rtl/>
        </w:rPr>
      </w:pPr>
      <w:r w:rsidRPr="007A340E">
        <w:rPr>
          <w:rFonts w:hint="cs"/>
          <w:b/>
          <w:bCs/>
          <w:rtl/>
        </w:rPr>
        <w:t>الأول</w:t>
      </w:r>
      <w:r w:rsidRPr="00EA09EB">
        <w:rPr>
          <w:rFonts w:hint="cs"/>
          <w:rtl/>
        </w:rPr>
        <w:t xml:space="preserve">: الجمهورية الاشتراكيّة، المبتنية على أساس ديكتاتوريّة الطبقة العاملة «البروليتاريا»، والأيديولوجيّة الماركسيّة. </w:t>
      </w:r>
    </w:p>
    <w:p w:rsidR="00EA09EB" w:rsidRPr="00A32FC0" w:rsidRDefault="00EA09EB" w:rsidP="000E5EF9">
      <w:pPr>
        <w:pStyle w:val="Normal87"/>
        <w:rPr>
          <w:rtl/>
        </w:rPr>
      </w:pPr>
      <w:r w:rsidRPr="00A32FC0">
        <w:rPr>
          <w:rFonts w:hint="cs"/>
          <w:b/>
          <w:bCs/>
          <w:rtl/>
        </w:rPr>
        <w:t>الثاني</w:t>
      </w:r>
      <w:r w:rsidRPr="00A32FC0">
        <w:rPr>
          <w:rFonts w:hint="cs"/>
          <w:rtl/>
        </w:rPr>
        <w:t>: جمهوريات العالم الثالث، التي لا يوجد أيّ فرق بينها وبين النظام المَلَكيّ، سوى الاسم؛ فهي في محتواها لا تختلف عن النظام المَلَكيّ.</w:t>
      </w:r>
    </w:p>
    <w:p w:rsidR="00EA09EB" w:rsidRDefault="00EA09EB" w:rsidP="000E5EF9">
      <w:pPr>
        <w:pStyle w:val="Normal87"/>
        <w:rPr>
          <w:rtl/>
        </w:rPr>
      </w:pPr>
      <w:r>
        <w:rPr>
          <w:rFonts w:hint="cs"/>
          <w:rtl/>
        </w:rPr>
        <w:t>لقد رفض السيد</w:t>
      </w:r>
      <w:r w:rsidRPr="00A32FC0">
        <w:rPr>
          <w:rFonts w:hint="cs"/>
          <w:rtl/>
        </w:rPr>
        <w:t xml:space="preserve"> الخمينيّ بشكل صريح النوع الثالث من الجمهوريّة</w:t>
      </w:r>
      <w:r w:rsidRPr="00EA09EB">
        <w:rPr>
          <w:rFonts w:hint="cs"/>
          <w:rtl/>
        </w:rPr>
        <w:t>. ومن الواضح أن مراده من الجمهوريّة لم يكن الجمهوريّة الاشتراكيّة. ومع ملاحظة انسجام العديد من ضوابط الجمهوريّة الإسلاميّة التي أعلنها في باريس، وملاحظة البلد الذي أُعلنت منه هذه النظريّة (فرنسا)، لا يبقى هناك أيّ شكّ بأنّ مراده من «الجمهوريّة أينما كان» هو النوع الأوّل من الجمهوريّة، بخصائصه السبع المذكورة. ولا شكّ في أنّ ما فهمه الناس عامّةً من طرح السيد الخميني كان هذا المعنى من الجمهوريّة.</w:t>
      </w:r>
    </w:p>
    <w:p w:rsidR="007A340E" w:rsidRPr="00EA09EB" w:rsidRDefault="007A340E" w:rsidP="00EA09EB">
      <w:pPr>
        <w:rPr>
          <w:rtl/>
        </w:rPr>
      </w:pPr>
    </w:p>
    <w:p w:rsidR="00EA09EB" w:rsidRPr="005C7346" w:rsidRDefault="00EA09EB" w:rsidP="007A340E">
      <w:pPr>
        <w:pStyle w:val="Heading3"/>
        <w:rPr>
          <w:rtl/>
        </w:rPr>
      </w:pPr>
      <w:r w:rsidRPr="005C7346">
        <w:rPr>
          <w:rFonts w:hint="cs"/>
          <w:rtl/>
        </w:rPr>
        <w:t>2</w:t>
      </w:r>
      <w:r w:rsidRPr="005C7346">
        <w:rPr>
          <w:rtl/>
        </w:rPr>
        <w:t>ـ</w:t>
      </w:r>
      <w:r w:rsidRPr="005C7346">
        <w:rPr>
          <w:rFonts w:hint="cs"/>
          <w:rtl/>
        </w:rPr>
        <w:t xml:space="preserve"> المقارنة بين </w:t>
      </w:r>
      <w:r w:rsidRPr="007A340E">
        <w:rPr>
          <w:rFonts w:hint="cs"/>
          <w:rtl/>
        </w:rPr>
        <w:t>الحكومة</w:t>
      </w:r>
      <w:r w:rsidRPr="005C7346">
        <w:rPr>
          <w:rFonts w:hint="cs"/>
          <w:rtl/>
        </w:rPr>
        <w:t xml:space="preserve"> الولائيّة والحكومة الجمهورية</w:t>
      </w:r>
    </w:p>
    <w:p w:rsidR="00EA09EB" w:rsidRPr="00A32FC0" w:rsidRDefault="00EA09EB" w:rsidP="00EA09EB">
      <w:pPr>
        <w:rPr>
          <w:rtl/>
          <w:lang w:bidi="ar-LB"/>
        </w:rPr>
      </w:pPr>
      <w:r w:rsidRPr="00A32FC0">
        <w:rPr>
          <w:rFonts w:hint="cs"/>
          <w:rtl/>
          <w:lang w:bidi="ar-LB"/>
        </w:rPr>
        <w:t>الحكومة الولائية والحكومة الجمهوريّة هما نوعان من الحكومة، يشتركان في بعض الموارد، ويختلفان في بعضها الآخر.</w:t>
      </w:r>
    </w:p>
    <w:p w:rsidR="00EA09EB" w:rsidRPr="00A32FC0" w:rsidRDefault="00EA09EB" w:rsidP="00EA09EB">
      <w:pPr>
        <w:rPr>
          <w:rtl/>
          <w:lang w:bidi="ar-LB"/>
        </w:rPr>
      </w:pPr>
      <w:r w:rsidRPr="00A32FC0">
        <w:rPr>
          <w:rFonts w:hint="cs"/>
          <w:rtl/>
          <w:lang w:bidi="ar-LB"/>
        </w:rPr>
        <w:t>أمّا موارد الاشتراك بينهما فهي:</w:t>
      </w:r>
    </w:p>
    <w:p w:rsidR="00EA09EB" w:rsidRPr="00EA09EB" w:rsidRDefault="00EA09EB" w:rsidP="007A340E">
      <w:pPr>
        <w:ind w:firstLine="283"/>
        <w:rPr>
          <w:rtl/>
        </w:rPr>
      </w:pPr>
      <w:r w:rsidRPr="007A340E">
        <w:rPr>
          <w:rFonts w:hint="cs"/>
          <w:b/>
          <w:bCs/>
          <w:rtl/>
        </w:rPr>
        <w:t>الأول</w:t>
      </w:r>
      <w:r w:rsidRPr="00EA09EB">
        <w:rPr>
          <w:rFonts w:hint="cs"/>
          <w:rtl/>
        </w:rPr>
        <w:t>: كلاهما نظام حكم. وكلاهما يعتبران وجود الحكم ضرورة لإدارة المجتمع.</w:t>
      </w:r>
    </w:p>
    <w:p w:rsidR="00EA09EB" w:rsidRPr="00EA09EB" w:rsidRDefault="00EA09EB" w:rsidP="007A340E">
      <w:pPr>
        <w:ind w:firstLine="283"/>
        <w:rPr>
          <w:rtl/>
        </w:rPr>
      </w:pPr>
      <w:r w:rsidRPr="007A340E">
        <w:rPr>
          <w:rFonts w:hint="cs"/>
          <w:b/>
          <w:bCs/>
          <w:rtl/>
        </w:rPr>
        <w:t>الثاني</w:t>
      </w:r>
      <w:r w:rsidRPr="00EA09EB">
        <w:rPr>
          <w:rFonts w:hint="cs"/>
          <w:rtl/>
        </w:rPr>
        <w:t>: في كلتا الحكومتين تراعى مصلحة الشعب.</w:t>
      </w:r>
    </w:p>
    <w:p w:rsidR="00EA09EB" w:rsidRPr="00A32FC0" w:rsidRDefault="00EA09EB" w:rsidP="00EA09EB">
      <w:pPr>
        <w:rPr>
          <w:rtl/>
          <w:lang w:bidi="ar-LB"/>
        </w:rPr>
      </w:pPr>
      <w:r w:rsidRPr="00A32FC0">
        <w:rPr>
          <w:rFonts w:hint="cs"/>
          <w:rtl/>
          <w:lang w:bidi="ar-LB"/>
        </w:rPr>
        <w:t>أما موارد الاختلاف فهي:</w:t>
      </w:r>
    </w:p>
    <w:p w:rsidR="00EA09EB" w:rsidRPr="00EA09EB" w:rsidRDefault="00EA09EB" w:rsidP="007A340E">
      <w:pPr>
        <w:ind w:firstLine="283"/>
        <w:rPr>
          <w:rtl/>
        </w:rPr>
      </w:pPr>
      <w:r w:rsidRPr="007A340E">
        <w:rPr>
          <w:rFonts w:hint="cs"/>
          <w:b/>
          <w:bCs/>
          <w:rtl/>
        </w:rPr>
        <w:t>الأول</w:t>
      </w:r>
      <w:r w:rsidRPr="00EA09EB">
        <w:rPr>
          <w:rFonts w:hint="cs"/>
          <w:rtl/>
        </w:rPr>
        <w:t>: إن الناس متساوون في الحكومة الجمهورية في ما يتعلَّق بشؤونهم العامّة؛ وأمّا في الحكومة الولائية فالناس ليسوا متساوين مع أوليائهم.</w:t>
      </w:r>
    </w:p>
    <w:p w:rsidR="00EA09EB" w:rsidRPr="00EA09EB" w:rsidRDefault="00EA09EB" w:rsidP="007A340E">
      <w:pPr>
        <w:ind w:firstLine="283"/>
        <w:rPr>
          <w:rtl/>
        </w:rPr>
      </w:pPr>
      <w:r w:rsidRPr="007A340E">
        <w:rPr>
          <w:rFonts w:hint="cs"/>
          <w:b/>
          <w:bCs/>
          <w:rtl/>
        </w:rPr>
        <w:t>الثاني</w:t>
      </w:r>
      <w:r w:rsidRPr="00EA09EB">
        <w:rPr>
          <w:rFonts w:hint="cs"/>
          <w:rtl/>
        </w:rPr>
        <w:t>: إنّ المواطنين في الحكومة الجمهوريّة أصحاب حقّ، وراشدون، في ما يخصّ شؤونهم العامّة؛ وأمّا في الحكومة الولائية فإن الناس محجورٌ عليهم في دائرة شؤونهم العامّة، ولا يجوز لهم التصرُّف والتدخُّل في هذه الدائرة بدون إذن الأولياء الشرعيّين.</w:t>
      </w:r>
    </w:p>
    <w:p w:rsidR="00EA09EB" w:rsidRPr="00EA09EB" w:rsidRDefault="00EA09EB" w:rsidP="000E5EF9">
      <w:pPr>
        <w:pStyle w:val="Normal87"/>
        <w:rPr>
          <w:rtl/>
        </w:rPr>
      </w:pPr>
      <w:r w:rsidRPr="007A340E">
        <w:rPr>
          <w:rFonts w:hint="cs"/>
          <w:b/>
          <w:bCs/>
          <w:rtl/>
        </w:rPr>
        <w:t>الثالث</w:t>
      </w:r>
      <w:r w:rsidRPr="00EA09EB">
        <w:rPr>
          <w:rFonts w:hint="cs"/>
          <w:rtl/>
        </w:rPr>
        <w:t>: يعتبر الحاكم في نظام الجمهوريّة وكيلاً عن الناس؛ وهو في الحكومة الولائية وليٌّ عليهم.</w:t>
      </w:r>
    </w:p>
    <w:p w:rsidR="00EA09EB" w:rsidRPr="00EA09EB" w:rsidRDefault="00EA09EB" w:rsidP="000E5EF9">
      <w:pPr>
        <w:pStyle w:val="Normal87"/>
        <w:rPr>
          <w:rtl/>
        </w:rPr>
      </w:pPr>
      <w:r w:rsidRPr="007A340E">
        <w:rPr>
          <w:rFonts w:hint="cs"/>
          <w:b/>
          <w:bCs/>
          <w:rtl/>
        </w:rPr>
        <w:t>الرابع</w:t>
      </w:r>
      <w:r w:rsidRPr="00EA09EB">
        <w:rPr>
          <w:rFonts w:hint="cs"/>
          <w:rtl/>
        </w:rPr>
        <w:t>: يُنتخب الحاكم في نظام الجمهورية من قِبَل الناس؛ وأمّا الحاكم في الحكومة الولائية فيُعيّن من قِبَل الشارع (الله)، وعلى الناس التولّي، وقبول الوليّ الشرعيّ.</w:t>
      </w:r>
    </w:p>
    <w:p w:rsidR="00EA09EB" w:rsidRPr="00EA09EB" w:rsidRDefault="00EA09EB" w:rsidP="000E5EF9">
      <w:pPr>
        <w:pStyle w:val="Normal93"/>
        <w:rPr>
          <w:rtl/>
        </w:rPr>
      </w:pPr>
      <w:r w:rsidRPr="007A340E">
        <w:rPr>
          <w:rFonts w:hint="cs"/>
          <w:b/>
          <w:bCs/>
          <w:rtl/>
        </w:rPr>
        <w:t>الخامس</w:t>
      </w:r>
      <w:r w:rsidRPr="00EA09EB">
        <w:rPr>
          <w:rFonts w:hint="cs"/>
          <w:rtl/>
        </w:rPr>
        <w:t>: إنّ فترة حكم الحاكم في نظام الجمهوريّة محدَّدة، والحكم فيها مداولة؛ وأمّا حكم الحاكم في الحكومة الولائيّة فهو مدى الحياة، ولا تنتقل السلطة إلى غيره، إلاّ في حال الموت، أو فقدان شرط من الشروط.</w:t>
      </w:r>
    </w:p>
    <w:p w:rsidR="00EA09EB" w:rsidRPr="00EA09EB" w:rsidRDefault="00EA09EB" w:rsidP="000E5EF9">
      <w:pPr>
        <w:pStyle w:val="Normal93"/>
        <w:rPr>
          <w:rtl/>
        </w:rPr>
      </w:pPr>
      <w:r w:rsidRPr="007A340E">
        <w:rPr>
          <w:rFonts w:hint="cs"/>
          <w:b/>
          <w:bCs/>
          <w:rtl/>
        </w:rPr>
        <w:t>السادس</w:t>
      </w:r>
      <w:r w:rsidRPr="00EA09EB">
        <w:rPr>
          <w:rFonts w:hint="cs"/>
          <w:rtl/>
        </w:rPr>
        <w:t>: إنّ الحاكم في نظام الجمهورية مسؤولٌ أمام الشعب، ويعمل تحت إشرافهم؛ بينما هو في الحكومة الولائية غير مسؤول أمام الناس «المولّى عليهم»، ولا يعمل تحت إشرافهم.</w:t>
      </w:r>
    </w:p>
    <w:p w:rsidR="00EA09EB" w:rsidRPr="00EA09EB" w:rsidRDefault="00EA09EB" w:rsidP="007A340E">
      <w:pPr>
        <w:ind w:firstLine="283"/>
        <w:rPr>
          <w:rtl/>
        </w:rPr>
      </w:pPr>
      <w:r w:rsidRPr="007A340E">
        <w:rPr>
          <w:rFonts w:hint="cs"/>
          <w:b/>
          <w:bCs/>
          <w:rtl/>
        </w:rPr>
        <w:t>السابع</w:t>
      </w:r>
      <w:r w:rsidRPr="00EA09EB">
        <w:rPr>
          <w:rFonts w:hint="cs"/>
          <w:rtl/>
        </w:rPr>
        <w:t>: إنّ صلاحيات الحاكم في النظام الجمهوريّ مقيَّدة بالقانون؛ وأمّا في نظام الحكومة الولائية فوليّ الأمر فوق القانون، ومشروعيّة القانون متوقِّفة على إقراره.</w:t>
      </w:r>
    </w:p>
    <w:p w:rsidR="00EA09EB" w:rsidRPr="00EA09EB" w:rsidRDefault="00EA09EB" w:rsidP="007A340E">
      <w:pPr>
        <w:ind w:firstLine="283"/>
        <w:rPr>
          <w:rtl/>
        </w:rPr>
      </w:pPr>
      <w:r w:rsidRPr="007A340E">
        <w:rPr>
          <w:rFonts w:hint="cs"/>
          <w:b/>
          <w:bCs/>
          <w:rtl/>
        </w:rPr>
        <w:t>الثامن</w:t>
      </w:r>
      <w:r w:rsidRPr="00EA09EB">
        <w:rPr>
          <w:rFonts w:hint="cs"/>
          <w:rtl/>
        </w:rPr>
        <w:t>: تعتبر الفقاهة شرطاً أساسيّاً في الحاكم في نظام الحكومة الولائيّة، في حين أنها لا تعتبر شرطاً إلزاميّاً لإدارة المجتمع في النظام الجمهوريّ.</w:t>
      </w:r>
    </w:p>
    <w:p w:rsidR="00EA09EB" w:rsidRPr="00EA09EB" w:rsidRDefault="00EA09EB" w:rsidP="007A340E">
      <w:pPr>
        <w:ind w:firstLine="283"/>
        <w:rPr>
          <w:rtl/>
        </w:rPr>
      </w:pPr>
      <w:r w:rsidRPr="007A340E">
        <w:rPr>
          <w:rFonts w:hint="cs"/>
          <w:b/>
          <w:bCs/>
          <w:rtl/>
        </w:rPr>
        <w:t>التاسع</w:t>
      </w:r>
      <w:r w:rsidRPr="00EA09EB">
        <w:rPr>
          <w:rFonts w:hint="cs"/>
          <w:rtl/>
        </w:rPr>
        <w:t>: النظام الجمهوريّ هو عقد بين الحاكم والمواطنين؛ بينما لا تعتبر الحكومة الولائية والولاية عقداً، بل هي حكم وضعيّ وضعه الشارع، وعلى وليّ الأمر والمولّى عليهم (الشعب) قبول هذا الحكم.</w:t>
      </w:r>
    </w:p>
    <w:p w:rsidR="00EA09EB" w:rsidRPr="00EA09EB" w:rsidRDefault="00EA09EB" w:rsidP="007A340E">
      <w:pPr>
        <w:ind w:firstLine="283"/>
        <w:rPr>
          <w:rtl/>
        </w:rPr>
      </w:pPr>
      <w:r w:rsidRPr="007A340E">
        <w:rPr>
          <w:rFonts w:hint="cs"/>
          <w:b/>
          <w:bCs/>
          <w:rtl/>
        </w:rPr>
        <w:t>العاشر</w:t>
      </w:r>
      <w:r w:rsidRPr="00EA09EB">
        <w:rPr>
          <w:rFonts w:hint="cs"/>
          <w:rtl/>
        </w:rPr>
        <w:t>: إنّ إدارة المجتمع في النظام الجمهوريّ مبنية على أساس العقل الجمعيّ للمواطنين، وعلى الحاكم أن يعمل طبقاً لما يراه الموكِّلون (الشعب)؛ بينما هي في نظام الحكومة الولائية منوطة برأي شخص وليّ الأمر، وعلى الناس أن يعملوا طبقاً لما يراه. ففي هذا النظام وليّ الأمر قادرٌ على تشخيص مصلحة الناس ورعايتهم بشكل أفضل منهم.</w:t>
      </w:r>
    </w:p>
    <w:p w:rsidR="00EA09EB" w:rsidRPr="00A32FC0" w:rsidRDefault="00EA09EB" w:rsidP="000E5EF9">
      <w:pPr>
        <w:pStyle w:val="Normal87"/>
        <w:rPr>
          <w:rtl/>
        </w:rPr>
      </w:pPr>
      <w:r w:rsidRPr="00A32FC0">
        <w:rPr>
          <w:rFonts w:hint="cs"/>
          <w:rtl/>
        </w:rPr>
        <w:t xml:space="preserve">من الواضح أن النظام الجمهوريّ لا يتعرَّض لدين الناس أو إيديولوجيّتهم، وفي المجتمعات التي تشكِّل أكثريّتها أتباع دين أو إيديولوجية ما على النظام الجمهوريّ أن يراعي ذلك الدين وتلك الإيديولوجيّة، بشرط </w:t>
      </w:r>
      <w:r w:rsidRPr="005C7346">
        <w:rPr>
          <w:rFonts w:hint="cs"/>
          <w:rtl/>
        </w:rPr>
        <w:t>أن تراعى خصائص</w:t>
      </w:r>
      <w:r w:rsidRPr="00A32FC0">
        <w:rPr>
          <w:rFonts w:hint="cs"/>
          <w:rtl/>
        </w:rPr>
        <w:t xml:space="preserve"> ومقوِّمات النظام الجمهوري. والجمهورية الإسلاميّة غير مستثناة من هذه القاعدة. فالجمهورية الإسلامية ليست نظاماً تراعى فيه خصائص وضوابط الجمهوريّة فحسب، بل يسعى إلى إرساء الأهداف والقيم السامية للدين، وإجراء أحكام الشريعة الإسلامية.</w:t>
      </w:r>
    </w:p>
    <w:p w:rsidR="00EA09EB" w:rsidRDefault="00EA09EB" w:rsidP="000E5EF9">
      <w:pPr>
        <w:pStyle w:val="Normal87"/>
        <w:rPr>
          <w:rtl/>
        </w:rPr>
      </w:pPr>
      <w:r w:rsidRPr="00EA09EB">
        <w:rPr>
          <w:rFonts w:hint="cs"/>
          <w:rtl/>
        </w:rPr>
        <w:t xml:space="preserve">وبعد اطّلاعنا على الصفتين المشتركتين، والفروق العشرة بين نظام الحكومة الولائيّة والنظام الجمهوريّ، نجد أن هذين النظامين </w:t>
      </w:r>
      <w:r w:rsidRPr="00EA09EB">
        <w:rPr>
          <w:rtl/>
        </w:rPr>
        <w:t>ـ</w:t>
      </w:r>
      <w:r w:rsidRPr="00EA09EB">
        <w:rPr>
          <w:rFonts w:hint="cs"/>
          <w:rtl/>
        </w:rPr>
        <w:t xml:space="preserve"> إذا أردنا تطبيقهما عملياً، لا لفظياً </w:t>
      </w:r>
      <w:r w:rsidRPr="00EA09EB">
        <w:rPr>
          <w:rtl/>
        </w:rPr>
        <w:t>ـ</w:t>
      </w:r>
      <w:r w:rsidRPr="00EA09EB">
        <w:rPr>
          <w:rFonts w:hint="cs"/>
          <w:rtl/>
        </w:rPr>
        <w:t xml:space="preserve"> غير منسجمين، بل هما متعارضان</w:t>
      </w:r>
      <w:r w:rsidRPr="00064619">
        <w:rPr>
          <w:rFonts w:cs="Taher"/>
          <w:sz w:val="32"/>
          <w:vertAlign w:val="superscript"/>
          <w:rtl/>
        </w:rPr>
        <w:t>(</w:t>
      </w:r>
      <w:r w:rsidRPr="00064619">
        <w:rPr>
          <w:rStyle w:val="FootnoteReference"/>
          <w:rFonts w:cs="Taher"/>
          <w:sz w:val="32"/>
          <w:rtl/>
        </w:rPr>
        <w:footnoteReference w:id="470"/>
      </w:r>
      <w:r w:rsidRPr="00064619">
        <w:rPr>
          <w:rFonts w:cs="Taher"/>
          <w:sz w:val="32"/>
          <w:vertAlign w:val="superscript"/>
          <w:rtl/>
        </w:rPr>
        <w:t>)</w:t>
      </w:r>
      <w:r w:rsidRPr="00EA09EB">
        <w:rPr>
          <w:rFonts w:hint="cs"/>
          <w:rtl/>
        </w:rPr>
        <w:t>. وبعبارة أخرى: كان يجب أن يكون الأمر على أحد نحوين: إما أن يُعتقد ـ واقعاً ـ بالولاية الشرعيّة للفقيه المعيّن من قِبَل الله ولاية مطلقة على الناس؛ وإمّا أن يُعتقد بضرورة انتخاب الحاكم وكيلاً عن الشعب. ولا يمكن الجمع بين هذين النحوين، مع المحافظة على خصائص كلّ واحدٍ منهما.</w:t>
      </w:r>
    </w:p>
    <w:p w:rsidR="007A340E" w:rsidRPr="00EA09EB" w:rsidRDefault="007A340E" w:rsidP="007A340E">
      <w:pPr>
        <w:ind w:firstLine="283"/>
        <w:rPr>
          <w:rtl/>
        </w:rPr>
      </w:pPr>
    </w:p>
    <w:p w:rsidR="00EA09EB" w:rsidRPr="005C7346" w:rsidRDefault="00EA09EB" w:rsidP="007A340E">
      <w:pPr>
        <w:pStyle w:val="Heading3"/>
        <w:rPr>
          <w:rtl/>
        </w:rPr>
      </w:pPr>
      <w:r w:rsidRPr="005C7346">
        <w:rPr>
          <w:rFonts w:hint="cs"/>
          <w:rtl/>
        </w:rPr>
        <w:t>3</w:t>
      </w:r>
      <w:r w:rsidRPr="005C7346">
        <w:rPr>
          <w:rtl/>
        </w:rPr>
        <w:t>ـ</w:t>
      </w:r>
      <w:r w:rsidRPr="005C7346">
        <w:rPr>
          <w:rFonts w:hint="cs"/>
          <w:rtl/>
        </w:rPr>
        <w:t xml:space="preserve"> محاولات التوفيق بين </w:t>
      </w:r>
      <w:r w:rsidRPr="007A340E">
        <w:rPr>
          <w:rFonts w:hint="cs"/>
          <w:rtl/>
        </w:rPr>
        <w:t>ولاية</w:t>
      </w:r>
      <w:r w:rsidRPr="005C7346">
        <w:rPr>
          <w:rFonts w:hint="cs"/>
          <w:rtl/>
        </w:rPr>
        <w:t xml:space="preserve"> الفقيه والجمهوريّة الإسلاميّة</w:t>
      </w:r>
    </w:p>
    <w:p w:rsidR="00EA09EB" w:rsidRDefault="00EA09EB" w:rsidP="000E5EF9">
      <w:pPr>
        <w:pStyle w:val="Normal84"/>
        <w:rPr>
          <w:rtl/>
        </w:rPr>
      </w:pPr>
      <w:r w:rsidRPr="00EA09EB">
        <w:rPr>
          <w:rFonts w:hint="cs"/>
          <w:rtl/>
        </w:rPr>
        <w:t>إذا أردنا أن نحافظ على خصائص الجمهوريّة، وأن نراعي أيضاً أهداف الدين وأحكامه، وفي الوقت نفسه أن نتبنّى فكرة ولاية الفقيه، مع الأخذ بعين الاعتبار التعارض بين ولاية الفقيه والجمهوريّة الإسلاميّة، فلا يبقى أمامنا سوى إجراء بعض التعديلات على خصائص وضوابط أحدهما. والحال أنه يجب علينا الحفاظ على قيم الدين وأحكامه، ولا يمكننا أن نؤمن ببعض أحكام الدين، ونترك بعضها الآخر: ﴿</w:t>
      </w:r>
      <w:r w:rsidRPr="007A340E">
        <w:rPr>
          <w:b/>
          <w:bCs/>
          <w:rtl/>
        </w:rPr>
        <w:t>وَيَقُولُونَ نُؤْمِنُ بِبَعْضٍ وَنَكْفُرُ بِبَعْضٍ</w:t>
      </w:r>
      <w:r w:rsidRPr="00EA09EB">
        <w:rPr>
          <w:rFonts w:hint="cs"/>
          <w:rtl/>
        </w:rPr>
        <w:t xml:space="preserve">﴾(النساء: 150). بعد أكثر من عقدين من طرح الجمهوريّة الإسلاميّة (من مهر 1357هـ.ش </w:t>
      </w:r>
      <w:r>
        <w:rPr>
          <w:rFonts w:hint="cs"/>
          <w:rtl/>
        </w:rPr>
        <w:t xml:space="preserve">/ </w:t>
      </w:r>
      <w:r w:rsidRPr="00EA09EB">
        <w:rPr>
          <w:rFonts w:hint="cs"/>
          <w:rtl/>
        </w:rPr>
        <w:t xml:space="preserve">1978 م)، وبعد أكثر من عشرين عاماً على طرح ولاية الفقيه (من 1358هـ.ش </w:t>
      </w:r>
      <w:r>
        <w:rPr>
          <w:rFonts w:hint="cs"/>
          <w:rtl/>
        </w:rPr>
        <w:t xml:space="preserve">/ </w:t>
      </w:r>
      <w:r w:rsidRPr="00EA09EB">
        <w:rPr>
          <w:rFonts w:hint="cs"/>
          <w:rtl/>
        </w:rPr>
        <w:t>1979 م) في الشارع الإيرانيّ، قام الفقهاء والمفكِّرون الإيرانيّون بثلاث محاولات للتوفيق بين ولاية الفقيه والجمهوريّة الإسلاميّة. وكلّ واحدة من هذه المحاولات تؤدّي إلى نظام يختلف عن المحاولتين الأخريين.</w:t>
      </w:r>
    </w:p>
    <w:p w:rsidR="007A340E" w:rsidRPr="00EA09EB" w:rsidRDefault="007A340E" w:rsidP="007A340E">
      <w:pPr>
        <w:ind w:firstLine="283"/>
        <w:rPr>
          <w:rtl/>
        </w:rPr>
      </w:pPr>
    </w:p>
    <w:p w:rsidR="00EA09EB" w:rsidRPr="005C7346" w:rsidRDefault="00EA09EB" w:rsidP="007A340E">
      <w:pPr>
        <w:pStyle w:val="Heading4"/>
        <w:rPr>
          <w:rtl/>
        </w:rPr>
      </w:pPr>
      <w:r w:rsidRPr="005C7346">
        <w:rPr>
          <w:rFonts w:hint="cs"/>
          <w:rtl/>
        </w:rPr>
        <w:t xml:space="preserve">المحاولة </w:t>
      </w:r>
      <w:r w:rsidRPr="007A340E">
        <w:rPr>
          <w:rFonts w:hint="cs"/>
          <w:rtl/>
        </w:rPr>
        <w:t>الأولى: التعديل في</w:t>
      </w:r>
      <w:r w:rsidRPr="005C7346">
        <w:rPr>
          <w:rFonts w:hint="cs"/>
          <w:rtl/>
        </w:rPr>
        <w:t xml:space="preserve"> «الولاية التعيينيّة المطلقة للفقيه»</w:t>
      </w:r>
    </w:p>
    <w:p w:rsidR="00EA09EB" w:rsidRPr="00A32FC0" w:rsidRDefault="00EA09EB" w:rsidP="00EA09EB">
      <w:pPr>
        <w:rPr>
          <w:rtl/>
          <w:lang w:bidi="ar-LB"/>
        </w:rPr>
      </w:pPr>
      <w:r w:rsidRPr="00A32FC0">
        <w:rPr>
          <w:rFonts w:hint="cs"/>
          <w:rtl/>
          <w:lang w:bidi="ar-LB"/>
        </w:rPr>
        <w:t>وتقوم هذه المحاولة على التعديلات التالية في أسس ولاية الفقيه:</w:t>
      </w:r>
    </w:p>
    <w:p w:rsidR="00EA09EB" w:rsidRPr="00EA09EB" w:rsidRDefault="00EA09EB" w:rsidP="000E5EF9">
      <w:pPr>
        <w:pStyle w:val="Normal87"/>
        <w:rPr>
          <w:rtl/>
        </w:rPr>
      </w:pPr>
      <w:r w:rsidRPr="007A340E">
        <w:rPr>
          <w:rFonts w:hint="cs"/>
          <w:b/>
          <w:bCs/>
          <w:rtl/>
        </w:rPr>
        <w:t>الأول</w:t>
      </w:r>
      <w:r w:rsidRPr="00EA09EB">
        <w:rPr>
          <w:rFonts w:hint="cs"/>
          <w:rtl/>
        </w:rPr>
        <w:t>: ليس المراد من الولاية الولاية الشرعيّة، التي هي أعمّ من النظام، وليست بمعنى النظام المبتني على محجوريّة الشعب، بل هي الحكومة (والنسبة بين الولاية بهذا المعنى وبين الحكومة هي التساوي)، وسوف تعيّن القيود التالية نوع هذه الحكومة. وقد ذكرت الولاية بهذا المعنى في نهج البلاغة، وبعض الروايات، وهي ليست بمعنى الولاية الشرعيّة بحدودها المقيّدة.</w:t>
      </w:r>
    </w:p>
    <w:p w:rsidR="00EA09EB" w:rsidRPr="00EA09EB" w:rsidRDefault="00EA09EB" w:rsidP="007A340E">
      <w:pPr>
        <w:ind w:firstLine="283"/>
        <w:rPr>
          <w:rtl/>
        </w:rPr>
      </w:pPr>
      <w:r w:rsidRPr="007A340E">
        <w:rPr>
          <w:rFonts w:hint="cs"/>
          <w:b/>
          <w:bCs/>
          <w:rtl/>
        </w:rPr>
        <w:t>الثاني</w:t>
      </w:r>
      <w:r w:rsidRPr="00EA09EB">
        <w:rPr>
          <w:rFonts w:hint="cs"/>
          <w:rtl/>
        </w:rPr>
        <w:t>: الحكومة في زمن الغيبة ليست تعيينية، ولم يتمّ تعيين أيّ شخص حاكماً على الناس من قِبَل الله. بل الحكومة انتخابيّة، والناس هم الذين ينتخبون الحاكم من بين الأفراد الذين تتوفَّر فيهم جميع الشروط. وعلى هذا الأساس فإن الولاية والحكومة انتخابيّان.</w:t>
      </w:r>
    </w:p>
    <w:p w:rsidR="00EA09EB" w:rsidRPr="00EA09EB" w:rsidRDefault="00EA09EB" w:rsidP="000E5EF9">
      <w:pPr>
        <w:pStyle w:val="Normal87"/>
        <w:rPr>
          <w:rtl/>
        </w:rPr>
      </w:pPr>
      <w:r w:rsidRPr="007A340E">
        <w:rPr>
          <w:rFonts w:hint="cs"/>
          <w:b/>
          <w:bCs/>
          <w:rtl/>
        </w:rPr>
        <w:t>الثالث</w:t>
      </w:r>
      <w:r w:rsidRPr="00EA09EB">
        <w:rPr>
          <w:rFonts w:hint="cs"/>
          <w:rtl/>
        </w:rPr>
        <w:t>: الولاية (بالمعنى المساوي للحكومة) ليست حكماً لا يمكن أن نُقيِّده بشرط ضمن العقد، ولكنها عقد لازم واتفاق خاصّ بين الشعب والحاكم الذي يمكن أن يكون مقيَّداً بالدستور بعنوان شرط ضمن العقد. كلا الطرفين: الشعب؛ والحاكم، ملزمان بالقوانين التي نصّ عليها الدستور. وعلى هذا الأساس ليس الحاكم فوق القانون. فهو تحته، وملزم بمراعاة الدستور بشكلٍ دقيق. ولذلك فإنّ الولاية الانتخابيّة مقيَّدة بالدستور. ومن الواضح أن الدستور في مجتمع دينيّ لابدّ أن يكون مراعياً للأهداف والقيم والأحكام الدينية.</w:t>
      </w:r>
    </w:p>
    <w:p w:rsidR="00EA09EB" w:rsidRPr="00EA09EB" w:rsidRDefault="00EA09EB" w:rsidP="000E5EF9">
      <w:pPr>
        <w:pStyle w:val="Normal84"/>
        <w:rPr>
          <w:rtl/>
        </w:rPr>
      </w:pPr>
      <w:r w:rsidRPr="007A340E">
        <w:rPr>
          <w:rFonts w:hint="cs"/>
          <w:b/>
          <w:bCs/>
          <w:rtl/>
        </w:rPr>
        <w:t>الرابع</w:t>
      </w:r>
      <w:r w:rsidRPr="00EA09EB">
        <w:rPr>
          <w:rFonts w:hint="cs"/>
          <w:rtl/>
        </w:rPr>
        <w:t xml:space="preserve">: اكتفى الشارع ببيان شروط الحاكم. والشروط الأهمّ هي: التديُّن، وحسن التدبير، والعدالة، والفقاهة. </w:t>
      </w:r>
    </w:p>
    <w:p w:rsidR="00EA09EB" w:rsidRPr="00A32FC0" w:rsidRDefault="00EA09EB" w:rsidP="00FD18AE">
      <w:pPr>
        <w:pStyle w:val="Normal84"/>
        <w:spacing w:line="197" w:lineRule="auto"/>
        <w:rPr>
          <w:rtl/>
        </w:rPr>
      </w:pPr>
      <w:r w:rsidRPr="00A32FC0">
        <w:rPr>
          <w:rFonts w:hint="cs"/>
          <w:rtl/>
        </w:rPr>
        <w:t xml:space="preserve">إنّ الوظائف الإجرائية للحاكم متوقِّفة على مشاركة الناس في الحكم، فكلما ازدادت مشاركتهم قلَّت وظائف الحاكم الإجرائيّة، بمعنى أنّه في الوقت الذي ينشغل فيه الناس عن إقامة حكومة عادلة فإنّ الفقيه يأخذ على عاتقه وظائف الإرشاد والاستنهاض والقيادة. وفي مرحلة تأسيس نظام الجمهوريّة الإسلاميّة عليه أن يتولّى هو تعيين قادة حكومة الثورة، ويُهيّئ المقدّمات، والمناخ المناسب لصياغة الدستور، وانتخاب المسؤولين الأساسيّين في الجمهوريّة الإسلاميّة، ويكون حريصاً على عدم العدول عن المعايير والأهداف السامية للدين. والوظيفة الأهمّ للفقيه ـ بعد إقرار الدستور، وانتخاب رئيس الجمهورية، </w:t>
      </w:r>
      <w:r w:rsidRPr="00FD18AE">
        <w:rPr>
          <w:rFonts w:hint="cs"/>
          <w:sz w:val="26"/>
          <w:szCs w:val="28"/>
          <w:rtl/>
        </w:rPr>
        <w:t xml:space="preserve">وأعضاء مجلس الشورى ـ هي الإشراف على حسن تطبيق أحكام الدين </w:t>
      </w:r>
      <w:r w:rsidRPr="00A32FC0">
        <w:rPr>
          <w:rFonts w:hint="cs"/>
          <w:rtl/>
        </w:rPr>
        <w:t>في المجتمع.</w:t>
      </w:r>
    </w:p>
    <w:p w:rsidR="00EA09EB" w:rsidRDefault="00EA09EB" w:rsidP="00FD18AE">
      <w:r w:rsidRPr="00EA09EB">
        <w:rPr>
          <w:rFonts w:hint="cs"/>
          <w:rtl/>
        </w:rPr>
        <w:t>وقد جَرَتْ سيرة السيد الخمينيّ على هذا الأساس. وإذا كان هناك بعض الموارد التي تخالف هذه السيرة فإن مرجع ذلك إلى الضرورات التي فرضتها الحرب. كانت صياغة الحلّ هذه الرؤية المساعدة أوائل الثورة الإسلاميّة، وتظهر طلائعها في مؤلَّفات الشيخ مرتضى مطهري</w:t>
      </w:r>
      <w:r w:rsidRPr="00064619">
        <w:rPr>
          <w:rFonts w:cs="Taher"/>
          <w:sz w:val="32"/>
          <w:vertAlign w:val="superscript"/>
          <w:rtl/>
        </w:rPr>
        <w:t>(</w:t>
      </w:r>
      <w:r w:rsidRPr="00064619">
        <w:rPr>
          <w:rStyle w:val="FootnoteReference"/>
          <w:rFonts w:cs="Taher"/>
          <w:sz w:val="32"/>
          <w:rtl/>
          <w:lang w:bidi="ar-LB"/>
        </w:rPr>
        <w:footnoteReference w:id="471"/>
      </w:r>
      <w:r w:rsidRPr="00064619">
        <w:rPr>
          <w:rFonts w:cs="Taher"/>
          <w:sz w:val="32"/>
          <w:vertAlign w:val="superscript"/>
          <w:rtl/>
        </w:rPr>
        <w:t>)</w:t>
      </w:r>
      <w:r w:rsidRPr="00EA09EB">
        <w:rPr>
          <w:rFonts w:hint="cs"/>
          <w:rtl/>
        </w:rPr>
        <w:t xml:space="preserve">. وقد ساعدت المناقشات التي جَرَتْ في مجلس صياغة الدستور في سنة 1358هـ.ش </w:t>
      </w:r>
      <w:r>
        <w:rPr>
          <w:rFonts w:hint="cs"/>
          <w:rtl/>
        </w:rPr>
        <w:t xml:space="preserve">/ </w:t>
      </w:r>
      <w:r w:rsidRPr="00EA09EB">
        <w:rPr>
          <w:rFonts w:hint="cs"/>
          <w:rtl/>
        </w:rPr>
        <w:t>1979 م على تشكُّل ونضج هذه الرؤية</w:t>
      </w:r>
      <w:r w:rsidRPr="00064619">
        <w:rPr>
          <w:rFonts w:cs="Taher"/>
          <w:sz w:val="32"/>
          <w:vertAlign w:val="superscript"/>
          <w:rtl/>
        </w:rPr>
        <w:t>(</w:t>
      </w:r>
      <w:r w:rsidRPr="00064619">
        <w:rPr>
          <w:rStyle w:val="FootnoteReference"/>
          <w:rFonts w:cs="Taher"/>
          <w:sz w:val="32"/>
          <w:rtl/>
          <w:lang w:bidi="ar-LB"/>
        </w:rPr>
        <w:footnoteReference w:id="472"/>
      </w:r>
      <w:r w:rsidRPr="00064619">
        <w:rPr>
          <w:rFonts w:cs="Taher"/>
          <w:sz w:val="32"/>
          <w:vertAlign w:val="superscript"/>
          <w:rtl/>
        </w:rPr>
        <w:t>)</w:t>
      </w:r>
      <w:r w:rsidRPr="00EA09EB">
        <w:rPr>
          <w:rFonts w:hint="cs"/>
          <w:rtl/>
        </w:rPr>
        <w:t>، وشجعت بعضَ الفقهاء على إيضاح المباني الفقهية لنظام الجمهوريّة الإسلاميّة</w:t>
      </w:r>
      <w:r w:rsidRPr="00064619">
        <w:rPr>
          <w:rFonts w:cs="Taher"/>
          <w:sz w:val="32"/>
          <w:vertAlign w:val="superscript"/>
          <w:rtl/>
        </w:rPr>
        <w:t>(</w:t>
      </w:r>
      <w:r w:rsidRPr="00064619">
        <w:rPr>
          <w:rStyle w:val="FootnoteReference"/>
          <w:rFonts w:cs="Taher"/>
          <w:sz w:val="32"/>
          <w:rtl/>
          <w:lang w:bidi="ar-LB"/>
        </w:rPr>
        <w:footnoteReference w:id="473"/>
      </w:r>
      <w:r w:rsidRPr="00064619">
        <w:rPr>
          <w:rFonts w:cs="Taher"/>
          <w:sz w:val="32"/>
          <w:vertAlign w:val="superscript"/>
          <w:rtl/>
        </w:rPr>
        <w:t>)</w:t>
      </w:r>
      <w:r w:rsidRPr="00EA09EB">
        <w:rPr>
          <w:rFonts w:hint="cs"/>
          <w:rtl/>
        </w:rPr>
        <w:t>. وأدّى هذا الإيضاح العلميّ إلى بروز نظرية في الفقه السياسيّ الشيعيّ على أساس استدلاليّ، تولّى إرساءها الفقيه الكبير الشيخ منتظري، على مدى ستّ سنوات من تدريس المباني الفقهيّة للدولة الإسلاميّة في حوزة قم العلميّة</w:t>
      </w:r>
      <w:r w:rsidRPr="00064619">
        <w:rPr>
          <w:rFonts w:cs="Taher"/>
          <w:sz w:val="32"/>
          <w:vertAlign w:val="superscript"/>
          <w:rtl/>
        </w:rPr>
        <w:t>(</w:t>
      </w:r>
      <w:r w:rsidRPr="00064619">
        <w:rPr>
          <w:rStyle w:val="FootnoteReference"/>
          <w:rFonts w:cs="Taher"/>
          <w:sz w:val="32"/>
          <w:rtl/>
          <w:lang w:bidi="ar-LB"/>
        </w:rPr>
        <w:footnoteReference w:id="474"/>
      </w:r>
      <w:r w:rsidRPr="00064619">
        <w:rPr>
          <w:rFonts w:cs="Taher"/>
          <w:sz w:val="32"/>
          <w:vertAlign w:val="superscript"/>
          <w:rtl/>
        </w:rPr>
        <w:t>)</w:t>
      </w:r>
      <w:r w:rsidRPr="00EA09EB">
        <w:rPr>
          <w:rFonts w:hint="cs"/>
          <w:rtl/>
        </w:rPr>
        <w:t>. ثم قام بعد ذلك بتنقيحها وإكمالها</w:t>
      </w:r>
      <w:r w:rsidRPr="00064619">
        <w:rPr>
          <w:rFonts w:cs="Taher"/>
          <w:sz w:val="32"/>
          <w:vertAlign w:val="superscript"/>
          <w:rtl/>
        </w:rPr>
        <w:t>(</w:t>
      </w:r>
      <w:r w:rsidRPr="00064619">
        <w:rPr>
          <w:rStyle w:val="FootnoteReference"/>
          <w:rFonts w:cs="Taher"/>
          <w:sz w:val="32"/>
          <w:rtl/>
          <w:lang w:bidi="ar-LB"/>
        </w:rPr>
        <w:footnoteReference w:id="475"/>
      </w:r>
      <w:r w:rsidRPr="00064619">
        <w:rPr>
          <w:rFonts w:cs="Taher"/>
          <w:sz w:val="32"/>
          <w:vertAlign w:val="superscript"/>
          <w:rtl/>
        </w:rPr>
        <w:t>)</w:t>
      </w:r>
      <w:r w:rsidRPr="00EA09EB">
        <w:rPr>
          <w:rFonts w:hint="cs"/>
          <w:rtl/>
        </w:rPr>
        <w:t xml:space="preserve"> </w:t>
      </w:r>
      <w:r w:rsidRPr="00EA09EB">
        <w:rPr>
          <w:rtl/>
        </w:rPr>
        <w:t>ـ</w:t>
      </w:r>
      <w:r w:rsidRPr="00EA09EB">
        <w:rPr>
          <w:rFonts w:hint="cs"/>
          <w:rtl/>
        </w:rPr>
        <w:t xml:space="preserve"> طبقاً للمشاكل والمسائل المستحدثة في الجمهوريّة الإسلاميّة </w:t>
      </w:r>
      <w:r w:rsidRPr="00EA09EB">
        <w:rPr>
          <w:rtl/>
        </w:rPr>
        <w:t>ـ</w:t>
      </w:r>
      <w:r w:rsidRPr="00EA09EB">
        <w:rPr>
          <w:rFonts w:hint="cs"/>
          <w:rtl/>
        </w:rPr>
        <w:t xml:space="preserve">. وعلى أساس المحاولة الأولى فإنّ الجمهوريّة الإسلاميّة حكومة يُنتخب الحاكم فيها مؤقَّتاً من قبل الفقهاء الواعين، ومن قِبَل الناس، ويكون مقيَّداً بالدستور المدوَّن على أساس إسلاميّ. وبهذا تتم الملاءمة بين خصائص النظام الجمهوريّ من جهة وبين الأهداف والقيم السامية للدين وأحكام الشريعة من جهة أخرى. وبغضّ النظر عن بعض الانتقادات التي تَرِدُ على هذه المحاولات يمكن القول: إن هذه الحكومة هي فعلاً «جمهوريّة إسلاميّة»، وليست «حكومة ولائيّة» قطعاً. </w:t>
      </w:r>
    </w:p>
    <w:p w:rsidR="007A340E" w:rsidRPr="00FD18AE" w:rsidRDefault="007A340E" w:rsidP="007A340E">
      <w:pPr>
        <w:ind w:firstLine="283"/>
        <w:rPr>
          <w:sz w:val="16"/>
          <w:szCs w:val="18"/>
          <w:rtl/>
        </w:rPr>
      </w:pPr>
    </w:p>
    <w:p w:rsidR="00EA09EB" w:rsidRPr="005C7346" w:rsidRDefault="00EA09EB" w:rsidP="007A340E">
      <w:pPr>
        <w:pStyle w:val="Heading4"/>
        <w:rPr>
          <w:rtl/>
        </w:rPr>
      </w:pPr>
      <w:r w:rsidRPr="005C7346">
        <w:rPr>
          <w:rFonts w:hint="cs"/>
          <w:rtl/>
        </w:rPr>
        <w:t xml:space="preserve">المحاولة الثانية: </w:t>
      </w:r>
      <w:r w:rsidRPr="007A340E">
        <w:rPr>
          <w:rFonts w:hint="cs"/>
          <w:rtl/>
        </w:rPr>
        <w:t>التعديل</w:t>
      </w:r>
      <w:r w:rsidRPr="005C7346">
        <w:rPr>
          <w:rFonts w:hint="cs"/>
          <w:rtl/>
        </w:rPr>
        <w:t xml:space="preserve"> في أسس النظام الجمهوري</w:t>
      </w:r>
    </w:p>
    <w:p w:rsidR="00EA09EB" w:rsidRPr="00A32FC0" w:rsidRDefault="00EA09EB" w:rsidP="00EA09EB">
      <w:pPr>
        <w:rPr>
          <w:rtl/>
          <w:lang w:bidi="ar-LB"/>
        </w:rPr>
      </w:pPr>
      <w:r w:rsidRPr="00A32FC0">
        <w:rPr>
          <w:rFonts w:hint="cs"/>
          <w:rtl/>
          <w:lang w:bidi="ar-LB"/>
        </w:rPr>
        <w:t>كان التعديل في أسس النظام الجمهوريّ على قسمين:</w:t>
      </w:r>
    </w:p>
    <w:p w:rsidR="00EA09EB" w:rsidRPr="00EA09EB" w:rsidRDefault="00EA09EB" w:rsidP="007A340E">
      <w:pPr>
        <w:ind w:firstLine="283"/>
        <w:rPr>
          <w:rtl/>
        </w:rPr>
      </w:pPr>
      <w:r w:rsidRPr="007A340E">
        <w:rPr>
          <w:rFonts w:hint="cs"/>
          <w:b/>
          <w:bCs/>
          <w:rtl/>
        </w:rPr>
        <w:t>الأول</w:t>
      </w:r>
      <w:r w:rsidRPr="00EA09EB">
        <w:rPr>
          <w:rFonts w:hint="cs"/>
          <w:rtl/>
        </w:rPr>
        <w:t>: قلب معنى الجمهوريّة. يجب تعريف النظام الجمهوريّ على أساس إسلاميّ. فالنظام «الجمهوري الأصيل» ناشئ من «الإسلام المحمَّدي الأصيل». فعلى أساس النظام الجمهوريّ الأصيل يجب على الناس قبول ما يراه الله مصلحة لهم. وأولئك الذين يطيعون الله في ما هو صلاح لهم هم العقلاء. وعندما التزم الناس بتكليفهم الإلهي، أي قبلوا بالوليّ المعيّن من قِبَل الله، نتج عن ذلك النظام الجمهوريّ الأصيل. وعلى هذا الأساس فإن الإسلام جمهوريّ، والقرآن كذلك جمهوريّ؛ وذلك لأن جمهور الناس مطالبون بقبول الإسلام والقرآن. وجمهور المسلمين قد قبلوا الإسلام والقرآن. بل إنّه يمكن أن يقال على هذا الأساس: إن ألوهية الله وقبولها في عالم الذرّ من قبل الناس كان جمهوريّاً. فرأي الناس هو تولٍّ، وقبول للولاية، وليس توكيلاً وتفويضاً. فالناس هم «المبدأ القابل، أي المتقبِّل» للحكومة، وليسوا «المبدأ الفاعل، أي المؤثِّر» لها.</w:t>
      </w:r>
    </w:p>
    <w:p w:rsidR="00EA09EB" w:rsidRPr="00A32FC0" w:rsidRDefault="00EA09EB" w:rsidP="00EA09EB">
      <w:pPr>
        <w:rPr>
          <w:rtl/>
          <w:lang w:bidi="ar-LB"/>
        </w:rPr>
      </w:pPr>
      <w:r w:rsidRPr="00A32FC0">
        <w:rPr>
          <w:rFonts w:hint="cs"/>
          <w:rtl/>
          <w:lang w:bidi="ar-LB"/>
        </w:rPr>
        <w:t xml:space="preserve">في هذه المحاولة تمّ تعديل النظام الجمهوريّ بخصائصه العشر، وطرح معنىً جديد كليّاً له، بحيث يجب على مؤلِّفي المعاجم الحقوقيّة ودوائر معارف العلوم السياسيّة أن يتفطَّنوا له. فالنظام الجمهوريّ الأصيل مقارنة بالنظام الجمهوريّ بالمعنى الشائع هما مشترك لفظيّ. والأساس والأصل هنا هي ولاية الفقيه. فيجب تعريف النظام الجمهوريّ على أساس الضوابط الدينيّة، لا على أساس ضوابط الثقافة الغربيّة. </w:t>
      </w:r>
    </w:p>
    <w:p w:rsidR="00EA09EB" w:rsidRPr="00740AAB" w:rsidRDefault="00EA09EB" w:rsidP="00EA09EB">
      <w:pPr>
        <w:rPr>
          <w:rtl/>
          <w:lang w:bidi="ar-LB"/>
        </w:rPr>
      </w:pPr>
      <w:r w:rsidRPr="00EA09EB">
        <w:rPr>
          <w:rFonts w:hint="cs"/>
          <w:rtl/>
        </w:rPr>
        <w:t>وفي هذه الرؤية يكون «مفهوم الجمهورية الإسلامية هو أنّ أصل الدين الإسلامي قد تمّ تثبيته من قبل الوحي الإلهي، دون أن يُزاد عليه أو يُنقص منه شيءٌ، ولا يكون لبيعة الجمهور وميثاق الجماهير فيه تأثيرٌ غير إنشاء التعهُّد والانصياع. وبهذا المعنى تكون رسالة النبي الأكرم</w:t>
      </w:r>
      <w:r w:rsidRPr="00EA09EB">
        <w:rPr>
          <w:rFonts w:hint="cs"/>
          <w:rtl/>
        </w:rPr>
        <w:sym w:font="Roumouz" w:char="F02D"/>
      </w:r>
      <w:r w:rsidRPr="00EA09EB">
        <w:rPr>
          <w:rFonts w:hint="cs"/>
          <w:rtl/>
        </w:rPr>
        <w:t xml:space="preserve"> جمهوريّة؛ لأنّ جمهور الناس والعقلاء منهم بعد تقييمهم لشخص النبيّ، والتعرُّف إليه، يصلون إلى قناعةٍ بصدقه. وبهذا المعنى تكون ولاية وخلافة وإمامة الإمام المعصوم</w:t>
      </w:r>
      <w:r>
        <w:rPr>
          <w:rFonts w:hint="cs"/>
          <w:rtl/>
        </w:rPr>
        <w:t>×</w:t>
      </w:r>
      <w:r w:rsidRPr="00EA09EB">
        <w:rPr>
          <w:rFonts w:hint="cs"/>
          <w:rtl/>
        </w:rPr>
        <w:t xml:space="preserve"> جمهوريّة أيضاً. كما أن جميع المناصب الإلهية التي يمكن اعتبارها وجعلها لغير المعصومين، كما هو الحال بالنسبة إلى الفقهاء الذين تتوفَّر فيهم الشرائط، من قبيل: منصب الإفتاء والقضاء والولاية، كلّها جمهوريّة، بمعنى أن ثبوتها إنما يكون من خلال النصّ والتنصيب الإلهي الذي يحكي عنه المعصوم</w:t>
      </w:r>
      <w:r>
        <w:rPr>
          <w:rFonts w:hint="cs"/>
          <w:rtl/>
        </w:rPr>
        <w:t>×</w:t>
      </w:r>
      <w:r w:rsidRPr="00EA09EB">
        <w:rPr>
          <w:rFonts w:hint="cs"/>
          <w:rtl/>
        </w:rPr>
        <w:t>، ويتحقَّق ويتمّ تنفيذه والاعتراف به من خلال آراء الجماهير»</w:t>
      </w:r>
      <w:r w:rsidRPr="00064619">
        <w:rPr>
          <w:rFonts w:cs="Taher"/>
          <w:vertAlign w:val="superscript"/>
          <w:rtl/>
        </w:rPr>
        <w:t>(</w:t>
      </w:r>
      <w:r w:rsidRPr="00064619">
        <w:rPr>
          <w:rStyle w:val="FootnoteReference"/>
          <w:rFonts w:cs="Taher"/>
          <w:sz w:val="32"/>
          <w:rtl/>
        </w:rPr>
        <w:footnoteReference w:id="476"/>
      </w:r>
      <w:r w:rsidRPr="00064619">
        <w:rPr>
          <w:rFonts w:cs="Taher"/>
          <w:vertAlign w:val="superscript"/>
          <w:rtl/>
        </w:rPr>
        <w:t>)</w:t>
      </w:r>
      <w:r w:rsidRPr="00A44BBC">
        <w:rPr>
          <w:rFonts w:hint="cs"/>
          <w:rtl/>
          <w:lang w:bidi="ar-LB"/>
        </w:rPr>
        <w:t>.</w:t>
      </w:r>
    </w:p>
    <w:p w:rsidR="00EA09EB" w:rsidRPr="00EA09EB" w:rsidRDefault="00EA09EB" w:rsidP="00EA09EB">
      <w:pPr>
        <w:rPr>
          <w:rtl/>
        </w:rPr>
      </w:pPr>
      <w:r w:rsidRPr="00A32FC0">
        <w:rPr>
          <w:rFonts w:hint="cs"/>
          <w:rtl/>
          <w:lang w:bidi="ar-LB"/>
        </w:rPr>
        <w:t>إن هذا المعنى للنظام الجمهوري لم يكن قد ابتُكِرَ في زمن الاستفتاء الشعبيّ لنظام الجمهوريّة الإسلاميّة في إيران، ولم يكن قد طُرح في الساحة الإيرانيّة في بدايات انتصار الثورة، مع أنه قد ظهرت بذوره في مناقشات مجلس صياغة الدستور. إلا أن تنقيح الأسس والمباني النظريّة لهذه الفكرة تمّ إرساؤها على يد الشيخ جوادي الآملي، أستاذ الفلسفة والتفسير، سنة 1367</w:t>
      </w:r>
      <w:r>
        <w:rPr>
          <w:rFonts w:hint="cs"/>
          <w:rtl/>
          <w:lang w:bidi="ar-LB"/>
        </w:rPr>
        <w:t>هـ.ش / 1988 م</w:t>
      </w:r>
      <w:r w:rsidRPr="00A32FC0">
        <w:rPr>
          <w:rFonts w:hint="cs"/>
          <w:rtl/>
          <w:lang w:bidi="ar-LB"/>
        </w:rPr>
        <w:t xml:space="preserve"> في نقده المحاولة الأولى (نظرية الولاية الانتخابيّة المقيَّدة للفقيه)</w:t>
      </w:r>
      <w:r w:rsidRPr="00064619">
        <w:rPr>
          <w:rFonts w:cs="Taher"/>
          <w:vertAlign w:val="superscript"/>
          <w:rtl/>
          <w:lang w:bidi="ar-LB"/>
        </w:rPr>
        <w:t>(</w:t>
      </w:r>
      <w:r w:rsidRPr="00064619">
        <w:rPr>
          <w:rStyle w:val="FootnoteReference"/>
          <w:rFonts w:cs="Taher"/>
          <w:sz w:val="32"/>
          <w:rtl/>
          <w:lang w:bidi="ar-LB"/>
        </w:rPr>
        <w:footnoteReference w:id="477"/>
      </w:r>
      <w:r w:rsidRPr="00064619">
        <w:rPr>
          <w:rFonts w:cs="Taher"/>
          <w:vertAlign w:val="superscript"/>
          <w:rtl/>
          <w:lang w:bidi="ar-LB"/>
        </w:rPr>
        <w:t>)</w:t>
      </w:r>
      <w:r w:rsidRPr="00EA09EB">
        <w:rPr>
          <w:rFonts w:hint="cs"/>
          <w:rtl/>
        </w:rPr>
        <w:t xml:space="preserve">. وقد عمل على إكمالها عام 1375هـ.ش </w:t>
      </w:r>
      <w:r>
        <w:rPr>
          <w:rFonts w:hint="cs"/>
          <w:rtl/>
        </w:rPr>
        <w:t xml:space="preserve">/ </w:t>
      </w:r>
      <w:r w:rsidRPr="00EA09EB">
        <w:rPr>
          <w:rFonts w:hint="cs"/>
          <w:rtl/>
        </w:rPr>
        <w:t>1996 م (في نقده نظرية الملاّك الشخصيّين للمشاع)</w:t>
      </w:r>
      <w:r w:rsidRPr="00064619">
        <w:rPr>
          <w:rFonts w:cs="Taher"/>
          <w:vertAlign w:val="superscript"/>
          <w:rtl/>
          <w:lang w:bidi="ar-LB"/>
        </w:rPr>
        <w:t>(</w:t>
      </w:r>
      <w:r w:rsidRPr="00064619">
        <w:rPr>
          <w:rStyle w:val="FootnoteReference"/>
          <w:rFonts w:cs="Taher"/>
          <w:sz w:val="32"/>
          <w:rtl/>
          <w:lang w:bidi="ar-LB"/>
        </w:rPr>
        <w:footnoteReference w:id="478"/>
      </w:r>
      <w:r w:rsidRPr="00064619">
        <w:rPr>
          <w:rFonts w:cs="Taher"/>
          <w:vertAlign w:val="superscript"/>
          <w:rtl/>
          <w:lang w:bidi="ar-LB"/>
        </w:rPr>
        <w:t>)</w:t>
      </w:r>
      <w:r w:rsidRPr="00EA09EB">
        <w:rPr>
          <w:rFonts w:hint="cs"/>
          <w:rtl/>
        </w:rPr>
        <w:t>. وعلى هذا الأساس فإنّ «الحكومة الولائيّة» وولاية الفقيه تأخذان المعنى الحقيقيّ.</w:t>
      </w:r>
    </w:p>
    <w:p w:rsidR="00EA09EB" w:rsidRPr="00A32FC0" w:rsidRDefault="00EA09EB" w:rsidP="00EA09EB">
      <w:pPr>
        <w:rPr>
          <w:rtl/>
          <w:lang w:bidi="ar-LB"/>
        </w:rPr>
      </w:pPr>
      <w:r w:rsidRPr="00A32FC0">
        <w:rPr>
          <w:rFonts w:hint="cs"/>
          <w:rtl/>
          <w:lang w:bidi="ar-LB"/>
        </w:rPr>
        <w:t xml:space="preserve">وأمّا النظام الجمهوريّ فالمراد هنا (قبول جمهور الناس وتولّيهم العمليّ للحكومة)، ومقارنة بالنظام الجمهوريّ في المحاولة الأولى (حقّ الناس في انتخاب الحاكم، ودخالة رأي الناس في منطقة الفراغ ودائرة المباحات) نجد بينهما اختلافاً أساسيّاً، بحيث إنّ هاتين الجمهوريّتين لا تشتركان سوى بلفظ «الجمهوريّة». ويمكن تسمية النظام الجمهوريّ في المحاولة الثانية باسم </w:t>
      </w:r>
      <w:r w:rsidRPr="00A32FC0">
        <w:rPr>
          <w:rFonts w:hint="cs"/>
          <w:rtl/>
        </w:rPr>
        <w:t>«</w:t>
      </w:r>
      <w:r w:rsidRPr="00A32FC0">
        <w:rPr>
          <w:rFonts w:hint="cs"/>
          <w:rtl/>
          <w:lang w:bidi="ar-LB"/>
        </w:rPr>
        <w:t>الجمهورية الولائيّة</w:t>
      </w:r>
      <w:r w:rsidRPr="00A32FC0">
        <w:rPr>
          <w:rFonts w:hint="cs"/>
          <w:rtl/>
        </w:rPr>
        <w:t>»</w:t>
      </w:r>
      <w:r w:rsidRPr="00A32FC0">
        <w:rPr>
          <w:rFonts w:hint="cs"/>
          <w:rtl/>
          <w:lang w:bidi="ar-LB"/>
        </w:rPr>
        <w:t xml:space="preserve">. وفي الحقيقة فإنّ اتكاء النظام الجمهوريّ في المحاولة الثانية على </w:t>
      </w:r>
      <w:r w:rsidRPr="00A32FC0">
        <w:rPr>
          <w:rFonts w:hint="cs"/>
          <w:rtl/>
        </w:rPr>
        <w:t>«</w:t>
      </w:r>
      <w:r w:rsidRPr="00A32FC0">
        <w:rPr>
          <w:rFonts w:hint="cs"/>
          <w:rtl/>
          <w:lang w:bidi="ar-LB"/>
        </w:rPr>
        <w:t>جمهور</w:t>
      </w:r>
      <w:r w:rsidRPr="00A32FC0">
        <w:rPr>
          <w:rFonts w:hint="cs"/>
          <w:rtl/>
        </w:rPr>
        <w:t>»</w:t>
      </w:r>
      <w:r w:rsidRPr="00A32FC0">
        <w:rPr>
          <w:rFonts w:hint="cs"/>
          <w:rtl/>
          <w:lang w:bidi="ar-LB"/>
        </w:rPr>
        <w:t xml:space="preserve"> الناس على أساس التجمع الجماهيريّ والشعبيّ، لا على أساس مؤسَّسة </w:t>
      </w:r>
      <w:r w:rsidRPr="00A32FC0">
        <w:rPr>
          <w:rFonts w:hint="cs"/>
          <w:rtl/>
        </w:rPr>
        <w:t>«</w:t>
      </w:r>
      <w:r w:rsidRPr="00A32FC0">
        <w:rPr>
          <w:rFonts w:hint="cs"/>
          <w:rtl/>
          <w:lang w:bidi="ar-LB"/>
        </w:rPr>
        <w:t>الجمهوريّة</w:t>
      </w:r>
      <w:r w:rsidRPr="00A32FC0">
        <w:rPr>
          <w:rFonts w:hint="cs"/>
          <w:rtl/>
        </w:rPr>
        <w:t>»</w:t>
      </w:r>
      <w:r w:rsidRPr="00A32FC0">
        <w:rPr>
          <w:rFonts w:hint="cs"/>
          <w:rtl/>
          <w:lang w:bidi="ar-LB"/>
        </w:rPr>
        <w:t>. وهناك فرق كبير بين (التجمُّع الجماهيريّ والشعبيّ) و(مؤسَّسة الجمهوريّة).</w:t>
      </w:r>
    </w:p>
    <w:p w:rsidR="00EA09EB" w:rsidRPr="00A32FC0" w:rsidRDefault="00EA09EB" w:rsidP="00FD18AE">
      <w:pPr>
        <w:pStyle w:val="Normal93"/>
        <w:rPr>
          <w:rtl/>
        </w:rPr>
      </w:pPr>
      <w:r w:rsidRPr="00A32FC0">
        <w:rPr>
          <w:rFonts w:hint="cs"/>
          <w:b/>
          <w:bCs/>
          <w:rtl/>
        </w:rPr>
        <w:t>الثاني</w:t>
      </w:r>
      <w:r w:rsidRPr="00EA09EB">
        <w:rPr>
          <w:rFonts w:hint="cs"/>
          <w:rtl/>
        </w:rPr>
        <w:t xml:space="preserve">: تضييق معنى الجمهورية. «لا يُعَدّ اصطلاح الجمهورية، في الفلسفة السياسية، مفهوماً ثابتاً غير قابل للتغيير. لا تتصوَّر أن الجمهوريّة ـ بالدقّة ـ شكلٌ خاصٌّ من الحكومة، بحيث إن نظامنا </w:t>
      </w:r>
      <w:r w:rsidRPr="00EA09EB">
        <w:rPr>
          <w:rtl/>
        </w:rPr>
        <w:t>ـ</w:t>
      </w:r>
      <w:r w:rsidRPr="00EA09EB">
        <w:rPr>
          <w:rFonts w:hint="cs"/>
          <w:rtl/>
        </w:rPr>
        <w:t xml:space="preserve"> الذي هو جمهوريّ </w:t>
      </w:r>
      <w:r w:rsidRPr="00EA09EB">
        <w:rPr>
          <w:rtl/>
        </w:rPr>
        <w:t>ـ</w:t>
      </w:r>
      <w:r w:rsidRPr="00EA09EB">
        <w:rPr>
          <w:rFonts w:hint="cs"/>
          <w:rtl/>
        </w:rPr>
        <w:t xml:space="preserve"> يجب أن يكون نسخةً عنه. ففي الوقت الذي قام فيه الشعب الإيرانيّ بقيادة السيد الخمينيّ لمحاربة النظام المَلَكيّ، وتمكَّن من إسقاطه في نهاية المطاف، واستبدل النظام المَلَكيّ بنظام جمهوريّ، وفي واقع الحال فقد قام الناس برفض نظام كان يستمدّ مشروعيّته من توارث السلطة، واستبدلوا النظام السابق بنظامٍ له شكل وخصائص تنسجم مع الأسس الإسلاميّة والرؤى الدينيّة حول الحكومة، التي تقوم على أساس المصالح التي تأخذ بعين الاعتبار متطلِّبات العصر ومتغيِّراته»</w:t>
      </w:r>
      <w:r w:rsidRPr="00064619">
        <w:rPr>
          <w:rFonts w:cs="Taher"/>
          <w:vertAlign w:val="superscript"/>
          <w:rtl/>
        </w:rPr>
        <w:t>(</w:t>
      </w:r>
      <w:r w:rsidRPr="00064619">
        <w:rPr>
          <w:rStyle w:val="FootnoteReference"/>
          <w:rFonts w:cs="Taher"/>
          <w:sz w:val="32"/>
          <w:rtl/>
        </w:rPr>
        <w:footnoteReference w:id="479"/>
      </w:r>
      <w:r w:rsidRPr="00064619">
        <w:rPr>
          <w:rFonts w:cs="Taher"/>
          <w:vertAlign w:val="superscript"/>
          <w:rtl/>
        </w:rPr>
        <w:t>)</w:t>
      </w:r>
      <w:r w:rsidRPr="00A32FC0">
        <w:rPr>
          <w:rFonts w:hint="cs"/>
          <w:rtl/>
        </w:rPr>
        <w:t>.</w:t>
      </w:r>
    </w:p>
    <w:p w:rsidR="00EA09EB" w:rsidRPr="00EA09EB" w:rsidRDefault="00EA09EB" w:rsidP="00FD18AE">
      <w:pPr>
        <w:pStyle w:val="Normal93"/>
        <w:rPr>
          <w:rtl/>
        </w:rPr>
      </w:pPr>
      <w:r w:rsidRPr="00A32FC0">
        <w:rPr>
          <w:rFonts w:hint="cs"/>
          <w:rtl/>
        </w:rPr>
        <w:t xml:space="preserve">بناءً على هذه الرؤية </w:t>
      </w:r>
      <w:r w:rsidRPr="00A32FC0">
        <w:rPr>
          <w:rFonts w:hint="cs"/>
          <w:b/>
          <w:bCs/>
          <w:rtl/>
        </w:rPr>
        <w:t>أولاً</w:t>
      </w:r>
      <w:r w:rsidRPr="00EA09EB">
        <w:rPr>
          <w:rFonts w:hint="cs"/>
          <w:rtl/>
        </w:rPr>
        <w:t xml:space="preserve">: ليس النظام الجمهوريّ شكلاً خاصّاً من أشكال الحكومة. ولذلك فإنه لا فرقَ معتدّاً به بين الجمهوريّة الإسلاميّة والحكومة الإسلاميّة. </w:t>
      </w:r>
    </w:p>
    <w:p w:rsidR="00EA09EB" w:rsidRDefault="00EA09EB" w:rsidP="00FD18AE">
      <w:pPr>
        <w:pStyle w:val="Normal93"/>
      </w:pPr>
      <w:r w:rsidRPr="007A340E">
        <w:rPr>
          <w:rFonts w:hint="cs"/>
          <w:b/>
          <w:bCs/>
          <w:rtl/>
        </w:rPr>
        <w:t>ثانياً</w:t>
      </w:r>
      <w:r w:rsidRPr="00EA09EB">
        <w:rPr>
          <w:rFonts w:hint="cs"/>
          <w:rtl/>
        </w:rPr>
        <w:t>: الشيء الوحيد الذي يمكن أن يقال: إن هناك فرقاً بين النظام الجمهوريّ والنظام المَلَكيّ الوراثي. ولذلك فإنه يمكن أن يطلق إسم «الجمهوريّ» حتّى على النظام المَلَكيّ غير الوراثيّ، والنظام الديكتاتوريّ، والاستبداديّ، والأتوقراطي. والفرق بين هذا المعنى وبين المعنى المتعارف عن الجمهوريّة واضح لا يحتاج إلى بيان.</w:t>
      </w:r>
    </w:p>
    <w:p w:rsidR="007A340E" w:rsidRPr="00EA09EB" w:rsidRDefault="007A340E" w:rsidP="007A340E">
      <w:pPr>
        <w:ind w:firstLine="283"/>
        <w:rPr>
          <w:rtl/>
        </w:rPr>
      </w:pPr>
    </w:p>
    <w:p w:rsidR="00EA09EB" w:rsidRPr="005C7346" w:rsidRDefault="00EA09EB" w:rsidP="007A340E">
      <w:pPr>
        <w:pStyle w:val="Heading4"/>
        <w:rPr>
          <w:rtl/>
        </w:rPr>
      </w:pPr>
      <w:r w:rsidRPr="005C7346">
        <w:rPr>
          <w:rFonts w:hint="cs"/>
          <w:rtl/>
        </w:rPr>
        <w:t xml:space="preserve">المحاولة الثالثة: الجمع الطولي الزمانيّ بين ولاية الفقيه والجمهوريّة الإسلاميّة </w:t>
      </w:r>
    </w:p>
    <w:p w:rsidR="00EA09EB" w:rsidRPr="00EA09EB" w:rsidRDefault="00EA09EB" w:rsidP="00FD18AE">
      <w:pPr>
        <w:pStyle w:val="Normal93"/>
        <w:rPr>
          <w:rtl/>
        </w:rPr>
      </w:pPr>
      <w:r w:rsidRPr="00EA09EB">
        <w:rPr>
          <w:rFonts w:hint="cs"/>
          <w:rtl/>
        </w:rPr>
        <w:t>«الجمهورية الإسلامية» هي حكومة انتقاليّة مرحليّة للتوصُّل إلى «الحكومة الإسلاميّة»</w:t>
      </w:r>
      <w:r w:rsidRPr="00064619">
        <w:rPr>
          <w:rFonts w:cs="Taher"/>
          <w:sz w:val="32"/>
          <w:vertAlign w:val="superscript"/>
          <w:rtl/>
        </w:rPr>
        <w:t>(</w:t>
      </w:r>
      <w:r w:rsidRPr="00064619">
        <w:rPr>
          <w:rStyle w:val="FootnoteReference"/>
          <w:rFonts w:cs="Taher"/>
          <w:sz w:val="32"/>
          <w:rtl/>
        </w:rPr>
        <w:footnoteReference w:id="480"/>
      </w:r>
      <w:r w:rsidRPr="00064619">
        <w:rPr>
          <w:rFonts w:cs="Taher"/>
          <w:sz w:val="32"/>
          <w:vertAlign w:val="superscript"/>
          <w:rtl/>
        </w:rPr>
        <w:t>)</w:t>
      </w:r>
      <w:r w:rsidRPr="00EA09EB">
        <w:rPr>
          <w:rFonts w:hint="cs"/>
          <w:rtl/>
        </w:rPr>
        <w:t>. فحيث إن الناس في البداية لم يكونوا مهيَّئين لتقبُّل الحكومة الإسلاميّة «ولاية الفقيه»، بجميع مستلزماتها، تمّ أولاً تقديم «الجمهوريّة الإٍسلاميّة» على أنّها نظام يُمَهِّد الطريق لتحقيق الأهداف والقيم والأحكام الإسلامية، إلى أن يتهيّأ المناخ المناسب لتقبُّل الناس لهذه الحكومة، وعند ذلك يتمّ إرساء نظام إسلاميّ خالص «الولاية التعيينيّة المطلقة للفقيه» في المجتمع. وعلى هذا الأساس فقد تمّ عرض الجمهوريّة الإسلاميّة، باعتبارها نظاماً انتقاليّاً للوصول إلى ولاية الفقيه «أي الحكومة الإسلاميّة»، في صياغات ثلاث:</w:t>
      </w:r>
    </w:p>
    <w:p w:rsidR="00EA09EB" w:rsidRPr="00EA09EB" w:rsidRDefault="00EA09EB" w:rsidP="00FD18AE">
      <w:pPr>
        <w:pStyle w:val="Normal93"/>
        <w:rPr>
          <w:rtl/>
        </w:rPr>
      </w:pPr>
      <w:r w:rsidRPr="007A340E">
        <w:rPr>
          <w:rFonts w:hint="cs"/>
          <w:b/>
          <w:bCs/>
          <w:rtl/>
        </w:rPr>
        <w:t>الأولى</w:t>
      </w:r>
      <w:r w:rsidRPr="00EA09EB">
        <w:rPr>
          <w:rFonts w:hint="cs"/>
          <w:rtl/>
        </w:rPr>
        <w:t>: كانت الجمهوريّة الإسلاميّة تكتيكاً لتضليل الأعداء</w:t>
      </w:r>
      <w:r w:rsidRPr="00064619">
        <w:rPr>
          <w:rFonts w:cs="Taher"/>
          <w:sz w:val="32"/>
          <w:vertAlign w:val="superscript"/>
          <w:rtl/>
        </w:rPr>
        <w:t>(</w:t>
      </w:r>
      <w:r w:rsidRPr="00064619">
        <w:rPr>
          <w:rStyle w:val="FootnoteReference"/>
          <w:rFonts w:cs="Taher"/>
          <w:sz w:val="32"/>
          <w:rtl/>
        </w:rPr>
        <w:footnoteReference w:id="481"/>
      </w:r>
      <w:r w:rsidRPr="00064619">
        <w:rPr>
          <w:rFonts w:cs="Taher"/>
          <w:sz w:val="32"/>
          <w:vertAlign w:val="superscript"/>
          <w:rtl/>
        </w:rPr>
        <w:t>)</w:t>
      </w:r>
      <w:r w:rsidRPr="00EA09EB">
        <w:rPr>
          <w:rFonts w:hint="cs"/>
          <w:rtl/>
        </w:rPr>
        <w:t xml:space="preserve">، بمعنى أن تحيُّز قائد الثورة الظاهريّ للديمقراطيّة والجمهوريّة وحكومة الشعب كان تضليلاً لأعداء الثورة الذين تصوَّروا أنّه سوف يتمّ إرساء نظام جمهوريّ وديمقراطيّ، وتالياً لن يكون هناك عداوة بينهم وبين هذا النظام الإسلاميّ الجديد. وبهذا التكتيك المخطَّط له كانت تترسَّخ جذور الحكومة الإسلاميّة في قالبها الظاهريّ </w:t>
      </w:r>
      <w:r w:rsidRPr="00EA09EB">
        <w:rPr>
          <w:rtl/>
        </w:rPr>
        <w:t>ـ</w:t>
      </w:r>
      <w:r w:rsidRPr="00EA09EB">
        <w:rPr>
          <w:rFonts w:hint="cs"/>
          <w:rtl/>
        </w:rPr>
        <w:t xml:space="preserve"> الجمهوريّ والديمقراطيّ </w:t>
      </w:r>
      <w:r w:rsidRPr="00EA09EB">
        <w:rPr>
          <w:rtl/>
        </w:rPr>
        <w:t>ـ</w:t>
      </w:r>
      <w:r w:rsidRPr="00EA09EB">
        <w:rPr>
          <w:rFonts w:hint="cs"/>
          <w:rtl/>
        </w:rPr>
        <w:t>، إلى أن يحين الوقت المناسب، فيُرْفَع النقاب عن الحكومة الإسلاميّة الأصيلة «ولاية الفقيه». وباغت هذا التكتيك أعداء الثورة، ولم يتمكَّنوا من تفادي إرساء الحكومة الولائيّة في إيران. وعلى هذا الأساس فإنّ الديمقراطيّة، والجمهوريّة، وحكومة الشعب، لا محلّ لها من الإعراب في النظام الولائي، وإنّما كانت مجرَّد أدوات تكتيكيّة للانتصار في حرب الإسلام ضدّ الكفر العالميّ.</w:t>
      </w:r>
    </w:p>
    <w:p w:rsidR="00EA09EB" w:rsidRPr="00EA09EB" w:rsidRDefault="00EA09EB" w:rsidP="00FD18AE">
      <w:pPr>
        <w:pStyle w:val="Normal93"/>
        <w:rPr>
          <w:rtl/>
        </w:rPr>
      </w:pPr>
      <w:r w:rsidRPr="007A340E">
        <w:rPr>
          <w:rFonts w:hint="cs"/>
          <w:b/>
          <w:bCs/>
          <w:rtl/>
        </w:rPr>
        <w:t>الثانية</w:t>
      </w:r>
      <w:r w:rsidRPr="00EA09EB">
        <w:rPr>
          <w:rFonts w:hint="cs"/>
          <w:rtl/>
        </w:rPr>
        <w:t>: يعتبر نظام الجمهوريّة الإسلاميّة حلاًّ اضطراريّاً</w:t>
      </w:r>
      <w:r w:rsidRPr="00064619">
        <w:rPr>
          <w:rFonts w:cs="Taher"/>
          <w:sz w:val="32"/>
          <w:vertAlign w:val="superscript"/>
          <w:rtl/>
        </w:rPr>
        <w:t>(</w:t>
      </w:r>
      <w:r w:rsidRPr="00064619">
        <w:rPr>
          <w:rStyle w:val="FootnoteReference"/>
          <w:rFonts w:cs="Taher"/>
          <w:sz w:val="32"/>
          <w:rtl/>
        </w:rPr>
        <w:footnoteReference w:id="482"/>
      </w:r>
      <w:r w:rsidRPr="00064619">
        <w:rPr>
          <w:rFonts w:cs="Taher"/>
          <w:sz w:val="32"/>
          <w:vertAlign w:val="superscript"/>
          <w:rtl/>
        </w:rPr>
        <w:t>)</w:t>
      </w:r>
      <w:r w:rsidRPr="00EA09EB">
        <w:rPr>
          <w:rFonts w:hint="cs"/>
          <w:rtl/>
        </w:rPr>
        <w:t xml:space="preserve">؛ ففي حال الضرورة يسقط العمل بالأحكام الأوّليّة، فحتى أكل لحم الميتة </w:t>
      </w:r>
      <w:r w:rsidRPr="00EA09EB">
        <w:rPr>
          <w:rtl/>
        </w:rPr>
        <w:t>ـ</w:t>
      </w:r>
      <w:r w:rsidRPr="00EA09EB">
        <w:rPr>
          <w:rFonts w:hint="cs"/>
          <w:rtl/>
        </w:rPr>
        <w:t xml:space="preserve"> الذي يعتبر أكله في الأحوال العادية حراماً </w:t>
      </w:r>
      <w:r w:rsidRPr="00EA09EB">
        <w:rPr>
          <w:rtl/>
        </w:rPr>
        <w:t>ـ</w:t>
      </w:r>
      <w:r w:rsidRPr="00EA09EB">
        <w:rPr>
          <w:rFonts w:hint="cs"/>
          <w:rtl/>
        </w:rPr>
        <w:t xml:space="preserve"> يصبح جائزاً. ومع أن الديمقراطيّة والجمهوريّة تتضادّ مع الحكومة الإسلاميّة «أي ولاية الفقيه»، إلا أنه في حالة الاضطرار </w:t>
      </w:r>
      <w:r w:rsidRPr="00EA09EB">
        <w:rPr>
          <w:rtl/>
        </w:rPr>
        <w:t>ـ</w:t>
      </w:r>
      <w:r w:rsidRPr="00EA09EB">
        <w:rPr>
          <w:rFonts w:hint="cs"/>
          <w:rtl/>
        </w:rPr>
        <w:t xml:space="preserve"> أي عندما لا يكون المجتمع مهيَّأً لتقبُّل الحكومة الولائية </w:t>
      </w:r>
      <w:r w:rsidRPr="00EA09EB">
        <w:rPr>
          <w:rtl/>
        </w:rPr>
        <w:t>ـ</w:t>
      </w:r>
      <w:r w:rsidRPr="00EA09EB">
        <w:rPr>
          <w:rFonts w:hint="cs"/>
          <w:rtl/>
        </w:rPr>
        <w:t xml:space="preserve"> يمكن قبول الجمهوريّة من باب أكل لحم الميتة. ومن الواضح أنه إذا ارتفعت الضرورة، وعادت الأمور إلى طبيعتها، سقط الحكم الاضطراريّ. لذلك فإنّ جمهورية النظام هي حكم اضطراريّ، و«الجمهوريّة الإسلاميّة حكم ثانويّ»، والحكومة الولائية هي الحكم الأوّليّ.</w:t>
      </w:r>
    </w:p>
    <w:p w:rsidR="00EA09EB" w:rsidRPr="00A32FC0" w:rsidRDefault="00EA09EB" w:rsidP="00EA09EB">
      <w:pPr>
        <w:rPr>
          <w:rtl/>
          <w:lang w:bidi="ar-LB"/>
        </w:rPr>
      </w:pPr>
      <w:r w:rsidRPr="00A32FC0">
        <w:rPr>
          <w:rFonts w:hint="cs"/>
          <w:b/>
          <w:bCs/>
          <w:rtl/>
          <w:lang w:bidi="ar-LB"/>
        </w:rPr>
        <w:t>الثالثة</w:t>
      </w:r>
      <w:r w:rsidRPr="00EA09EB">
        <w:rPr>
          <w:rFonts w:hint="cs"/>
          <w:rtl/>
        </w:rPr>
        <w:t>: تعتبر الجمهوريّة الإسلاميّة مصلحة مؤقَّتة</w:t>
      </w:r>
      <w:r w:rsidRPr="00064619">
        <w:rPr>
          <w:rFonts w:cs="Taher"/>
          <w:vertAlign w:val="superscript"/>
          <w:rtl/>
          <w:lang w:bidi="ar-LB"/>
        </w:rPr>
        <w:t>(</w:t>
      </w:r>
      <w:r w:rsidRPr="00064619">
        <w:rPr>
          <w:rStyle w:val="FootnoteReference"/>
          <w:rFonts w:cs="Taher"/>
          <w:sz w:val="32"/>
          <w:rtl/>
          <w:lang w:bidi="ar-LB"/>
        </w:rPr>
        <w:footnoteReference w:id="483"/>
      </w:r>
      <w:r w:rsidRPr="00064619">
        <w:rPr>
          <w:rFonts w:cs="Taher"/>
          <w:vertAlign w:val="superscript"/>
          <w:rtl/>
          <w:lang w:bidi="ar-LB"/>
        </w:rPr>
        <w:t>)</w:t>
      </w:r>
      <w:r w:rsidRPr="00A32FC0">
        <w:rPr>
          <w:rFonts w:hint="cs"/>
          <w:rtl/>
          <w:lang w:bidi="ar-LB"/>
        </w:rPr>
        <w:t xml:space="preserve">. إنّ الاهتمام بمقتضيات الزمان والمكان، والاستفادة من عنصر المصلحة، هما من مزايا الحكومة الولائيّة. فحينما يُقرَّر أنه لا يمكن تطبيق حكم شرعيّ ما، وأن تطبيقه يحتاج إلى تهيئة مقدّمات، فعلينا الرجوع إلى ميزان المصالح، ويجب الاستفادة من كلّ وسيلة تقرِّبنا إلى الهدف، حتى لو كانت هذه الوسيلة مرفوضة، ولا تتلاءم مع أحكام الشرع في الأحوال العاديّة. إذا تمّ تشخيص المسألة بهذا الشكل فنقول: إنّ في الديمقراطيّة والجمهوريّة، المتعارضتين مع حاكمية الفقيه والحكومة الولائية، مصلحةً آنيّةً، وسوف تقرّب الناس إلى الإسلام، وعندها يمكن إقرارهما بشكل مؤقَّت. ومن الواضح أنّ الجمهورية </w:t>
      </w:r>
      <w:r w:rsidRPr="00FD18AE">
        <w:rPr>
          <w:rFonts w:hint="cs"/>
          <w:sz w:val="26"/>
          <w:szCs w:val="28"/>
          <w:rtl/>
          <w:lang w:bidi="ar-LB"/>
        </w:rPr>
        <w:t>الإسلاميّة، بصفتها حكماً ناشئاً عن المصلحة، سوف تستمرّ إلى حين توفُّر الأرضيّة المناسبة لقبول الحكومة الولائيّة. وفي الوقت الذي تتمكن فيه ولاي</w:t>
      </w:r>
      <w:r w:rsidR="008B4604" w:rsidRPr="00FD18AE">
        <w:rPr>
          <w:rFonts w:hint="cs"/>
          <w:sz w:val="26"/>
          <w:szCs w:val="28"/>
          <w:rtl/>
          <w:lang w:bidi="ar-LB"/>
        </w:rPr>
        <w:t xml:space="preserve">ة الفقيه من بسط يدها، </w:t>
      </w:r>
      <w:r w:rsidR="008B4604">
        <w:rPr>
          <w:rFonts w:hint="cs"/>
          <w:rtl/>
          <w:lang w:bidi="ar-LB"/>
        </w:rPr>
        <w:t>بشكل كامل</w:t>
      </w:r>
      <w:r w:rsidRPr="00A32FC0">
        <w:rPr>
          <w:rFonts w:hint="cs"/>
          <w:rtl/>
          <w:lang w:bidi="ar-LB"/>
        </w:rPr>
        <w:t xml:space="preserve"> على كافّة منافذ القدرة، سوف ينتقل الحكم الشرعيّ الأوّليّ، أي ولاية الفقيه، إلى مرحلة التنفيذ.</w:t>
      </w:r>
    </w:p>
    <w:p w:rsidR="00EA09EB" w:rsidRPr="00EA09EB" w:rsidRDefault="00EA09EB" w:rsidP="00FD18AE">
      <w:pPr>
        <w:pStyle w:val="Normal87"/>
        <w:rPr>
          <w:rtl/>
        </w:rPr>
      </w:pPr>
      <w:r w:rsidRPr="00A32FC0">
        <w:rPr>
          <w:rFonts w:hint="cs"/>
          <w:rtl/>
        </w:rPr>
        <w:t>يرى أصحاب هذه المح</w:t>
      </w:r>
      <w:r>
        <w:rPr>
          <w:rFonts w:hint="cs"/>
          <w:rtl/>
        </w:rPr>
        <w:t>اولة أنّ العبارة المشهورة للسيد الخميني</w:t>
      </w:r>
      <w:r w:rsidRPr="00A32FC0">
        <w:rPr>
          <w:rFonts w:hint="cs"/>
          <w:rtl/>
        </w:rPr>
        <w:t>: «المعيار هو رأي الشعب» «نقاشاً جدليّاً، أي إنها من باب إثبات فكرة يرضى بها الطرف المقابل، ولو أن القائل لا يقبلها»</w:t>
      </w:r>
      <w:r w:rsidRPr="00064619">
        <w:rPr>
          <w:rFonts w:cs="Taher"/>
          <w:vertAlign w:val="superscript"/>
          <w:rtl/>
        </w:rPr>
        <w:t>(</w:t>
      </w:r>
      <w:r w:rsidRPr="00064619">
        <w:rPr>
          <w:rStyle w:val="FootnoteReference"/>
          <w:rFonts w:cs="Taher"/>
          <w:sz w:val="32"/>
          <w:rtl/>
        </w:rPr>
        <w:footnoteReference w:id="484"/>
      </w:r>
      <w:r w:rsidRPr="00064619">
        <w:rPr>
          <w:rFonts w:cs="Taher"/>
          <w:vertAlign w:val="superscript"/>
          <w:rtl/>
        </w:rPr>
        <w:t>)</w:t>
      </w:r>
      <w:r w:rsidRPr="00EA09EB">
        <w:rPr>
          <w:rFonts w:hint="cs"/>
          <w:rtl/>
        </w:rPr>
        <w:t>. وقد عرض السيد الخمينيّ الجمهوريّة الإسلامية ـ سواءٌ أكانت تكتيكاً لتضليل العدو، أم حكماً اضطراريّاً، أم مصلحة مؤقَّتة ـ على الناس في بداية الثورة، ولقي تأييداً وقبولاً عامّاً منهم. وطرْحُ هذه التفسيرات للجمهوريّة الإسلاميّة تضع مصداقية قائد الثورة على المحكّ، هذه المصداقية التي تعتبر رأس المال الأهمّ لرجال الدين. فهل يُدرك هؤلاء المفسِّرون لوازم تفسيراتهم؟ وعلى أيّ حال، كما أن انتصار الثورة الإسلاميّة كان أسرع ممّا كان متوقَّعاً فكذلك كان تطبيق ولاية الفقيه في المجتمع أسرع ممّا كان متوقَّعاً، فقد أدرجت ولاية الفقيه في دستور الجمهورية الإسلاميّة. لذلك يجب ـ بشكل تدريجيّ ـ إلغاء المؤسَّسات المنسجمة مع النظام الجمهوريّ، التي أُسِّست في ظروف خاصّة واضطراريّة؛ لكي نقترب شيئاً فشيئاً من الحكومة الإسلامية «المبتنية على ولاية الفقيه». وطبقاً للحكومة الإسلامية، «أي الولاية التعيينيّة المطلقة للفقيه»، فإنّ الوليّ الفقيه هو الذي يعيّن جميع المسؤولين الأساسيّين في النظام الإسلاميّ بشكل مباشر، وهو الذي يُقِرّ القوانين الإس</w:t>
      </w:r>
      <w:r w:rsidR="008B4604">
        <w:rPr>
          <w:rFonts w:hint="cs"/>
          <w:rtl/>
        </w:rPr>
        <w:t>لاميّة الخالصة التي تقدّم للناس</w:t>
      </w:r>
      <w:r w:rsidRPr="00EA09EB">
        <w:rPr>
          <w:rFonts w:hint="cs"/>
          <w:rtl/>
        </w:rPr>
        <w:t xml:space="preserve"> الذين يساعدون وليّ الأمر في إجراء القوانين والأحكام الشرعيّة بتولّيهم وقبولهم له. وعلى أساس هذه الصياغة فإن الجمهوريّة الإسلاميّة في بداية الثورة كانت جمهوريّة واقعاً، إلا أنّه بعد الإقرار المبكر لولاية الفقيه في مجلس صياغة الدستور، وتحقُّق الأرضيّة المناسبة لتقبُّل الناس لهذه النظرية، اتَّجه المسار بشكلٍ تدريجيّ إلى تغيير النظام من جمهوريّة إسلاميّة إلى حكومة إسلاميّة، وما زال. ومن الواضح أن نتيجةَ المحاولة الثانية، والمحاولة الثالثة، واحدةٌ، بحيث إننا يمكن أن نعتبر هاتين المحاولتين صياغتين لحلٍّ واحدٍ.</w:t>
      </w:r>
    </w:p>
    <w:p w:rsidR="00EA09EB" w:rsidRPr="00A32FC0" w:rsidRDefault="00EA09EB" w:rsidP="00FD18AE">
      <w:pPr>
        <w:pStyle w:val="Normal93"/>
        <w:rPr>
          <w:rtl/>
        </w:rPr>
      </w:pPr>
      <w:r w:rsidRPr="00A32FC0">
        <w:rPr>
          <w:rFonts w:hint="cs"/>
          <w:rtl/>
        </w:rPr>
        <w:t>إلى هنا ينتهي القسم الأوّل من بحث الحكومة الولائيّة، أي «المبادئ التصوُّريّة للولاية». وآمل أن تكون الأبحاث التي قُدِّمت قد أفادت القارئ في التعرُّف على الأبعاد المختلفة للولاية، واستطاعت أن توضِّح مفهوم ومعنى الحكومة الولائيّة، وأن تعرض المباني النظريّة للجمهوريّة بشفافية ودقّة.</w:t>
      </w:r>
    </w:p>
    <w:p w:rsidR="007A340E" w:rsidRDefault="00EA09EB" w:rsidP="007A340E">
      <w:pPr>
        <w:ind w:firstLine="283"/>
      </w:pPr>
      <w:r w:rsidRPr="00EA09EB">
        <w:rPr>
          <w:rtl/>
        </w:rPr>
        <w:br w:type="page"/>
      </w:r>
    </w:p>
    <w:p w:rsidR="007A340E" w:rsidRDefault="007A340E" w:rsidP="007A340E">
      <w:pPr>
        <w:ind w:firstLine="0"/>
        <w:rPr>
          <w:rtl/>
        </w:rPr>
        <w:sectPr w:rsidR="007A340E" w:rsidSect="009003FC">
          <w:headerReference w:type="even" r:id="rId41"/>
          <w:headerReference w:type="default" r:id="rId42"/>
          <w:headerReference w:type="first" r:id="rId43"/>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ind w:firstLine="0"/>
        <w:rPr>
          <w:rtl/>
        </w:rPr>
      </w:pPr>
      <w:r w:rsidRPr="0086303D">
        <w:rPr>
          <w:rFonts w:eastAsiaTheme="majorEastAsia" w:cs="AL-Mateen"/>
          <w:b/>
          <w:noProof/>
          <w:sz w:val="44"/>
          <w:szCs w:val="82"/>
          <w:rtl/>
        </w:rPr>
        <w:drawing>
          <wp:anchor distT="0" distB="0" distL="114300" distR="114300" simplePos="0" relativeHeight="251654144" behindDoc="1" locked="0" layoutInCell="1" allowOverlap="1" wp14:anchorId="200BB648" wp14:editId="7C5C9B1B">
            <wp:simplePos x="0" y="0"/>
            <wp:positionH relativeFrom="margin">
              <wp:align>center</wp:align>
            </wp:positionH>
            <wp:positionV relativeFrom="margin">
              <wp:align>center</wp:align>
            </wp:positionV>
            <wp:extent cx="4319905" cy="6487160"/>
            <wp:effectExtent l="0" t="0" r="4445" b="8890"/>
            <wp:wrapNone/>
            <wp:docPr id="14" name="Picture 14"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Description: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19905" cy="648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40E" w:rsidRDefault="007A340E" w:rsidP="007A340E"/>
    <w:p w:rsidR="007A340E" w:rsidRDefault="007A340E" w:rsidP="007A340E"/>
    <w:p w:rsidR="007A340E" w:rsidRDefault="007A340E" w:rsidP="007A340E"/>
    <w:p w:rsidR="007A340E" w:rsidRDefault="007A340E" w:rsidP="007A340E"/>
    <w:p w:rsidR="007A340E" w:rsidRDefault="007A340E" w:rsidP="007A340E"/>
    <w:p w:rsidR="007A340E" w:rsidRDefault="007A340E" w:rsidP="007A340E"/>
    <w:p w:rsidR="007A340E" w:rsidRDefault="007A340E" w:rsidP="007A340E"/>
    <w:p w:rsidR="007A340E" w:rsidRDefault="007A340E" w:rsidP="007A340E">
      <w:pPr>
        <w:rPr>
          <w:rtl/>
        </w:rPr>
      </w:pPr>
    </w:p>
    <w:p w:rsidR="007A340E" w:rsidRDefault="007A340E" w:rsidP="007A340E"/>
    <w:p w:rsidR="007A340E" w:rsidRDefault="007A340E" w:rsidP="007A340E"/>
    <w:p w:rsidR="007A340E" w:rsidRDefault="007A340E" w:rsidP="007A340E">
      <w:pPr>
        <w:pStyle w:val="Heading1"/>
      </w:pPr>
      <w:bookmarkStart w:id="46" w:name="_Toc413658829"/>
      <w:r>
        <w:rPr>
          <w:rFonts w:hint="cs"/>
          <w:rtl/>
        </w:rPr>
        <w:t>القسم الثاني</w:t>
      </w:r>
      <w:bookmarkEnd w:id="46"/>
    </w:p>
    <w:p w:rsidR="007A340E" w:rsidRDefault="007A340E" w:rsidP="007A340E">
      <w:pPr>
        <w:pStyle w:val="Heading1"/>
        <w:rPr>
          <w:rtl/>
        </w:rPr>
      </w:pPr>
      <w:bookmarkStart w:id="47" w:name="_Toc406415791"/>
      <w:bookmarkStart w:id="48" w:name="_Toc413658830"/>
      <w:r>
        <w:rPr>
          <w:rFonts w:hint="cs"/>
          <w:rtl/>
        </w:rPr>
        <w:t>المباني التصديقيّة للولاية</w:t>
      </w:r>
      <w:bookmarkEnd w:id="47"/>
      <w:bookmarkEnd w:id="48"/>
      <w:r>
        <w:rPr>
          <w:rtl/>
          <w:lang w:bidi="ar-LB"/>
        </w:rPr>
        <w:br w:type="page"/>
      </w:r>
    </w:p>
    <w:p w:rsidR="007A340E" w:rsidRDefault="007A340E" w:rsidP="007A340E">
      <w:pPr>
        <w:rPr>
          <w:rtl/>
          <w:lang w:bidi="ar-LB"/>
        </w:rPr>
        <w:sectPr w:rsidR="007A340E" w:rsidSect="009003FC">
          <w:headerReference w:type="default" r:id="rId44"/>
          <w:headerReference w:type="first" r:id="rId45"/>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4C06A0" w:rsidP="004C06A0">
      <w:pPr>
        <w:pStyle w:val="Heading2"/>
        <w:jc w:val="center"/>
        <w:rPr>
          <w:rtl/>
          <w:lang w:bidi="ar-LB"/>
        </w:rPr>
      </w:pPr>
      <w:bookmarkStart w:id="49" w:name="_Toc413658831"/>
      <w:r>
        <w:rPr>
          <w:rFonts w:hint="cs"/>
          <w:rtl/>
          <w:lang w:bidi="ar-LB"/>
        </w:rPr>
        <w:t>المقدمة</w:t>
      </w:r>
      <w:bookmarkEnd w:id="49"/>
    </w:p>
    <w:p w:rsidR="00EA09EB" w:rsidRPr="00A32FC0" w:rsidRDefault="00EA09EB" w:rsidP="00EA09EB">
      <w:pPr>
        <w:rPr>
          <w:rtl/>
          <w:lang w:bidi="ar-LB"/>
        </w:rPr>
      </w:pPr>
      <w:r w:rsidRPr="00A32FC0">
        <w:rPr>
          <w:rFonts w:hint="cs"/>
          <w:rtl/>
          <w:lang w:bidi="ar-LB"/>
        </w:rPr>
        <w:t xml:space="preserve">بعد التعرُّف على المبادئ التصوُّرية، والمعنى والمفهوم والمراد من الولاية والحكومة الولائية، نصل إلى دراسة المباني التصديقية للولاية والحكومة الولائية. </w:t>
      </w:r>
    </w:p>
    <w:p w:rsidR="00EA09EB" w:rsidRPr="00A32FC0" w:rsidRDefault="00EA09EB" w:rsidP="00EA09EB">
      <w:pPr>
        <w:rPr>
          <w:rtl/>
          <w:lang w:bidi="ar-LB"/>
        </w:rPr>
      </w:pPr>
      <w:r w:rsidRPr="00A32FC0">
        <w:rPr>
          <w:rFonts w:hint="cs"/>
          <w:rtl/>
          <w:lang w:bidi="ar-LB"/>
        </w:rPr>
        <w:t xml:space="preserve">والمقصود بالمباني التصديقيّة هو الأدلة والبراهين والمستندات. </w:t>
      </w:r>
    </w:p>
    <w:p w:rsidR="00EA09EB" w:rsidRPr="00A32FC0" w:rsidRDefault="00EA09EB" w:rsidP="00EA09EB">
      <w:pPr>
        <w:rPr>
          <w:rtl/>
          <w:lang w:bidi="ar-LB"/>
        </w:rPr>
      </w:pPr>
      <w:r w:rsidRPr="00A32FC0">
        <w:rPr>
          <w:rFonts w:hint="cs"/>
          <w:rtl/>
          <w:lang w:bidi="ar-LB"/>
        </w:rPr>
        <w:t xml:space="preserve">والسؤال الأساس في هذا البحث هو: ما هي أدلّة ولاية الفقيه؟ وما هي البراهين التي أقيمت عليها؟ وما هو المستند الذي ارتكزت عليه؟ </w:t>
      </w:r>
    </w:p>
    <w:p w:rsidR="00EA09EB" w:rsidRPr="00A32FC0" w:rsidRDefault="00EA09EB" w:rsidP="00EA09EB">
      <w:pPr>
        <w:rPr>
          <w:rtl/>
          <w:lang w:bidi="ar-LB"/>
        </w:rPr>
      </w:pPr>
      <w:r w:rsidRPr="00A32FC0">
        <w:rPr>
          <w:rFonts w:hint="cs"/>
          <w:rtl/>
          <w:lang w:bidi="ar-LB"/>
        </w:rPr>
        <w:t xml:space="preserve">في هذا القسم تمّ تقسيم أدلّة إثبات ولاية الفقيه إلى أربع مجموعات: </w:t>
      </w:r>
    </w:p>
    <w:p w:rsidR="00EA09EB" w:rsidRPr="00A32FC0" w:rsidRDefault="00EA09EB" w:rsidP="00EA09EB">
      <w:pPr>
        <w:rPr>
          <w:rtl/>
          <w:lang w:bidi="ar-LB"/>
        </w:rPr>
      </w:pPr>
      <w:r w:rsidRPr="00A32FC0">
        <w:rPr>
          <w:rFonts w:hint="cs"/>
          <w:rtl/>
          <w:lang w:bidi="ar-LB"/>
        </w:rPr>
        <w:t xml:space="preserve">1ـ </w:t>
      </w:r>
      <w:r w:rsidRPr="00A32FC0">
        <w:rPr>
          <w:rFonts w:hint="cs"/>
          <w:rtl/>
        </w:rPr>
        <w:t>«</w:t>
      </w:r>
      <w:r w:rsidRPr="00A32FC0">
        <w:rPr>
          <w:rFonts w:hint="cs"/>
          <w:rtl/>
          <w:lang w:bidi="ar-LB"/>
        </w:rPr>
        <w:t>الأدلة الروائية</w:t>
      </w:r>
      <w:r w:rsidRPr="00A32FC0">
        <w:rPr>
          <w:rFonts w:hint="cs"/>
          <w:rtl/>
        </w:rPr>
        <w:t>»</w:t>
      </w:r>
      <w:r w:rsidRPr="00A32FC0">
        <w:rPr>
          <w:rFonts w:hint="cs"/>
          <w:rtl/>
          <w:lang w:bidi="ar-LB"/>
        </w:rPr>
        <w:t>. فالروايات وأحاديث المعصومين</w:t>
      </w:r>
      <w:r w:rsidR="007A340E">
        <w:rPr>
          <w:rFonts w:hint="cs"/>
          <w:rtl/>
        </w:rPr>
        <w:t>^</w:t>
      </w:r>
      <w:r w:rsidRPr="00A32FC0">
        <w:rPr>
          <w:rFonts w:hint="cs"/>
          <w:rtl/>
          <w:lang w:bidi="ar-LB"/>
        </w:rPr>
        <w:t xml:space="preserve"> هي الأكثر اعتماداً في إثبات ولاية الفقيه. </w:t>
      </w:r>
    </w:p>
    <w:p w:rsidR="00EA09EB" w:rsidRPr="00A32FC0" w:rsidRDefault="00EA09EB" w:rsidP="00EA09EB">
      <w:pPr>
        <w:rPr>
          <w:rtl/>
          <w:lang w:bidi="ar-LB"/>
        </w:rPr>
      </w:pPr>
      <w:r w:rsidRPr="00A32FC0">
        <w:rPr>
          <w:rFonts w:hint="cs"/>
          <w:rtl/>
          <w:lang w:bidi="ar-LB"/>
        </w:rPr>
        <w:t xml:space="preserve">2ـ </w:t>
      </w:r>
      <w:r w:rsidRPr="00A32FC0">
        <w:rPr>
          <w:rFonts w:hint="cs"/>
          <w:rtl/>
        </w:rPr>
        <w:t>«</w:t>
      </w:r>
      <w:r w:rsidRPr="00A32FC0">
        <w:rPr>
          <w:rFonts w:hint="cs"/>
          <w:rtl/>
          <w:lang w:bidi="ar-LB"/>
        </w:rPr>
        <w:t>الأدلة القرآنية</w:t>
      </w:r>
      <w:r w:rsidRPr="00A32FC0">
        <w:rPr>
          <w:rFonts w:hint="cs"/>
          <w:rtl/>
        </w:rPr>
        <w:t>»</w:t>
      </w:r>
      <w:r w:rsidRPr="00A32FC0">
        <w:rPr>
          <w:rFonts w:hint="cs"/>
          <w:rtl/>
          <w:lang w:bidi="ar-LB"/>
        </w:rPr>
        <w:t>، التي كان استناد القائلين بولاية الفقيه إليها أقلّ.</w:t>
      </w:r>
    </w:p>
    <w:p w:rsidR="00EA09EB" w:rsidRPr="00A32FC0" w:rsidRDefault="00EA09EB" w:rsidP="00EA09EB">
      <w:pPr>
        <w:rPr>
          <w:rtl/>
          <w:lang w:bidi="ar-LB"/>
        </w:rPr>
      </w:pPr>
      <w:r w:rsidRPr="00A32FC0">
        <w:rPr>
          <w:rFonts w:hint="cs"/>
          <w:rtl/>
          <w:lang w:bidi="ar-LB"/>
        </w:rPr>
        <w:t xml:space="preserve">3ـ </w:t>
      </w:r>
      <w:r w:rsidRPr="00A32FC0">
        <w:rPr>
          <w:rFonts w:hint="cs"/>
          <w:rtl/>
        </w:rPr>
        <w:t>«</w:t>
      </w:r>
      <w:r w:rsidRPr="00A32FC0">
        <w:rPr>
          <w:rFonts w:hint="cs"/>
          <w:rtl/>
          <w:lang w:bidi="ar-LB"/>
        </w:rPr>
        <w:t>دليل الإجماع</w:t>
      </w:r>
      <w:r w:rsidRPr="00A32FC0">
        <w:rPr>
          <w:rFonts w:hint="cs"/>
          <w:rtl/>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4ـ</w:t>
      </w:r>
      <w:r w:rsidRPr="00A32FC0">
        <w:rPr>
          <w:rFonts w:hint="cs"/>
          <w:rtl/>
        </w:rPr>
        <w:t xml:space="preserve"> «</w:t>
      </w:r>
      <w:r w:rsidRPr="00A32FC0">
        <w:rPr>
          <w:rFonts w:hint="cs"/>
          <w:rtl/>
          <w:lang w:bidi="ar-LB"/>
        </w:rPr>
        <w:t>الأدلة العقليّة</w:t>
      </w:r>
      <w:r w:rsidRPr="00A32FC0">
        <w:rPr>
          <w:rFonts w:hint="cs"/>
          <w:rtl/>
        </w:rPr>
        <w:t>»</w:t>
      </w:r>
      <w:r w:rsidRPr="00A32FC0">
        <w:rPr>
          <w:rFonts w:hint="cs"/>
          <w:rtl/>
          <w:lang w:bidi="ar-LB"/>
        </w:rPr>
        <w:t>.</w:t>
      </w:r>
    </w:p>
    <w:p w:rsidR="00EA09EB" w:rsidRPr="00A32FC0" w:rsidRDefault="00EA09EB" w:rsidP="00EA09EB">
      <w:pPr>
        <w:rPr>
          <w:rtl/>
        </w:rPr>
      </w:pPr>
      <w:r w:rsidRPr="00A32FC0">
        <w:rPr>
          <w:rFonts w:hint="cs"/>
          <w:rtl/>
          <w:lang w:bidi="ar-LB"/>
        </w:rPr>
        <w:t xml:space="preserve">إنّ منهجنا في البحث هو </w:t>
      </w:r>
      <w:r w:rsidRPr="00A32FC0">
        <w:rPr>
          <w:rFonts w:hint="cs"/>
          <w:rtl/>
        </w:rPr>
        <w:t>«</w:t>
      </w:r>
      <w:r w:rsidRPr="00A32FC0">
        <w:rPr>
          <w:rFonts w:hint="cs"/>
          <w:rtl/>
          <w:lang w:bidi="ar-LB"/>
        </w:rPr>
        <w:t>التحليل النقديّ</w:t>
      </w:r>
      <w:r w:rsidRPr="00A32FC0">
        <w:rPr>
          <w:rFonts w:hint="cs"/>
          <w:rtl/>
        </w:rPr>
        <w:t>»</w:t>
      </w:r>
      <w:r w:rsidRPr="00A32FC0">
        <w:rPr>
          <w:rFonts w:hint="cs"/>
          <w:rtl/>
          <w:lang w:bidi="ar-LB"/>
        </w:rPr>
        <w:t xml:space="preserve"> </w:t>
      </w:r>
      <w:r w:rsidRPr="00A32FC0">
        <w:rPr>
          <w:lang w:bidi="ar-LB"/>
        </w:rPr>
        <w:t>(Critical Analysis)</w:t>
      </w:r>
      <w:r w:rsidRPr="00A32FC0">
        <w:rPr>
          <w:rFonts w:hint="cs"/>
          <w:rtl/>
        </w:rPr>
        <w:t>. وارتأينا أن يرتكز البحث على «القراءة القبليّة»؛ بمعنى أن نعرض أدلّة القائل</w:t>
      </w:r>
      <w:r>
        <w:rPr>
          <w:rFonts w:hint="cs"/>
          <w:rtl/>
        </w:rPr>
        <w:t>ين بولاية الفقيه، وخصوصاً السيد</w:t>
      </w:r>
      <w:r w:rsidRPr="00A32FC0">
        <w:rPr>
          <w:rFonts w:hint="cs"/>
          <w:rtl/>
        </w:rPr>
        <w:t xml:space="preserve"> الخمينيّ، وندرسها، ثم نقوم بعرض آراء علماء الدين وفقهاء المذهب في نقد هذه الأدلّة، </w:t>
      </w:r>
      <w:r w:rsidR="008B4604">
        <w:rPr>
          <w:rFonts w:hint="cs"/>
          <w:rtl/>
        </w:rPr>
        <w:t>وفي نهاية كلّ دليل نقوم بتقييمه</w:t>
      </w:r>
      <w:r w:rsidRPr="00A32FC0">
        <w:rPr>
          <w:rFonts w:hint="cs"/>
          <w:rtl/>
        </w:rPr>
        <w:t xml:space="preserve"> من جوانب مختلفة، على أساس المباني الاجتهاديّة.</w:t>
      </w:r>
    </w:p>
    <w:p w:rsidR="00EA09EB" w:rsidRPr="00A32FC0" w:rsidRDefault="00EA09EB" w:rsidP="00EA09EB">
      <w:pPr>
        <w:rPr>
          <w:rtl/>
        </w:rPr>
      </w:pPr>
      <w:r w:rsidRPr="00A32FC0">
        <w:rPr>
          <w:rFonts w:hint="cs"/>
          <w:rtl/>
        </w:rPr>
        <w:t>ومن الواضح أن البحث في أدلّة ولاية الفقيه هو بحث اختصاصيّ فنّيّ. والمخاطب الأساس في هذا البحث هم المعنيّون بالفقه والحقوق والعلوم السياسيّة. إلاّ أننا سوف نسعى في نهاية كلّ دليل، وبعد الانتهاء من المباحث العلميّة، إلى عرض خلاصة للبحث بلغة مبسَّطة؛ وذلك لأجل تعميم فائدته. مع الإشارة إلى أنّ بحوث القسم الثاني أَعْقَد من بحوث القسم الأوّل؛ ما يدعو القارئ إلى دقّة وعناية أكبر.</w:t>
      </w:r>
    </w:p>
    <w:p w:rsidR="00EA09EB" w:rsidRPr="00EA09EB" w:rsidRDefault="00EA09EB" w:rsidP="008B4604">
      <w:pPr>
        <w:ind w:firstLine="283"/>
        <w:rPr>
          <w:rtl/>
        </w:rPr>
      </w:pPr>
      <w:r w:rsidRPr="00EA09EB">
        <w:rPr>
          <w:rFonts w:hint="cs"/>
          <w:rtl/>
        </w:rPr>
        <w:t>لقد تمّ التعرُّض لبحث «المباني التصديقيّة للولاية» أكثر بكثير من بحث المبادئ التصوّرية؛ وذلك لأنّ الفقهاء قاموا ببحث تفصيليّ حول هذا الموضوع، وتركوا مؤلَّفات كثيرة حوله. ومع ذلك لم يقُمْ أحدٌ منهم بتفكيك</w:t>
      </w:r>
      <w:r w:rsidR="008B4604">
        <w:rPr>
          <w:rFonts w:hint="cs"/>
          <w:rtl/>
        </w:rPr>
        <w:t xml:space="preserve"> ادلة</w:t>
      </w:r>
      <w:r w:rsidRPr="00EA09EB">
        <w:rPr>
          <w:rFonts w:hint="cs"/>
          <w:rtl/>
        </w:rPr>
        <w:t xml:space="preserve"> الأركان الأربعة لل</w:t>
      </w:r>
      <w:r w:rsidR="008B4604">
        <w:rPr>
          <w:rFonts w:hint="cs"/>
          <w:rtl/>
        </w:rPr>
        <w:t xml:space="preserve">ولاية التعيينيّة المطلقة للفقيه؛ </w:t>
      </w:r>
      <w:r w:rsidRPr="00EA09EB">
        <w:rPr>
          <w:rFonts w:hint="cs"/>
          <w:rtl/>
        </w:rPr>
        <w:t>أي الولاية</w:t>
      </w:r>
      <w:r w:rsidR="008B4604">
        <w:rPr>
          <w:rFonts w:hint="cs"/>
          <w:rtl/>
        </w:rPr>
        <w:t>، والتعيين، والإطلاق، والفقاهة.</w:t>
      </w:r>
      <w:r w:rsidRPr="00EA09EB">
        <w:rPr>
          <w:rFonts w:hint="cs"/>
          <w:rtl/>
        </w:rPr>
        <w:t xml:space="preserve"> ومن الواضح أنه ليس بالضرورة أن يثبت كلّ واحد من الأدلّة المقامة على ولاية الفقيه الأركان الأربعة كلّها. ومع أننا سوف نقوم بعرض جميع الأدلّة المطروحة لإثبات ولاية الفقيه ـ إنْ شاء الله تعالى ـ إلا أننا سوف نركِّز البحث على «ركن الولاية» بشكلٍ تفصيليّ، وأمّا الأركان الثلاثة الأخرى ـ أي التعيين، والإطلاق، والفقاهة ـ فلن نتعرَّض لها إلاّ بشكلٍ إجماليّ، ونؤجِّل بحثها التفصيليّ إلى مجال آخر</w:t>
      </w:r>
      <w:r w:rsidRPr="00064619">
        <w:rPr>
          <w:rFonts w:cs="Taher"/>
          <w:sz w:val="32"/>
          <w:vertAlign w:val="superscript"/>
          <w:rtl/>
        </w:rPr>
        <w:t>(</w:t>
      </w:r>
      <w:r w:rsidRPr="00064619">
        <w:rPr>
          <w:rStyle w:val="FootnoteReference"/>
          <w:rFonts w:cs="Taher"/>
          <w:sz w:val="32"/>
          <w:rtl/>
        </w:rPr>
        <w:footnoteReference w:id="485"/>
      </w:r>
      <w:r w:rsidRPr="00064619">
        <w:rPr>
          <w:rFonts w:cs="Taher"/>
          <w:sz w:val="32"/>
          <w:vertAlign w:val="superscript"/>
          <w:rtl/>
        </w:rPr>
        <w:t>)</w:t>
      </w:r>
      <w:r w:rsidRPr="00EA09EB">
        <w:rPr>
          <w:rFonts w:hint="cs"/>
          <w:rtl/>
        </w:rPr>
        <w:t>. وبعبارة أخرى: إن السؤال الأساس في هذا البحث: ما هي أدلة الولاية والحكومة الولائية؟ ولأجل تبسيط الاستنتاج فقد قسَّمنا الأدلّة جميعَها إلى مقدّمات منطقيّة متمايزة؛ ليتبيّن لنا بشكلٍ واضحٍ دلالة أيّ دليل أو عدم دلالته. ومصادر بحثنا هي المؤلَّفات القيِّمة لعلماء الشيعة الإماميّة، وبخاصّة مؤلَّفات الفقهاء.</w:t>
      </w:r>
    </w:p>
    <w:p w:rsidR="00EA09EB" w:rsidRPr="00A32FC0" w:rsidRDefault="00EA09EB" w:rsidP="00EA09EB">
      <w:pPr>
        <w:rPr>
          <w:rtl/>
          <w:lang w:bidi="ar-LB"/>
        </w:rPr>
      </w:pPr>
      <w:r w:rsidRPr="00A32FC0">
        <w:rPr>
          <w:rFonts w:hint="cs"/>
          <w:rtl/>
          <w:lang w:bidi="ar-LB"/>
        </w:rPr>
        <w:t>غايتنا في هذا القسم هي دراسة المباني الاستدلاليّة لولاية الفقيه، ومدى إتقانها. ويعتبر التحليل النقديّ لأدلة وبراهين الحكومة الولائية خطوة على طريق إصلاح وتشذيب وتنقيح المباني المتقنة للجمهوريّة الإسلاميّة والحكومة الدينيّة. وقد رأيتُ أنه من المناسب أن أبدأ هذا القسم بكلام لمؤ</w:t>
      </w:r>
      <w:r>
        <w:rPr>
          <w:rFonts w:hint="cs"/>
          <w:rtl/>
          <w:lang w:bidi="ar-LB"/>
        </w:rPr>
        <w:t>سِّس الجمهوريّة الإسلاميّة السيد</w:t>
      </w:r>
      <w:r w:rsidRPr="00A32FC0">
        <w:rPr>
          <w:rFonts w:hint="cs"/>
          <w:rtl/>
          <w:lang w:bidi="ar-LB"/>
        </w:rPr>
        <w:t xml:space="preserve"> الخمينيّ: </w:t>
      </w:r>
      <w:r w:rsidRPr="00A32FC0">
        <w:rPr>
          <w:rFonts w:hint="cs"/>
          <w:rtl/>
        </w:rPr>
        <w:t>«</w:t>
      </w:r>
      <w:r w:rsidRPr="00A32FC0">
        <w:rPr>
          <w:rFonts w:hint="cs"/>
          <w:rtl/>
          <w:lang w:bidi="ar-LB"/>
        </w:rPr>
        <w:t xml:space="preserve">إن كتب فقهاء الإسلام الكبار مليئة باختلاف الرأي والسليقة والفهم في شتّى المواضيع العسكريّة والثقافيّة والسياسيّة والاقتصاديّة والعباديّة. وحيث إن هذه الاختلافات كانت سابقاً محصورة في محيط الدرس والبحث والمدرسة، وفي الكتب العلمية التي كتبت باللغة العربية أيضاً، فإنه من الطبيعي أن يكون الناس غير مطَّلعين عليها... وأمّا اليوم؛ ولحسن حظّنا، وببركة الثورة الإسلاميّة، فقد أصبح كلام الفقهاء والمفكِّرين يُعْرَض على الإذاعة والتلفزيون، ويكتب في الصحف؛ وذلك لأن هناك حاجة عمليّة لهذه الأبحاث </w:t>
      </w:r>
      <w:r w:rsidRPr="002905D2">
        <w:rPr>
          <w:rFonts w:hint="cs"/>
          <w:rtl/>
          <w:lang w:bidi="ar-LB"/>
        </w:rPr>
        <w:t>والمسائل. مثلاً...: حدود حرّية الفرد الاجتماعيّة... والأهمّ من هذا كلّه هو تعيين دائرة حاكميّة ولاية الفقيه في الدولة والمجتمع. وهذا كلّه يعدّ قسماً من آلاف المسائل التي يبتلى بها الناس والدولة</w:t>
      </w:r>
      <w:r w:rsidRPr="00A32FC0">
        <w:rPr>
          <w:rFonts w:hint="cs"/>
          <w:rtl/>
          <w:lang w:bidi="ar-LB"/>
        </w:rPr>
        <w:t xml:space="preserve">، والتي بحثها الفقهاء الكبار، واختلفت فيها وجهات نظرهم. وإذا كان هناك بعض المسائل التي لم تكن قد طرحت من قبل، أو لم يكن لها موضوع سابقاً، فعلى الفقهاء أن يتولَّوْا بحثها. </w:t>
      </w:r>
    </w:p>
    <w:p w:rsidR="00EA09EB" w:rsidRPr="00EA09EB" w:rsidRDefault="00EA09EB" w:rsidP="007A340E">
      <w:pPr>
        <w:ind w:firstLine="283"/>
        <w:rPr>
          <w:rtl/>
        </w:rPr>
      </w:pPr>
      <w:r w:rsidRPr="00EA09EB">
        <w:rPr>
          <w:rFonts w:hint="cs"/>
          <w:rtl/>
        </w:rPr>
        <w:t>ولذلك يجب أن يكون باب الاجتهاد في الحكومة الإسلاميّة مفتوحاً دائماً؛ فطبيعة الثورة والنظام تقتضي دائماً أن تُعرض الآراء الاجتماعيّة الفقهيّة بشكلٍ حرٍّ، في شتى الميادين، ولو كانت مخالفة لبعضها البعض، ولا يحقّ لأحدٍ أن يمنع هذا الأمر»</w:t>
      </w:r>
      <w:r w:rsidRPr="00064619">
        <w:rPr>
          <w:rFonts w:cs="Taher"/>
          <w:sz w:val="32"/>
          <w:vertAlign w:val="superscript"/>
          <w:rtl/>
        </w:rPr>
        <w:t>(</w:t>
      </w:r>
      <w:r w:rsidRPr="00064619">
        <w:rPr>
          <w:rStyle w:val="FootnoteReference"/>
          <w:rFonts w:cs="Taher"/>
          <w:sz w:val="32"/>
          <w:rtl/>
        </w:rPr>
        <w:footnoteReference w:id="486"/>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قبل الغوص في أدلّة وبراهين ومستندات ولاية الفقيه يجب علينا أن نجيب عن بعض الأسئلة من باب المقدّمة: هل تحتاج ولاية الفقيه إلى دليل أصلاً أم أنها من المسائل البديهيّة؟ وهل تعتبر ولاية الفقيه واحدة من ضروريّات الدين أو المذهب أو الفقه الشيعيّ؟ وهل تعتبر ولاية الفقيه ركناً من أركان مذهب الإماميّة؟ وهل تُعَدّ ولاية الفقيه أصلاً من الأصول الاعتقاديّة للشيعة، أو على الأقلّ هل تُعَدّ من المسائل العقائديّة عند الشيعة، أم أنها فرعٌ من الفروع الفقهيّة؟ </w:t>
      </w:r>
    </w:p>
    <w:p w:rsidR="00EA09EB" w:rsidRPr="00EA09EB" w:rsidRDefault="00EA09EB" w:rsidP="007A340E">
      <w:pPr>
        <w:ind w:firstLine="283"/>
        <w:rPr>
          <w:rtl/>
        </w:rPr>
      </w:pPr>
      <w:r w:rsidRPr="00EA09EB">
        <w:rPr>
          <w:rFonts w:hint="cs"/>
          <w:rtl/>
        </w:rPr>
        <w:t xml:space="preserve">بالنظر إلى هذه الأسئلة نرى أنه من الواضح </w:t>
      </w:r>
      <w:r w:rsidRPr="007A340E">
        <w:rPr>
          <w:rFonts w:hint="cs"/>
          <w:b/>
          <w:bCs/>
          <w:rtl/>
        </w:rPr>
        <w:t>أولاً</w:t>
      </w:r>
      <w:r w:rsidRPr="00EA09EB">
        <w:rPr>
          <w:rFonts w:hint="cs"/>
          <w:rtl/>
        </w:rPr>
        <w:t xml:space="preserve">: أنه يجب الرجوع إلى الأدلّة في حال لم نكن من القائلين ببداهة ولاية الفقيه. </w:t>
      </w:r>
    </w:p>
    <w:p w:rsidR="00EA09EB" w:rsidRPr="00EA09EB" w:rsidRDefault="00EA09EB" w:rsidP="007A340E">
      <w:pPr>
        <w:ind w:firstLine="283"/>
        <w:rPr>
          <w:rtl/>
        </w:rPr>
      </w:pPr>
      <w:r w:rsidRPr="007A340E">
        <w:rPr>
          <w:rFonts w:hint="cs"/>
          <w:b/>
          <w:bCs/>
          <w:rtl/>
        </w:rPr>
        <w:t>وثانياً</w:t>
      </w:r>
      <w:r w:rsidRPr="00EA09EB">
        <w:rPr>
          <w:rFonts w:hint="cs"/>
          <w:rtl/>
        </w:rPr>
        <w:t xml:space="preserve">: إذا اعتبرنا أن ولاية الفقيه مسألة نظريّة (غير بديهية)، سواء أكانت من المسائل العقائدية والكلامية أم من الفروع الفقهيّة، فإنّ معطيات الأدلّة في هذين المقامين (الكلام والفقه) سوف تكون مختلفة تماماً. </w:t>
      </w:r>
    </w:p>
    <w:p w:rsidR="00EA09EB" w:rsidRPr="00EA09EB" w:rsidRDefault="00EA09EB" w:rsidP="007A340E">
      <w:pPr>
        <w:ind w:firstLine="283"/>
        <w:rPr>
          <w:rtl/>
        </w:rPr>
      </w:pPr>
      <w:r w:rsidRPr="007A340E">
        <w:rPr>
          <w:rFonts w:hint="cs"/>
          <w:b/>
          <w:bCs/>
          <w:rtl/>
        </w:rPr>
        <w:t>وثالثاً</w:t>
      </w:r>
      <w:r w:rsidRPr="00EA09EB">
        <w:rPr>
          <w:rFonts w:hint="cs"/>
          <w:rtl/>
        </w:rPr>
        <w:t>: سواء اعتبرنا أن ولاية الفقيه هي من الأصول العقائديّة وأركان المذهب أم أنها من الفروع الاعتقاديّة فإن معطيات الأدلة في كلا الفرضين سوف تكون أيضاً مختلفة تماماً.</w:t>
      </w:r>
    </w:p>
    <w:p w:rsidR="00EA09EB" w:rsidRPr="00EA09EB" w:rsidRDefault="00EA09EB" w:rsidP="007A340E">
      <w:pPr>
        <w:ind w:firstLine="283"/>
        <w:rPr>
          <w:rtl/>
        </w:rPr>
      </w:pPr>
      <w:r w:rsidRPr="007A340E">
        <w:rPr>
          <w:rFonts w:hint="cs"/>
          <w:b/>
          <w:bCs/>
          <w:rtl/>
        </w:rPr>
        <w:t>ورابعاً</w:t>
      </w:r>
      <w:r w:rsidRPr="00EA09EB">
        <w:rPr>
          <w:rFonts w:hint="cs"/>
          <w:rtl/>
        </w:rPr>
        <w:t xml:space="preserve">: إذا اعتبرنا أنّ ولاية الفقيه فرعٌ فقهيٌّ فسواء كانت تعدّ من الضروريات الفقهية أم لا فإنّ معطيات الأدلة سوف تكون مختلفة أيضاً، بل سوف تختلف كيفيّة الحاجة إلى الدليل. </w:t>
      </w:r>
    </w:p>
    <w:p w:rsidR="00EA09EB" w:rsidRPr="00A32FC0" w:rsidRDefault="00EA09EB" w:rsidP="00EA09EB">
      <w:pPr>
        <w:rPr>
          <w:rtl/>
          <w:lang w:bidi="ar-LB"/>
        </w:rPr>
      </w:pPr>
      <w:r w:rsidRPr="00A32FC0">
        <w:rPr>
          <w:rFonts w:hint="cs"/>
          <w:rtl/>
          <w:lang w:bidi="ar-LB"/>
        </w:rPr>
        <w:t>وحتى تتوضَّح لنا معطيات الأدلّة، ويتبيَّن لنا أنه في الأصل هل نحتاج إلى أدلّة إثبات في هذا المجال أم أن هذه الأدلّة والبراهين قد صيغت للتأييد والتنبيه، دون الإثبات؟ وهل نتوقّع من الأدلة أن تفيد اليقين أم أنّ الظن المعتبر كافٍ في المقام؟ لابدّ لنا أن نجيب عن الأسئلة التي طرحناها.</w:t>
      </w:r>
    </w:p>
    <w:p w:rsidR="007A340E" w:rsidRDefault="00EA09EB" w:rsidP="007A340E">
      <w:pPr>
        <w:pStyle w:val="Heading2"/>
        <w:jc w:val="center"/>
        <w:rPr>
          <w:rtl/>
        </w:rPr>
      </w:pPr>
      <w:r w:rsidRPr="00EA09EB">
        <w:rPr>
          <w:rtl/>
        </w:rPr>
        <w:br w:type="page"/>
      </w:r>
    </w:p>
    <w:p w:rsidR="007A340E" w:rsidRDefault="007A340E" w:rsidP="007A340E">
      <w:pPr>
        <w:rPr>
          <w:rtl/>
          <w:lang w:bidi="ar-LB"/>
        </w:rPr>
        <w:sectPr w:rsidR="007A340E" w:rsidSect="009003FC">
          <w:headerReference w:type="even" r:id="rId46"/>
          <w:headerReference w:type="default" r:id="rId47"/>
          <w:headerReference w:type="first" r:id="rId48"/>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50" w:name="_Toc413658832"/>
      <w:r w:rsidRPr="00E2207F">
        <w:rPr>
          <w:rFonts w:hint="cs"/>
          <w:rtl/>
          <w:lang w:bidi="ar-LB"/>
        </w:rPr>
        <w:t>الفصل الثالث عشر: دراسة بداهة مسألة و</w:t>
      </w:r>
      <w:r w:rsidRPr="007A340E">
        <w:rPr>
          <w:rFonts w:hint="cs"/>
          <w:rtl/>
        </w:rPr>
        <w:t>لاية الفقيه وضرورتها العقليّة</w:t>
      </w:r>
      <w:bookmarkEnd w:id="50"/>
    </w:p>
    <w:p w:rsidR="00EA09EB" w:rsidRPr="00A32FC0" w:rsidRDefault="00EA09EB" w:rsidP="00EA09EB">
      <w:pPr>
        <w:rPr>
          <w:rtl/>
          <w:lang w:bidi="ar-LB"/>
        </w:rPr>
      </w:pPr>
      <w:r w:rsidRPr="00A32FC0">
        <w:rPr>
          <w:rFonts w:hint="cs"/>
          <w:rtl/>
          <w:lang w:bidi="ar-LB"/>
        </w:rPr>
        <w:t xml:space="preserve">المعلوم بالعلم اليقينيّ لا يخرج عن إحدى حالتين: إما بديهيّ وضروريّ، بمعنى أنه لا يحتاج إلى إعمال نظر وفكر، من قبيل: الكلّ أكبر من الجزء، أو اجتماع النقيضين محال، والواحد نصف الاثنين، والشمس مضيئة، و...؛ وإما أن يكون نظرياً، بمعنى أن التصديق به يحتاج إلى إعمال نظر وفكر واستدلال ودليل، وذلك من قبيل: إنّ الله واحدٌ، والبشر بحاجة إلى أنبياء، وإنّ هداية البشر بعد النبيّ تحتاج إلى إمام معصوم، وإنّ يوم القيامة آتٍ، والله عادل، وجميع القضايا التي تحتاج إلى بحث وبرهان في العلوم العقليّة والنقلية. </w:t>
      </w:r>
    </w:p>
    <w:p w:rsidR="00EA09EB" w:rsidRPr="00A32FC0" w:rsidRDefault="00EA09EB" w:rsidP="00EA09EB">
      <w:pPr>
        <w:rPr>
          <w:rtl/>
          <w:lang w:bidi="ar-LB"/>
        </w:rPr>
      </w:pPr>
      <w:r w:rsidRPr="00A32FC0">
        <w:rPr>
          <w:rFonts w:hint="cs"/>
          <w:rtl/>
          <w:lang w:bidi="ar-LB"/>
        </w:rPr>
        <w:t xml:space="preserve">أهم البديهيّات والضروريّات العقلية هي </w:t>
      </w:r>
      <w:r w:rsidRPr="00A32FC0">
        <w:rPr>
          <w:rFonts w:hint="cs"/>
          <w:rtl/>
        </w:rPr>
        <w:t>«</w:t>
      </w:r>
      <w:r w:rsidRPr="00A32FC0">
        <w:rPr>
          <w:rFonts w:hint="cs"/>
          <w:rtl/>
          <w:lang w:bidi="ar-LB"/>
        </w:rPr>
        <w:t>الأوّليّات</w:t>
      </w:r>
      <w:r w:rsidRPr="00A32FC0">
        <w:rPr>
          <w:rFonts w:hint="cs"/>
          <w:rtl/>
        </w:rPr>
        <w:t>»</w:t>
      </w:r>
      <w:r w:rsidRPr="00A32FC0">
        <w:rPr>
          <w:rFonts w:hint="cs"/>
          <w:rtl/>
          <w:lang w:bidi="ar-LB"/>
        </w:rPr>
        <w:t>.</w:t>
      </w:r>
    </w:p>
    <w:p w:rsidR="00EA09EB" w:rsidRPr="00A32FC0" w:rsidRDefault="00EA09EB" w:rsidP="00EA09EB">
      <w:pPr>
        <w:rPr>
          <w:rtl/>
          <w:lang w:bidi="ar-LB"/>
        </w:rPr>
      </w:pPr>
      <w:r w:rsidRPr="00A32FC0">
        <w:rPr>
          <w:rFonts w:hint="cs"/>
          <w:rtl/>
          <w:lang w:bidi="ar-LB"/>
        </w:rPr>
        <w:t>والبديهيات الأوّليّة هي القضايا التي يحكم بها العقل، ويصدّق بها، بدون حاجة إلى شيءٍ خارج عن ذاته، بمعنى أنه يكفي تصوُّر الموضوع والمحمول (أو المقدَّم والتالي)، وتصوُّر النسبة بينهما،</w:t>
      </w:r>
      <w:r w:rsidRPr="00434C71">
        <w:rPr>
          <w:rFonts w:hint="cs"/>
          <w:sz w:val="26"/>
          <w:szCs w:val="28"/>
          <w:rtl/>
          <w:lang w:bidi="ar-LB"/>
        </w:rPr>
        <w:t xml:space="preserve"> ليحكم العقل ويجزم بصدق القضية، فإنّ العقل بمجرَّد أن يتصوَّر أطراف القضية (الموضوع والمحمول) سوف يصدّق بها.</w:t>
      </w:r>
    </w:p>
    <w:p w:rsidR="00EA09EB" w:rsidRPr="00EA09EB" w:rsidRDefault="00EA09EB" w:rsidP="007A340E">
      <w:pPr>
        <w:ind w:firstLine="283"/>
        <w:rPr>
          <w:rtl/>
        </w:rPr>
      </w:pPr>
      <w:r w:rsidRPr="00EA09EB">
        <w:rPr>
          <w:rFonts w:hint="cs"/>
          <w:rtl/>
        </w:rPr>
        <w:t>وأما البديهيّات الثانويّة وإنْ كانت لا تحتاج إلى إعمال فكر واستدلال إلاّ أنّها تحتاج إلى واسطة غير فكريّة (القياس الخفيّ). وذلك من قبيل: الحسّ، التجربة، النقل المتواتر، الحدس، أو حدٍّ وسطٍ حاضرٍ في الذهن؛ والأقسام الخمسة من البديهيّات هي: المشاهدات، والتجريبيّات، والمتواترات، والحدسيّات، والفطريّات (قضايا قياساتها معها)</w:t>
      </w:r>
      <w:r w:rsidRPr="00064619">
        <w:rPr>
          <w:rFonts w:cs="Taher"/>
          <w:sz w:val="32"/>
          <w:vertAlign w:val="superscript"/>
          <w:rtl/>
          <w:lang w:bidi="ar-LB"/>
        </w:rPr>
        <w:t>(</w:t>
      </w:r>
      <w:r w:rsidRPr="00064619">
        <w:rPr>
          <w:rStyle w:val="FootnoteReference"/>
          <w:rFonts w:cs="Taher"/>
          <w:sz w:val="32"/>
          <w:rtl/>
          <w:lang w:bidi="ar-LB"/>
        </w:rPr>
        <w:footnoteReference w:id="487"/>
      </w:r>
      <w:r w:rsidRPr="00064619">
        <w:rPr>
          <w:rFonts w:cs="Taher"/>
          <w:sz w:val="32"/>
          <w:vertAlign w:val="superscript"/>
          <w:rtl/>
          <w:lang w:bidi="ar-LB"/>
        </w:rPr>
        <w:t>)</w:t>
      </w:r>
      <w:r w:rsidRPr="00EA09EB">
        <w:rPr>
          <w:rFonts w:hint="cs"/>
          <w:rtl/>
        </w:rPr>
        <w:t xml:space="preserve">. </w:t>
      </w:r>
    </w:p>
    <w:p w:rsidR="00EA09EB" w:rsidRPr="00A32FC0" w:rsidRDefault="00EA09EB" w:rsidP="00EA09EB">
      <w:pPr>
        <w:rPr>
          <w:rtl/>
          <w:lang w:bidi="ar-LB"/>
        </w:rPr>
      </w:pPr>
      <w:r w:rsidRPr="00A32FC0">
        <w:rPr>
          <w:rFonts w:hint="cs"/>
          <w:rtl/>
          <w:lang w:bidi="ar-LB"/>
        </w:rPr>
        <w:t>والسؤال هنا: هل تعتبر ولاية الفقيه بديهيّة لا تحتاج إلى دليل أم أنها نظريّة وبحاجة إلى استدلال؟ وإذا كانت بديهية فهل هي من البديهيّات الأوّليّة أم من البديهيات الثانويّة؟</w:t>
      </w:r>
    </w:p>
    <w:p w:rsidR="00EA09EB" w:rsidRPr="00A32FC0" w:rsidRDefault="00EA09EB" w:rsidP="00EA09EB">
      <w:pPr>
        <w:rPr>
          <w:rtl/>
          <w:lang w:bidi="ar-LB"/>
        </w:rPr>
      </w:pPr>
      <w:r w:rsidRPr="00EA09EB">
        <w:rPr>
          <w:rFonts w:hint="cs"/>
          <w:rtl/>
        </w:rPr>
        <w:t>قال السيد الخمينيّ في كتابه «البيع»، بعد إقامة الدليل العقليّ على الحكومة الإسلاميّة في كلّ زمان: «وما ذكرنا وإنْ كان من واضحات العقل؛ فإنّ لزوم الحكومة؛ لبسط العدالة والتعليم والتربية وحفظ النظم ورفع الظلم وسدّ الثغور والمنع عن تجاوز الأجانب، من أوضح أحكام العقول، من غير فرق بين عصر وعصر، ومصر ومصر، ومع ذلك فقد دلّ عليه الدليل الشرعيّ أيضاً»</w:t>
      </w:r>
      <w:r w:rsidRPr="00064619">
        <w:rPr>
          <w:rFonts w:cs="Taher"/>
          <w:vertAlign w:val="superscript"/>
          <w:rtl/>
        </w:rPr>
        <w:t>(</w:t>
      </w:r>
      <w:r w:rsidRPr="00064619">
        <w:rPr>
          <w:rStyle w:val="FootnoteReference"/>
          <w:rFonts w:cs="Taher"/>
          <w:sz w:val="32"/>
          <w:rtl/>
        </w:rPr>
        <w:footnoteReference w:id="488"/>
      </w:r>
      <w:r w:rsidRPr="00064619">
        <w:rPr>
          <w:rFonts w:cs="Taher"/>
          <w:vertAlign w:val="superscript"/>
          <w:rtl/>
        </w:rPr>
        <w:t>)</w:t>
      </w:r>
      <w:r w:rsidRPr="00A32FC0">
        <w:rPr>
          <w:rFonts w:hint="cs"/>
          <w:rtl/>
          <w:lang w:bidi="ar-LB"/>
        </w:rPr>
        <w:t>.</w:t>
      </w:r>
    </w:p>
    <w:p w:rsidR="00EA09EB" w:rsidRPr="002905D2" w:rsidRDefault="00EA09EB" w:rsidP="00887CCF">
      <w:pPr>
        <w:pStyle w:val="Normal87"/>
        <w:rPr>
          <w:rtl/>
        </w:rPr>
      </w:pPr>
      <w:r w:rsidRPr="00A32FC0">
        <w:rPr>
          <w:rFonts w:hint="cs"/>
          <w:rtl/>
        </w:rPr>
        <w:t>وفي تتمّة هذا البحث في كتاب «البيع»</w:t>
      </w:r>
      <w:r>
        <w:rPr>
          <w:rFonts w:hint="cs"/>
          <w:rtl/>
        </w:rPr>
        <w:t xml:space="preserve"> صرّح السيد الخميني</w:t>
      </w:r>
      <w:r w:rsidRPr="00A32FC0">
        <w:rPr>
          <w:rFonts w:hint="cs"/>
          <w:rtl/>
        </w:rPr>
        <w:t xml:space="preserve">: «فولاية الفقيه </w:t>
      </w:r>
      <w:r w:rsidRPr="00A32FC0">
        <w:rPr>
          <w:rtl/>
        </w:rPr>
        <w:t>ـ</w:t>
      </w:r>
      <w:r w:rsidRPr="00A32FC0">
        <w:rPr>
          <w:rFonts w:hint="cs"/>
          <w:rtl/>
        </w:rPr>
        <w:t xml:space="preserve"> بعد تصوُّر أطراف القضية </w:t>
      </w:r>
      <w:r w:rsidRPr="00A32FC0">
        <w:rPr>
          <w:rtl/>
        </w:rPr>
        <w:t>ـ</w:t>
      </w:r>
      <w:r w:rsidRPr="00A32FC0">
        <w:rPr>
          <w:rFonts w:hint="cs"/>
          <w:rtl/>
        </w:rPr>
        <w:t xml:space="preserve"> ليست أمراً نظريّاً يحتاج إلى </w:t>
      </w:r>
      <w:r w:rsidRPr="002905D2">
        <w:rPr>
          <w:rFonts w:hint="cs"/>
          <w:rtl/>
        </w:rPr>
        <w:t>برهان، ومع ذلك فقد دلَّت الروايات عليها بهذا المعنى الوسيع»</w:t>
      </w:r>
      <w:r w:rsidRPr="00064619">
        <w:rPr>
          <w:rFonts w:cs="Taher"/>
          <w:vertAlign w:val="superscript"/>
          <w:rtl/>
        </w:rPr>
        <w:t>(</w:t>
      </w:r>
      <w:r w:rsidRPr="00064619">
        <w:rPr>
          <w:rStyle w:val="FootnoteReference"/>
          <w:rFonts w:cs="Taher"/>
          <w:sz w:val="32"/>
          <w:rtl/>
        </w:rPr>
        <w:footnoteReference w:id="489"/>
      </w:r>
      <w:r w:rsidRPr="00064619">
        <w:rPr>
          <w:rFonts w:cs="Taher"/>
          <w:vertAlign w:val="superscript"/>
          <w:rtl/>
        </w:rPr>
        <w:t>)</w:t>
      </w:r>
      <w:r w:rsidRPr="002905D2">
        <w:rPr>
          <w:rFonts w:hint="cs"/>
          <w:rtl/>
        </w:rPr>
        <w:t>.</w:t>
      </w:r>
    </w:p>
    <w:p w:rsidR="00EA09EB" w:rsidRPr="00A32FC0" w:rsidRDefault="00EA09EB" w:rsidP="00887CCF">
      <w:pPr>
        <w:pStyle w:val="Normal87"/>
        <w:rPr>
          <w:rtl/>
        </w:rPr>
      </w:pPr>
      <w:r w:rsidRPr="00A32FC0">
        <w:rPr>
          <w:rFonts w:hint="cs"/>
          <w:rtl/>
        </w:rPr>
        <w:t>وقال في بداية كتاب «ولاية الفقيه»: «ولاية الفقيه من المواضيع التي يوجب تصوّرها التصديق بها، فهي لا تحتاج ل</w:t>
      </w:r>
      <w:r>
        <w:rPr>
          <w:rFonts w:hint="cs"/>
          <w:rtl/>
        </w:rPr>
        <w:t>أيّ</w:t>
      </w:r>
      <w:r w:rsidRPr="00A32FC0">
        <w:rPr>
          <w:rFonts w:hint="cs"/>
          <w:rtl/>
        </w:rPr>
        <w:t xml:space="preserve"> برهنة؛ وذلك بمعنى أنّ كلّ مَنْ أدرك العقائد والأحكام الإسلاميّة </w:t>
      </w:r>
      <w:r w:rsidRPr="00A32FC0">
        <w:rPr>
          <w:rtl/>
        </w:rPr>
        <w:t>ـ</w:t>
      </w:r>
      <w:r w:rsidRPr="00A32FC0">
        <w:rPr>
          <w:rFonts w:hint="cs"/>
          <w:rtl/>
        </w:rPr>
        <w:t xml:space="preserve"> ولو إجمالاً </w:t>
      </w:r>
      <w:r w:rsidRPr="00A32FC0">
        <w:rPr>
          <w:rtl/>
        </w:rPr>
        <w:t>ـ</w:t>
      </w:r>
      <w:r w:rsidRPr="00A32FC0">
        <w:rPr>
          <w:rFonts w:hint="cs"/>
          <w:rtl/>
        </w:rPr>
        <w:t>، وبمجرَّد أن يصل إلى ولاية الفقيه، ويتصوَّرها، فسيصدق بها فوراً، وسيجدها ضروريّة وبديهيّة»</w:t>
      </w:r>
      <w:r w:rsidRPr="00064619">
        <w:rPr>
          <w:rFonts w:cs="Taher"/>
          <w:vertAlign w:val="superscript"/>
          <w:rtl/>
        </w:rPr>
        <w:t>(</w:t>
      </w:r>
      <w:r w:rsidRPr="00064619">
        <w:rPr>
          <w:rStyle w:val="FootnoteReference"/>
          <w:rFonts w:cs="Taher"/>
          <w:sz w:val="32"/>
          <w:rtl/>
        </w:rPr>
        <w:footnoteReference w:id="490"/>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lang w:bidi="ar-LB"/>
        </w:rPr>
        <w:t xml:space="preserve">بناءً على ظاهرة العبارة الثانية يفهم </w:t>
      </w:r>
      <w:r w:rsidRPr="00A32FC0">
        <w:rPr>
          <w:rFonts w:hint="cs"/>
          <w:b/>
          <w:bCs/>
          <w:rtl/>
          <w:lang w:bidi="ar-LB"/>
        </w:rPr>
        <w:t>أولاً</w:t>
      </w:r>
      <w:r w:rsidRPr="00EA09EB">
        <w:rPr>
          <w:rFonts w:hint="cs"/>
          <w:rtl/>
        </w:rPr>
        <w:t xml:space="preserve">: إنّ ولاية الفقيه أمر بديهيّ، وليس نظرياً. </w:t>
      </w:r>
    </w:p>
    <w:p w:rsidR="00EA09EB" w:rsidRPr="00EA09EB" w:rsidRDefault="00EA09EB" w:rsidP="007A340E">
      <w:pPr>
        <w:ind w:firstLine="283"/>
        <w:rPr>
          <w:rtl/>
        </w:rPr>
      </w:pPr>
      <w:r w:rsidRPr="007A340E">
        <w:rPr>
          <w:rFonts w:hint="cs"/>
          <w:b/>
          <w:bCs/>
          <w:rtl/>
        </w:rPr>
        <w:t>ثانياً</w:t>
      </w:r>
      <w:r w:rsidRPr="00EA09EB">
        <w:rPr>
          <w:rFonts w:hint="cs"/>
          <w:rtl/>
        </w:rPr>
        <w:t>: إنها من البديهيّات الأوّليّة، التي يكفي فيها مجرَّد تصوّر أطراف القضيّة للتصديق بها.</w:t>
      </w:r>
    </w:p>
    <w:p w:rsidR="00EA09EB" w:rsidRPr="00EA09EB" w:rsidRDefault="00EA09EB" w:rsidP="007A340E">
      <w:pPr>
        <w:ind w:firstLine="283"/>
        <w:rPr>
          <w:rtl/>
        </w:rPr>
      </w:pPr>
      <w:r w:rsidRPr="007A340E">
        <w:rPr>
          <w:rFonts w:hint="cs"/>
          <w:b/>
          <w:bCs/>
          <w:rtl/>
        </w:rPr>
        <w:t>ثالثاً</w:t>
      </w:r>
      <w:r w:rsidRPr="00EA09EB">
        <w:rPr>
          <w:rFonts w:hint="cs"/>
          <w:rtl/>
        </w:rPr>
        <w:t>: إن الروايات التي تدلّ على ولاية الفقيه تُعَدّ إرشاداً لحكم العقل، ومبيِّنةً لحكم ارتكازيّ. فهي تنبيه لحكم العقل، وليست دليلاً.</w:t>
      </w:r>
    </w:p>
    <w:p w:rsidR="00EA09EB" w:rsidRPr="00A32FC0" w:rsidRDefault="00EA09EB" w:rsidP="00EA09EB">
      <w:pPr>
        <w:rPr>
          <w:rtl/>
          <w:lang w:bidi="ar-LB"/>
        </w:rPr>
      </w:pPr>
      <w:r w:rsidRPr="00A32FC0">
        <w:rPr>
          <w:rFonts w:hint="cs"/>
          <w:rtl/>
          <w:lang w:bidi="ar-LB"/>
        </w:rPr>
        <w:t>ولفهم المراد ممّا تقدّم لابدّ من الالتفات إلى النقاط التالية:</w:t>
      </w:r>
    </w:p>
    <w:p w:rsidR="00EA09EB" w:rsidRPr="00EA09EB" w:rsidRDefault="00EA09EB" w:rsidP="007A340E">
      <w:pPr>
        <w:ind w:firstLine="283"/>
        <w:rPr>
          <w:rtl/>
        </w:rPr>
      </w:pPr>
      <w:r w:rsidRPr="007A340E">
        <w:rPr>
          <w:rFonts w:hint="cs"/>
          <w:b/>
          <w:bCs/>
          <w:rtl/>
        </w:rPr>
        <w:t>الأولى</w:t>
      </w:r>
      <w:r w:rsidRPr="00EA09EB">
        <w:rPr>
          <w:rFonts w:hint="cs"/>
          <w:rtl/>
        </w:rPr>
        <w:t>: إن القضايا العقليّة هي قضايا عامّة، وليست شخصية (من قبيل: الكشف والشهود العرفاني)، ويجب أن تكون قابلة للتعليم والنقل.</w:t>
      </w:r>
    </w:p>
    <w:p w:rsidR="00EA09EB" w:rsidRPr="00EA09EB" w:rsidRDefault="00EA09EB" w:rsidP="007A340E">
      <w:pPr>
        <w:ind w:firstLine="283"/>
        <w:rPr>
          <w:rtl/>
        </w:rPr>
      </w:pPr>
      <w:r w:rsidRPr="007A340E">
        <w:rPr>
          <w:rFonts w:hint="cs"/>
          <w:b/>
          <w:bCs/>
          <w:rtl/>
        </w:rPr>
        <w:t>الثانية</w:t>
      </w:r>
      <w:r w:rsidRPr="00EA09EB">
        <w:rPr>
          <w:rFonts w:hint="cs"/>
          <w:rtl/>
        </w:rPr>
        <w:t>: إن العقلاء من حيث هم عقلاء لا يعتبرون القضيّة المذكورة بديهيّة.</w:t>
      </w:r>
    </w:p>
    <w:p w:rsidR="00EA09EB" w:rsidRPr="00EA09EB" w:rsidRDefault="00EA09EB" w:rsidP="007A340E">
      <w:pPr>
        <w:ind w:firstLine="283"/>
        <w:rPr>
          <w:rtl/>
        </w:rPr>
      </w:pPr>
      <w:r w:rsidRPr="007A340E">
        <w:rPr>
          <w:rFonts w:hint="cs"/>
          <w:b/>
          <w:bCs/>
          <w:rtl/>
        </w:rPr>
        <w:t>الثالثة</w:t>
      </w:r>
      <w:r w:rsidRPr="00EA09EB">
        <w:rPr>
          <w:rFonts w:hint="cs"/>
          <w:rtl/>
        </w:rPr>
        <w:t>: إن الكثير من علماء الإسلام وفقهاء الشيعة لا يصدِّقون بهذه القضيّة أصلاً، فضلاً عن اعتبارها بديهيّة أوّليّة.</w:t>
      </w:r>
    </w:p>
    <w:p w:rsidR="00EA09EB" w:rsidRPr="00EA09EB" w:rsidRDefault="00EA09EB" w:rsidP="007A340E">
      <w:pPr>
        <w:ind w:firstLine="283"/>
        <w:rPr>
          <w:rtl/>
        </w:rPr>
      </w:pPr>
      <w:r w:rsidRPr="007A340E">
        <w:rPr>
          <w:rFonts w:hint="cs"/>
          <w:b/>
          <w:bCs/>
          <w:rtl/>
        </w:rPr>
        <w:t>الرابعة</w:t>
      </w:r>
      <w:r w:rsidRPr="00EA09EB">
        <w:rPr>
          <w:rFonts w:hint="cs"/>
          <w:rtl/>
        </w:rPr>
        <w:t>: إن هناك قضايا أهمّ بكثير من قضيّة ولاية الفقيه، كالتوحيد، والنبوة، والمعاد، والعدالة، و... وقد اتَّفق علماء جميع المذاهب الإسلاميّة على أنها ليست بديهيّة، بل هي نظريّة، وتحتاج إلى دليل.</w:t>
      </w:r>
    </w:p>
    <w:p w:rsidR="00EA09EB" w:rsidRPr="00A32FC0" w:rsidRDefault="00EA09EB" w:rsidP="00EA09EB">
      <w:pPr>
        <w:rPr>
          <w:rtl/>
          <w:lang w:bidi="ar-LB"/>
        </w:rPr>
      </w:pPr>
      <w:r w:rsidRPr="00A32FC0">
        <w:rPr>
          <w:rFonts w:hint="cs"/>
          <w:rtl/>
          <w:lang w:bidi="ar-LB"/>
        </w:rPr>
        <w:t>وبالالتفات إلى هذه النقاط الأ</w:t>
      </w:r>
      <w:r>
        <w:rPr>
          <w:rFonts w:hint="cs"/>
          <w:rtl/>
          <w:lang w:bidi="ar-LB"/>
        </w:rPr>
        <w:t>ربع يظهر لنا أنْ ليس مراد السيد</w:t>
      </w:r>
      <w:r w:rsidRPr="00A32FC0">
        <w:rPr>
          <w:rFonts w:hint="cs"/>
          <w:rtl/>
          <w:lang w:bidi="ar-LB"/>
        </w:rPr>
        <w:t xml:space="preserve"> الخمينيّ من كلماته المذكورة بداهة ولاية الفقيه الأوّليّة.</w:t>
      </w:r>
    </w:p>
    <w:p w:rsidR="00EA09EB" w:rsidRPr="00A32FC0" w:rsidRDefault="00EA09EB" w:rsidP="00EA09EB">
      <w:pPr>
        <w:rPr>
          <w:rtl/>
          <w:lang w:bidi="ar-LB"/>
        </w:rPr>
      </w:pPr>
      <w:r w:rsidRPr="00A32FC0">
        <w:rPr>
          <w:rFonts w:hint="cs"/>
          <w:rtl/>
          <w:lang w:bidi="ar-LB"/>
        </w:rPr>
        <w:t>وبالرجوع إلى العبارة الأولى</w:t>
      </w:r>
      <w:r>
        <w:rPr>
          <w:rFonts w:hint="cs"/>
          <w:rtl/>
          <w:lang w:bidi="ar-LB"/>
        </w:rPr>
        <w:t xml:space="preserve"> للسيد الخميني</w:t>
      </w:r>
      <w:r w:rsidRPr="00A32FC0">
        <w:rPr>
          <w:rFonts w:hint="cs"/>
          <w:rtl/>
          <w:lang w:bidi="ar-LB"/>
        </w:rPr>
        <w:t xml:space="preserve">، وبالالتفات إلى قوله الصريح: </w:t>
      </w:r>
      <w:r w:rsidRPr="00A32FC0">
        <w:rPr>
          <w:rFonts w:hint="cs"/>
          <w:rtl/>
        </w:rPr>
        <w:t>«</w:t>
      </w:r>
      <w:r w:rsidRPr="00A32FC0">
        <w:rPr>
          <w:rFonts w:hint="cs"/>
          <w:rtl/>
          <w:lang w:bidi="ar-LB"/>
        </w:rPr>
        <w:t>واضحات العقل</w:t>
      </w:r>
      <w:r w:rsidRPr="00A32FC0">
        <w:rPr>
          <w:rFonts w:hint="cs"/>
          <w:rtl/>
        </w:rPr>
        <w:t>»</w:t>
      </w:r>
      <w:r w:rsidRPr="00A32FC0">
        <w:rPr>
          <w:rFonts w:hint="cs"/>
          <w:rtl/>
          <w:lang w:bidi="ar-LB"/>
        </w:rPr>
        <w:t xml:space="preserve">، الذي جاء بعد إقامة دليل عقليّ على ضرورة الحكومة الإسلاميّة، لا يبقى هناك شكّ في أن المراد من </w:t>
      </w:r>
      <w:r w:rsidRPr="00A32FC0">
        <w:rPr>
          <w:rFonts w:hint="cs"/>
          <w:rtl/>
        </w:rPr>
        <w:t>«</w:t>
      </w:r>
      <w:r w:rsidRPr="00A32FC0">
        <w:rPr>
          <w:rFonts w:hint="cs"/>
          <w:rtl/>
          <w:lang w:bidi="ar-LB"/>
        </w:rPr>
        <w:t>واضحات العقل</w:t>
      </w:r>
      <w:r w:rsidRPr="00A32FC0">
        <w:rPr>
          <w:rFonts w:hint="cs"/>
          <w:rtl/>
        </w:rPr>
        <w:t>»</w:t>
      </w:r>
      <w:r w:rsidRPr="00A32FC0">
        <w:rPr>
          <w:rFonts w:hint="cs"/>
          <w:rtl/>
          <w:lang w:bidi="ar-LB"/>
        </w:rPr>
        <w:t xml:space="preserve"> ليس العقل البديهيّ، بل المراد هو أمر نظريّ غير خفيّ وغير واضح.</w:t>
      </w:r>
      <w:r>
        <w:rPr>
          <w:rFonts w:hint="cs"/>
          <w:rtl/>
          <w:lang w:bidi="ar-LB"/>
        </w:rPr>
        <w:t xml:space="preserve"> ويؤيِّد ذلك وجود قرينة في عبارته</w:t>
      </w:r>
      <w:r w:rsidRPr="00A32FC0">
        <w:rPr>
          <w:rFonts w:hint="cs"/>
          <w:rtl/>
          <w:lang w:bidi="ar-LB"/>
        </w:rPr>
        <w:t xml:space="preserve"> الأخيرة تدلّ على أنْ ليس مراده بداهة ولاية الفقيه العقليّة، وإنّما هو </w:t>
      </w:r>
      <w:r w:rsidRPr="00A32FC0">
        <w:rPr>
          <w:rtl/>
          <w:lang w:bidi="ar-LB"/>
        </w:rPr>
        <w:t>ـ</w:t>
      </w:r>
      <w:r w:rsidRPr="00A32FC0">
        <w:rPr>
          <w:rFonts w:hint="cs"/>
          <w:rtl/>
          <w:lang w:bidi="ar-LB"/>
        </w:rPr>
        <w:t xml:space="preserve"> في أحسن الأحوال </w:t>
      </w:r>
      <w:r w:rsidRPr="00A32FC0">
        <w:rPr>
          <w:rtl/>
          <w:lang w:bidi="ar-LB"/>
        </w:rPr>
        <w:t>ـ</w:t>
      </w:r>
      <w:r w:rsidRPr="00A32FC0">
        <w:rPr>
          <w:rFonts w:hint="cs"/>
          <w:rtl/>
          <w:lang w:bidi="ar-LB"/>
        </w:rPr>
        <w:t xml:space="preserve"> ضرورتها الشرعيّة، بمعنى </w:t>
      </w:r>
      <w:r w:rsidRPr="00A32FC0">
        <w:rPr>
          <w:rFonts w:hint="cs"/>
          <w:rtl/>
        </w:rPr>
        <w:t>«</w:t>
      </w:r>
      <w:r w:rsidRPr="00A32FC0">
        <w:rPr>
          <w:rFonts w:hint="cs"/>
          <w:rtl/>
          <w:lang w:bidi="ar-LB"/>
        </w:rPr>
        <w:t>أن كلّ مَنْ أدرك العقائد الإسلاميّة ـ ولو إجمالاً ـ، وبمجرَّد أن يصل إلى ولاية الفقيه، ويتصوَّرها، فسيصدق بها فوراً، وسيجدها ضروريّة وبديهيّة</w:t>
      </w:r>
      <w:r w:rsidRPr="00A32FC0">
        <w:rPr>
          <w:rFonts w:hint="cs"/>
          <w:rtl/>
        </w:rPr>
        <w:t>»</w:t>
      </w:r>
      <w:r w:rsidRPr="00A32FC0">
        <w:rPr>
          <w:rFonts w:hint="cs"/>
          <w:rtl/>
          <w:lang w:bidi="ar-LB"/>
        </w:rPr>
        <w:t>.</w:t>
      </w:r>
    </w:p>
    <w:p w:rsidR="00EA09EB" w:rsidRPr="00EA09EB" w:rsidRDefault="00EA09EB" w:rsidP="007A340E">
      <w:pPr>
        <w:ind w:firstLine="283"/>
        <w:rPr>
          <w:rtl/>
        </w:rPr>
      </w:pPr>
      <w:r w:rsidRPr="00EA09EB">
        <w:rPr>
          <w:rFonts w:hint="cs"/>
          <w:rtl/>
        </w:rPr>
        <w:t xml:space="preserve">إذاً فهذا التصديق متوقِّف على أمرين: </w:t>
      </w:r>
      <w:r w:rsidRPr="007A340E">
        <w:rPr>
          <w:rFonts w:hint="cs"/>
          <w:b/>
          <w:bCs/>
          <w:rtl/>
        </w:rPr>
        <w:t>الأول</w:t>
      </w:r>
      <w:r w:rsidRPr="00EA09EB">
        <w:rPr>
          <w:rFonts w:hint="cs"/>
          <w:rtl/>
        </w:rPr>
        <w:t xml:space="preserve">: إدراك عقائد الإسلام وأحكامه؛ </w:t>
      </w:r>
      <w:r w:rsidRPr="007A340E">
        <w:rPr>
          <w:rFonts w:hint="cs"/>
          <w:b/>
          <w:bCs/>
          <w:rtl/>
        </w:rPr>
        <w:t>والثاني</w:t>
      </w:r>
      <w:r w:rsidRPr="00EA09EB">
        <w:rPr>
          <w:rFonts w:hint="cs"/>
          <w:rtl/>
        </w:rPr>
        <w:t>: تصوُّر أطراف القضية. وحيث إن الأمر الأوّل ليس بديهيّاً، بل إنّ قسماً منها ليس عقليّاً، والنتيجة تتبع أخسّ المقدِّمتين، فعلى أساس العبارة السابقة نستنتج أن ولاية الفقيه ليست من البديهيات العقليّة، فضلاً عن أنها من البديهيّات الأوّليّة. وسوف نفرد بحثاً مستقلاًّ حول ضرورة ولاية الفقيه الشرعيّة.</w:t>
      </w:r>
    </w:p>
    <w:p w:rsidR="00EA09EB" w:rsidRPr="00A32FC0" w:rsidRDefault="00EA09EB" w:rsidP="00EA09EB">
      <w:pPr>
        <w:rPr>
          <w:rtl/>
          <w:lang w:bidi="ar-LB"/>
        </w:rPr>
      </w:pPr>
      <w:r w:rsidRPr="00A32FC0">
        <w:rPr>
          <w:rFonts w:hint="cs"/>
          <w:rtl/>
          <w:lang w:bidi="ar-LB"/>
        </w:rPr>
        <w:t>ونتيجة هذا البحث هي أنّها ليست من بديهيّات العقل وضروريّاته، وإثباتها يحتاج إلى دليل. وقد اتَّفق علماء الإماميّة على أنها أمر نظريّ، وليس بديهيّاً.</w:t>
      </w:r>
    </w:p>
    <w:p w:rsidR="007A340E" w:rsidRDefault="00EA09EB" w:rsidP="007A340E">
      <w:pPr>
        <w:pStyle w:val="Heading2"/>
        <w:jc w:val="center"/>
        <w:rPr>
          <w:rtl/>
        </w:rPr>
      </w:pPr>
      <w:r w:rsidRPr="00EA09EB">
        <w:rPr>
          <w:rtl/>
        </w:rPr>
        <w:br w:type="page"/>
      </w:r>
    </w:p>
    <w:p w:rsidR="007A340E" w:rsidRDefault="007A340E" w:rsidP="007A340E">
      <w:pPr>
        <w:rPr>
          <w:rtl/>
        </w:rPr>
        <w:sectPr w:rsidR="007A340E" w:rsidSect="009003FC">
          <w:headerReference w:type="even" r:id="rId49"/>
          <w:headerReference w:type="default" r:id="rId50"/>
          <w:headerReference w:type="first" r:id="rId51"/>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Pr="00887CCF" w:rsidRDefault="007A340E" w:rsidP="007A340E">
      <w:pPr>
        <w:rPr>
          <w:sz w:val="10"/>
          <w:szCs w:val="12"/>
          <w:rtl/>
        </w:rPr>
      </w:pPr>
    </w:p>
    <w:p w:rsidR="00EA09EB" w:rsidRPr="00E2207F" w:rsidRDefault="00EA09EB" w:rsidP="007A340E">
      <w:pPr>
        <w:pStyle w:val="Heading2"/>
        <w:jc w:val="center"/>
        <w:rPr>
          <w:rtl/>
          <w:lang w:bidi="ar-LB"/>
        </w:rPr>
      </w:pPr>
      <w:bookmarkStart w:id="51" w:name="_Toc413658833"/>
      <w:r w:rsidRPr="00E2207F">
        <w:rPr>
          <w:rFonts w:hint="cs"/>
          <w:rtl/>
          <w:lang w:bidi="ar-LB"/>
        </w:rPr>
        <w:t xml:space="preserve">الفصل الرابع عشر: دراسة </w:t>
      </w:r>
      <w:r w:rsidRPr="007A340E">
        <w:rPr>
          <w:rFonts w:hint="cs"/>
          <w:rtl/>
        </w:rPr>
        <w:t>بداهة ولاية الفقيه الشرعيّة</w:t>
      </w:r>
      <w:bookmarkEnd w:id="51"/>
    </w:p>
    <w:p w:rsidR="00EA09EB" w:rsidRPr="00A32FC0" w:rsidRDefault="00EA09EB" w:rsidP="00887CCF">
      <w:pPr>
        <w:pStyle w:val="Normal84"/>
        <w:rPr>
          <w:rtl/>
        </w:rPr>
      </w:pPr>
      <w:r w:rsidRPr="00A32FC0">
        <w:rPr>
          <w:rFonts w:hint="cs"/>
          <w:rtl/>
        </w:rPr>
        <w:t xml:space="preserve">تنقسم المسائل الدينية ـ الأعمّ من الكلاميّة والفقهيّة والأخلاقيّة ـ إلى قسمين: ضروريّ؛ وغير ضروري. </w:t>
      </w:r>
    </w:p>
    <w:p w:rsidR="00EA09EB" w:rsidRPr="00402769" w:rsidRDefault="00EA09EB" w:rsidP="00887CCF">
      <w:pPr>
        <w:pStyle w:val="Normal87"/>
        <w:rPr>
          <w:rtl/>
        </w:rPr>
      </w:pPr>
      <w:r w:rsidRPr="00EA09EB">
        <w:rPr>
          <w:rFonts w:hint="cs"/>
          <w:rtl/>
        </w:rPr>
        <w:t>إن للمسائل الضروريّة</w:t>
      </w:r>
      <w:r w:rsidRPr="00064619">
        <w:rPr>
          <w:rFonts w:cs="Taher"/>
          <w:vertAlign w:val="superscript"/>
          <w:rtl/>
        </w:rPr>
        <w:t>(</w:t>
      </w:r>
      <w:r w:rsidRPr="00064619">
        <w:rPr>
          <w:rStyle w:val="FootnoteReference"/>
          <w:rFonts w:cs="Taher"/>
          <w:sz w:val="32"/>
          <w:rtl/>
        </w:rPr>
        <w:footnoteReference w:id="491"/>
      </w:r>
      <w:r w:rsidRPr="00064619">
        <w:rPr>
          <w:rFonts w:cs="Taher"/>
          <w:vertAlign w:val="superscript"/>
          <w:rtl/>
        </w:rPr>
        <w:t>)</w:t>
      </w:r>
      <w:r w:rsidRPr="00A32FC0">
        <w:rPr>
          <w:rFonts w:hint="cs"/>
          <w:rtl/>
        </w:rPr>
        <w:t xml:space="preserve"> مدخلية في تحقُّق الإسلام؛ بمعنى أنها تُعدّ بالضرورة جزءاً من الدين</w:t>
      </w:r>
      <w:r>
        <w:rPr>
          <w:rFonts w:hint="cs"/>
          <w:rtl/>
        </w:rPr>
        <w:t xml:space="preserve"> ـ</w:t>
      </w:r>
      <w:r w:rsidRPr="00A32FC0">
        <w:rPr>
          <w:rFonts w:hint="cs"/>
          <w:rtl/>
        </w:rPr>
        <w:t xml:space="preserve"> وقبول الدين ملازم </w:t>
      </w:r>
      <w:r w:rsidRPr="00402769">
        <w:rPr>
          <w:rFonts w:hint="cs"/>
          <w:rtl/>
        </w:rPr>
        <w:t>لقبول الضروريّات ـ على نحو تُعَدّ فيه هذه المسائل غير منفكّة عن التوحيد والنبوّة وما شابههما.</w:t>
      </w:r>
    </w:p>
    <w:p w:rsidR="00EA09EB" w:rsidRPr="00EA09EB" w:rsidRDefault="00EA09EB" w:rsidP="00887CCF">
      <w:pPr>
        <w:pStyle w:val="Normal87"/>
        <w:rPr>
          <w:rtl/>
        </w:rPr>
      </w:pPr>
      <w:r w:rsidRPr="00A32FC0">
        <w:rPr>
          <w:rFonts w:hint="cs"/>
          <w:rtl/>
        </w:rPr>
        <w:t>وبعبارة أخرى: إن المراد من ضروريّ الدين هو الحكم الذي يثبت بثبوت الدين، ولا يحتاج إلى دليل لكونه من الدين. فمثل هذا الحكم إمّا أن يكون بمنزلة جزءٍ مقوّمٍ للدين؛ وإمّا أن يكون بمنزلة اللازم الذي لا ينفكّ عنه</w:t>
      </w:r>
      <w:r w:rsidRPr="00064619">
        <w:rPr>
          <w:rFonts w:cs="Taher"/>
          <w:vertAlign w:val="superscript"/>
          <w:rtl/>
        </w:rPr>
        <w:t>(</w:t>
      </w:r>
      <w:r w:rsidRPr="00064619">
        <w:rPr>
          <w:rStyle w:val="FootnoteReference"/>
          <w:rFonts w:cs="Taher"/>
          <w:sz w:val="32"/>
          <w:rtl/>
        </w:rPr>
        <w:footnoteReference w:id="492"/>
      </w:r>
      <w:r w:rsidRPr="00064619">
        <w:rPr>
          <w:rFonts w:cs="Taher"/>
          <w:vertAlign w:val="superscript"/>
          <w:rtl/>
        </w:rPr>
        <w:t>)</w:t>
      </w:r>
      <w:r w:rsidRPr="00EA09EB">
        <w:rPr>
          <w:rFonts w:hint="cs"/>
          <w:rtl/>
        </w:rPr>
        <w:t>.</w:t>
      </w:r>
    </w:p>
    <w:p w:rsidR="00EA09EB" w:rsidRPr="00A32FC0" w:rsidRDefault="00EA09EB" w:rsidP="00887CCF">
      <w:pPr>
        <w:pStyle w:val="Normal87"/>
        <w:rPr>
          <w:rtl/>
        </w:rPr>
      </w:pPr>
      <w:r w:rsidRPr="00A32FC0">
        <w:rPr>
          <w:rFonts w:hint="cs"/>
          <w:b/>
          <w:bCs/>
          <w:rtl/>
        </w:rPr>
        <w:t>أولاً</w:t>
      </w:r>
      <w:r w:rsidRPr="00EA09EB">
        <w:rPr>
          <w:rFonts w:hint="cs"/>
          <w:rtl/>
        </w:rPr>
        <w:t>: إنّ إنكار مسألة من المسائل الضروريّة أو الجهل بها يقتضي كفر الجاهل أو المنكر، بشرط أن يكون ملتفتاً إلى أن هذه المسألة ضروريّة، بحيث إنّ إنكاره لهذه المسألة يؤدّي إلى إنكار الرسالة</w:t>
      </w:r>
      <w:r w:rsidRPr="00064619">
        <w:rPr>
          <w:rFonts w:cs="Taher"/>
          <w:vertAlign w:val="superscript"/>
          <w:rtl/>
        </w:rPr>
        <w:t>(</w:t>
      </w:r>
      <w:r w:rsidRPr="00064619">
        <w:rPr>
          <w:rStyle w:val="FootnoteReference"/>
          <w:rFonts w:cs="Taher"/>
          <w:sz w:val="32"/>
          <w:rtl/>
        </w:rPr>
        <w:footnoteReference w:id="493"/>
      </w:r>
      <w:r w:rsidRPr="00064619">
        <w:rPr>
          <w:rFonts w:cs="Taher"/>
          <w:vertAlign w:val="superscript"/>
          <w:rtl/>
        </w:rPr>
        <w:t>)</w:t>
      </w:r>
      <w:r w:rsidRPr="00A32FC0">
        <w:rPr>
          <w:rFonts w:hint="cs"/>
          <w:rtl/>
        </w:rPr>
        <w:t>.</w:t>
      </w:r>
    </w:p>
    <w:p w:rsidR="00EA09EB" w:rsidRPr="00EA09EB" w:rsidRDefault="00EA09EB" w:rsidP="00887CCF">
      <w:pPr>
        <w:pStyle w:val="Normal84"/>
        <w:rPr>
          <w:rtl/>
        </w:rPr>
      </w:pPr>
      <w:r w:rsidRPr="00A32FC0">
        <w:rPr>
          <w:rFonts w:hint="cs"/>
          <w:rtl/>
        </w:rPr>
        <w:t xml:space="preserve">وعلى هذا فإنّ التوحيد والنبوة لهما موضوعيّة استقلاليّة في تحقيق الدين، أمّا المسائل الضروريّة فموضوعيّتها استلزاميّة. </w:t>
      </w:r>
      <w:r w:rsidR="00A06401">
        <w:rPr>
          <w:rFonts w:hint="cs"/>
          <w:rtl/>
        </w:rPr>
        <w:t xml:space="preserve">والأمر عينه يجري عملياً في </w:t>
      </w:r>
      <w:r w:rsidRPr="00A32FC0">
        <w:rPr>
          <w:rFonts w:hint="cs"/>
          <w:rtl/>
        </w:rPr>
        <w:t>تحقُّق الكفر والارتداد</w:t>
      </w:r>
      <w:r w:rsidR="00A06401" w:rsidRPr="00064619">
        <w:rPr>
          <w:rFonts w:cs="Taher"/>
          <w:vertAlign w:val="superscript"/>
          <w:rtl/>
        </w:rPr>
        <w:t xml:space="preserve"> </w:t>
      </w:r>
      <w:r w:rsidRPr="00064619">
        <w:rPr>
          <w:rFonts w:cs="Taher"/>
          <w:vertAlign w:val="superscript"/>
          <w:rtl/>
        </w:rPr>
        <w:t>(</w:t>
      </w:r>
      <w:r w:rsidRPr="00064619">
        <w:rPr>
          <w:rStyle w:val="FootnoteReference"/>
          <w:rFonts w:cs="Taher"/>
          <w:sz w:val="32"/>
          <w:rtl/>
        </w:rPr>
        <w:footnoteReference w:id="494"/>
      </w:r>
      <w:r w:rsidRPr="00064619">
        <w:rPr>
          <w:rFonts w:cs="Taher"/>
          <w:vertAlign w:val="superscript"/>
          <w:rtl/>
        </w:rPr>
        <w:t>)</w:t>
      </w:r>
      <w:r w:rsidRPr="00EA09EB">
        <w:rPr>
          <w:rFonts w:hint="cs"/>
          <w:rtl/>
        </w:rPr>
        <w:t>.</w:t>
      </w:r>
    </w:p>
    <w:p w:rsidR="00EA09EB" w:rsidRPr="00EA09EB" w:rsidRDefault="00EA09EB" w:rsidP="00887CCF">
      <w:pPr>
        <w:pStyle w:val="Normal84"/>
        <w:rPr>
          <w:rtl/>
        </w:rPr>
      </w:pPr>
      <w:r w:rsidRPr="007A340E">
        <w:rPr>
          <w:rFonts w:hint="cs"/>
          <w:b/>
          <w:bCs/>
          <w:rtl/>
        </w:rPr>
        <w:t>ثانياً</w:t>
      </w:r>
      <w:r w:rsidRPr="00EA09EB">
        <w:rPr>
          <w:rFonts w:hint="cs"/>
          <w:rtl/>
        </w:rPr>
        <w:t>: إن الأحكام الشرعيّة الضروريّة لا تحتاج إلى تقليد. وبعبارة أخرى: إن مجال التقليد هو الأحكام الشرعيّة غير الضروريّة</w:t>
      </w:r>
      <w:r w:rsidRPr="00064619">
        <w:rPr>
          <w:rFonts w:cs="Taher"/>
          <w:sz w:val="32"/>
          <w:vertAlign w:val="superscript"/>
          <w:rtl/>
        </w:rPr>
        <w:t>(</w:t>
      </w:r>
      <w:r w:rsidRPr="00064619">
        <w:rPr>
          <w:rStyle w:val="FootnoteReference"/>
          <w:rFonts w:cs="Taher"/>
          <w:sz w:val="32"/>
          <w:rtl/>
        </w:rPr>
        <w:footnoteReference w:id="495"/>
      </w:r>
      <w:r w:rsidRPr="00064619">
        <w:rPr>
          <w:rFonts w:cs="Taher"/>
          <w:sz w:val="32"/>
          <w:vertAlign w:val="superscript"/>
          <w:rtl/>
        </w:rPr>
        <w:t>)</w:t>
      </w:r>
      <w:r w:rsidRPr="00EA09EB">
        <w:rPr>
          <w:rFonts w:hint="cs"/>
          <w:rtl/>
        </w:rPr>
        <w:t>. والمكلَّف يعمل بعلمه في الأحكام الشرعيّة الضروريّة.</w:t>
      </w:r>
    </w:p>
    <w:p w:rsidR="00EA09EB" w:rsidRPr="00EA09EB" w:rsidRDefault="00EA09EB" w:rsidP="00887CCF">
      <w:pPr>
        <w:pStyle w:val="Normal84"/>
        <w:rPr>
          <w:rtl/>
        </w:rPr>
      </w:pPr>
      <w:r w:rsidRPr="007A340E">
        <w:rPr>
          <w:rFonts w:hint="cs"/>
          <w:b/>
          <w:bCs/>
          <w:rtl/>
        </w:rPr>
        <w:t>ثالثاً</w:t>
      </w:r>
      <w:r w:rsidRPr="00EA09EB">
        <w:rPr>
          <w:rFonts w:hint="cs"/>
          <w:rtl/>
        </w:rPr>
        <w:t>: تُعَدّ المسائل الضروريّة من المسائل الدينيّة المتَّفق عليها بشكل عامّ. وفي الغالب ليس هناك اختلاف في هذه المسائل بين أهل الدين.</w:t>
      </w:r>
    </w:p>
    <w:p w:rsidR="00EA09EB" w:rsidRPr="00EA09EB" w:rsidRDefault="00EA09EB" w:rsidP="00887CCF">
      <w:pPr>
        <w:pStyle w:val="Normal84"/>
        <w:rPr>
          <w:rtl/>
        </w:rPr>
      </w:pPr>
      <w:r w:rsidRPr="007A340E">
        <w:rPr>
          <w:rFonts w:hint="cs"/>
          <w:b/>
          <w:bCs/>
          <w:rtl/>
        </w:rPr>
        <w:t>رابعاً</w:t>
      </w:r>
      <w:r w:rsidRPr="00EA09EB">
        <w:rPr>
          <w:rFonts w:hint="cs"/>
          <w:rtl/>
        </w:rPr>
        <w:t xml:space="preserve">: بغضّ النظر عن التوحيد والنبوّة، بما لهما من موضوعية استقلالية في تحقق الدين </w:t>
      </w:r>
      <w:r w:rsidRPr="00EA09EB">
        <w:rPr>
          <w:rtl/>
        </w:rPr>
        <w:t>ـ</w:t>
      </w:r>
      <w:r w:rsidRPr="00EA09EB">
        <w:rPr>
          <w:rFonts w:hint="cs"/>
          <w:rtl/>
        </w:rPr>
        <w:t xml:space="preserve"> والملاك في كون المسألة الدينيّة ضروريّة مرتبط بالنبوّة </w:t>
      </w:r>
      <w:r w:rsidRPr="00EA09EB">
        <w:rPr>
          <w:rtl/>
        </w:rPr>
        <w:t>ـ</w:t>
      </w:r>
      <w:r w:rsidRPr="00EA09EB">
        <w:rPr>
          <w:rFonts w:hint="cs"/>
          <w:rtl/>
        </w:rPr>
        <w:t>، وبالنسبة إلى أصول الدين الأخرى، يُعَدّ المعاد من ضروريّات الدين، وأمّا (الإمامة والعدل) فيُعَدّان من ضروريّات المذهب. ومثال ضروريات الدين في الأحكام الشرعيّة هو وجوب الصلاة، والصوم، والحجّ، والزكاة، ومثال ضروريّات المذهب: جواز النكاح المنقطع، وبطلان القياس</w:t>
      </w:r>
      <w:r w:rsidRPr="00064619">
        <w:rPr>
          <w:rFonts w:cs="Taher"/>
          <w:sz w:val="32"/>
          <w:vertAlign w:val="superscript"/>
          <w:rtl/>
        </w:rPr>
        <w:t>(</w:t>
      </w:r>
      <w:r w:rsidRPr="00064619">
        <w:rPr>
          <w:rStyle w:val="FootnoteReference"/>
          <w:rFonts w:cs="Taher"/>
          <w:sz w:val="32"/>
          <w:rtl/>
        </w:rPr>
        <w:footnoteReference w:id="496"/>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خامساً</w:t>
      </w:r>
      <w:r w:rsidRPr="00EA09EB">
        <w:rPr>
          <w:rFonts w:hint="cs"/>
          <w:rtl/>
        </w:rPr>
        <w:t>: يظهر من كلمات الفقهاء أن هناك مسائل تعتبر من الضروريّات الفقهيّة، التي هي في مرتبة أقلّ من ضروريّات الدين أو المذهب، وإنكارها لا يُعَدّ خروجاً عن الدين أو المذهب، بل يكون الإنكار عن جهلٍ من المنكِر.</w:t>
      </w:r>
    </w:p>
    <w:p w:rsidR="00EA09EB" w:rsidRPr="00EA09EB" w:rsidRDefault="00EA09EB" w:rsidP="00887CCF">
      <w:pPr>
        <w:pStyle w:val="Normal93"/>
        <w:rPr>
          <w:rtl/>
        </w:rPr>
      </w:pPr>
      <w:r w:rsidRPr="007A340E">
        <w:rPr>
          <w:rFonts w:hint="cs"/>
          <w:b/>
          <w:bCs/>
          <w:rtl/>
        </w:rPr>
        <w:t>سادساً</w:t>
      </w:r>
      <w:r w:rsidRPr="00EA09EB">
        <w:rPr>
          <w:rFonts w:hint="cs"/>
          <w:rtl/>
        </w:rPr>
        <w:t>: مع أنّ أصل وجود مسائل ضروريّة هو محلّ اتفاق بشكل عامّ، إلا أنّه ليس بالضرورة أن يكون هناك اتّفاق في مصاديق هذه المسائل</w:t>
      </w:r>
      <w:r w:rsidRPr="00064619">
        <w:rPr>
          <w:rFonts w:cs="Taher"/>
          <w:sz w:val="32"/>
          <w:vertAlign w:val="superscript"/>
          <w:rtl/>
        </w:rPr>
        <w:t>(</w:t>
      </w:r>
      <w:r w:rsidRPr="00064619">
        <w:rPr>
          <w:rStyle w:val="FootnoteReference"/>
          <w:rFonts w:cs="Taher"/>
          <w:sz w:val="32"/>
          <w:rtl/>
        </w:rPr>
        <w:footnoteReference w:id="497"/>
      </w:r>
      <w:r w:rsidRPr="00064619">
        <w:rPr>
          <w:rFonts w:cs="Taher"/>
          <w:sz w:val="32"/>
          <w:vertAlign w:val="superscript"/>
          <w:rtl/>
        </w:rPr>
        <w:t>)</w:t>
      </w:r>
      <w:r w:rsidRPr="00EA09EB">
        <w:rPr>
          <w:rFonts w:hint="cs"/>
          <w:rtl/>
        </w:rPr>
        <w:t>. لذلك فإنّه من الممكن على مرّ الزمن أن يضاف إلى المسائل الضروريّة أمرٌ ضروريٌّ آخر، كما أنه من الممكن وجود أمرٍ كان يُعَدّ من الضروريّات في السابق، ولم يَعُدْ كذلك في الوقت الحاضر. وكذلك من الممكن أن يعتقد أحد العلماء أنّ أمراً ما من ضروريّات الدين أو المذهب، ول</w:t>
      </w:r>
      <w:r w:rsidR="00A06401">
        <w:rPr>
          <w:rFonts w:hint="cs"/>
          <w:rtl/>
        </w:rPr>
        <w:t>ا يتَّفق معه عالمٌ آخر. وعلى أ</w:t>
      </w:r>
      <w:r w:rsidRPr="00EA09EB">
        <w:rPr>
          <w:rFonts w:hint="cs"/>
          <w:rtl/>
        </w:rPr>
        <w:t>ى</w:t>
      </w:r>
      <w:r w:rsidR="00A06401">
        <w:rPr>
          <w:rFonts w:hint="cs"/>
          <w:rtl/>
        </w:rPr>
        <w:t>ّ</w:t>
      </w:r>
      <w:r w:rsidRPr="00EA09EB">
        <w:rPr>
          <w:rFonts w:hint="cs"/>
          <w:rtl/>
        </w:rPr>
        <w:t xml:space="preserve"> حال فإنّ موارد الاختلاف في الضروريّات قليلة. ولا بُدَّ من الإشارة هنا إلى أنّه ليس المراد من ضروريّات الدين أو المذهب أو الفقه الضروريّات العقليّة (البديهيّة). كما أنّ اصطلاح (الضروريّ) لم يرِدْ في آية أو رواية، إنّما هو اصطلاح متشرِّعيّ</w:t>
      </w:r>
      <w:r w:rsidRPr="00064619">
        <w:rPr>
          <w:rFonts w:cs="Taher"/>
          <w:sz w:val="32"/>
          <w:vertAlign w:val="superscript"/>
          <w:rtl/>
        </w:rPr>
        <w:t>(</w:t>
      </w:r>
      <w:r w:rsidRPr="00064619">
        <w:rPr>
          <w:rStyle w:val="FootnoteReference"/>
          <w:rFonts w:cs="Taher"/>
          <w:sz w:val="32"/>
          <w:rtl/>
        </w:rPr>
        <w:footnoteReference w:id="498"/>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وبعد هذا التعرُّف الإجماليّ على مفهوم ضروريّات الدين والمذهب والفقه يطرح هذا السؤال نفسه: هل تعتبر ولاية الفقيه من ضروريّات الدين أو المذهب أو الفقه؟ </w:t>
      </w:r>
    </w:p>
    <w:p w:rsidR="00EA09EB" w:rsidRPr="00A32FC0" w:rsidRDefault="00EA09EB" w:rsidP="00EA09EB">
      <w:pPr>
        <w:rPr>
          <w:rtl/>
          <w:lang w:bidi="ar-LB"/>
        </w:rPr>
      </w:pPr>
      <w:r w:rsidRPr="00A32FC0">
        <w:rPr>
          <w:rFonts w:hint="cs"/>
          <w:rtl/>
          <w:lang w:bidi="ar-LB"/>
        </w:rPr>
        <w:t>ليست ولاية الفقيه ـ كما سبق وذكرنا ـ ضرورةً عقليّةً</w:t>
      </w:r>
      <w:r>
        <w:rPr>
          <w:rFonts w:hint="cs"/>
          <w:rtl/>
          <w:lang w:bidi="ar-LB"/>
        </w:rPr>
        <w:t>،</w:t>
      </w:r>
      <w:r w:rsidRPr="00A32FC0">
        <w:rPr>
          <w:rFonts w:hint="cs"/>
          <w:rtl/>
          <w:lang w:bidi="ar-LB"/>
        </w:rPr>
        <w:t xml:space="preserve"> أي ليست بديهيّة، بل تحتاج إلى دليل.</w:t>
      </w:r>
    </w:p>
    <w:p w:rsidR="00EA09EB" w:rsidRPr="00A32FC0" w:rsidRDefault="00EA09EB" w:rsidP="00887CCF">
      <w:pPr>
        <w:pStyle w:val="Normal87"/>
        <w:rPr>
          <w:rtl/>
        </w:rPr>
      </w:pPr>
      <w:r w:rsidRPr="00EA09EB">
        <w:rPr>
          <w:rFonts w:hint="cs"/>
          <w:rtl/>
        </w:rPr>
        <w:t xml:space="preserve">وأمّا عبارة السيد الخميني السابقة: «وولاية الفقيه من المواضيع التي يوجب تصوُّرها التصديق بها فهي لا تحتاج لأيّ برهنة، وذلك بمعنى أنّ كل مَنْ أدرك العقائد والأحكام الإسلامية </w:t>
      </w:r>
      <w:r w:rsidRPr="00EA09EB">
        <w:rPr>
          <w:rtl/>
        </w:rPr>
        <w:t>ـ</w:t>
      </w:r>
      <w:r w:rsidRPr="00EA09EB">
        <w:rPr>
          <w:rFonts w:hint="cs"/>
          <w:rtl/>
        </w:rPr>
        <w:t xml:space="preserve"> ولو إجمالاً </w:t>
      </w:r>
      <w:r w:rsidRPr="00EA09EB">
        <w:rPr>
          <w:rtl/>
        </w:rPr>
        <w:t>ـ</w:t>
      </w:r>
      <w:r w:rsidRPr="00EA09EB">
        <w:rPr>
          <w:rFonts w:hint="cs"/>
          <w:rtl/>
        </w:rPr>
        <w:t>، وبمجرَّد أن يصل إلى ولاية الفقيه، ويتصوَّرها، فسيصدِّق بها فوراً، وسيجدها ضروريّة وبديهيّة»</w:t>
      </w:r>
      <w:r w:rsidRPr="00064619">
        <w:rPr>
          <w:rFonts w:cs="Taher"/>
          <w:vertAlign w:val="superscript"/>
          <w:rtl/>
        </w:rPr>
        <w:t>(</w:t>
      </w:r>
      <w:r w:rsidRPr="00064619">
        <w:rPr>
          <w:rStyle w:val="FootnoteReference"/>
          <w:rFonts w:cs="Taher"/>
          <w:sz w:val="32"/>
          <w:rtl/>
        </w:rPr>
        <w:footnoteReference w:id="499"/>
      </w:r>
      <w:r w:rsidRPr="00064619">
        <w:rPr>
          <w:rFonts w:cs="Taher"/>
          <w:vertAlign w:val="superscript"/>
          <w:rtl/>
        </w:rPr>
        <w:t>)</w:t>
      </w:r>
      <w:r w:rsidRPr="00A32FC0">
        <w:rPr>
          <w:rFonts w:hint="cs"/>
          <w:rtl/>
        </w:rPr>
        <w:t xml:space="preserve">، فيمكن أن يفهم منها أنّ ولاية الفقيه من ضروريّات الدين؛ وذلك لأنّ التصديق بولاية الفقيه يحتاج إلى معرفة إجماليّة بعقائد أحكام الإسلام. </w:t>
      </w:r>
    </w:p>
    <w:p w:rsidR="00EA09EB" w:rsidRPr="00A32FC0" w:rsidRDefault="00EA09EB" w:rsidP="00887CCF">
      <w:pPr>
        <w:pStyle w:val="Normal87"/>
        <w:rPr>
          <w:rtl/>
        </w:rPr>
      </w:pPr>
      <w:r w:rsidRPr="00A32FC0">
        <w:rPr>
          <w:rFonts w:hint="cs"/>
          <w:rtl/>
        </w:rPr>
        <w:t>وكذلك تدعو عبارة: «في رأينا أن الالتزام بولاية الفقيه هو الالتزام بالإسلام وولاية الأئمة المعصومين</w:t>
      </w:r>
      <w:r w:rsidR="007A340E">
        <w:rPr>
          <w:rFonts w:hint="cs"/>
          <w:rtl/>
        </w:rPr>
        <w:t>^</w:t>
      </w:r>
      <w:r w:rsidRPr="00A32FC0">
        <w:rPr>
          <w:rFonts w:hint="cs"/>
          <w:rtl/>
        </w:rPr>
        <w:t>، الذي لا يقبل الفصل والانفكاك»</w:t>
      </w:r>
      <w:r w:rsidRPr="00064619">
        <w:rPr>
          <w:rFonts w:cs="Taher"/>
          <w:vertAlign w:val="superscript"/>
          <w:rtl/>
        </w:rPr>
        <w:t>(</w:t>
      </w:r>
      <w:r w:rsidRPr="00064619">
        <w:rPr>
          <w:rStyle w:val="FootnoteReference"/>
          <w:rFonts w:cs="Taher"/>
          <w:sz w:val="32"/>
          <w:rtl/>
        </w:rPr>
        <w:footnoteReference w:id="500"/>
      </w:r>
      <w:r w:rsidRPr="00064619">
        <w:rPr>
          <w:rFonts w:cs="Taher"/>
          <w:vertAlign w:val="superscript"/>
          <w:rtl/>
        </w:rPr>
        <w:t>)</w:t>
      </w:r>
      <w:r w:rsidRPr="00A32FC0">
        <w:rPr>
          <w:rFonts w:hint="cs"/>
          <w:rtl/>
        </w:rPr>
        <w:t xml:space="preserve"> إلى تطبيق الملاك الأهمّ لضروريّات المذهب على ولاية الفقيه. </w:t>
      </w:r>
    </w:p>
    <w:p w:rsidR="00EA09EB" w:rsidRPr="00EA09EB" w:rsidRDefault="00EA09EB" w:rsidP="00EA09EB">
      <w:pPr>
        <w:rPr>
          <w:rtl/>
        </w:rPr>
      </w:pPr>
      <w:r w:rsidRPr="00A32FC0">
        <w:rPr>
          <w:rFonts w:hint="cs"/>
          <w:rtl/>
          <w:lang w:bidi="ar-LB"/>
        </w:rPr>
        <w:t xml:space="preserve">وهناك عبارة للشيخ محمد حسن النجفي في </w:t>
      </w:r>
      <w:r w:rsidRPr="00A32FC0">
        <w:rPr>
          <w:rFonts w:hint="cs"/>
          <w:rtl/>
        </w:rPr>
        <w:t>«</w:t>
      </w:r>
      <w:r w:rsidRPr="00A32FC0">
        <w:rPr>
          <w:rFonts w:hint="cs"/>
          <w:rtl/>
          <w:lang w:bidi="ar-LB"/>
        </w:rPr>
        <w:t>الجواهر</w:t>
      </w:r>
      <w:r w:rsidRPr="00A32FC0">
        <w:rPr>
          <w:rFonts w:hint="cs"/>
          <w:rtl/>
        </w:rPr>
        <w:t>»</w:t>
      </w:r>
      <w:r w:rsidRPr="00A32FC0">
        <w:rPr>
          <w:rFonts w:hint="cs"/>
          <w:rtl/>
          <w:lang w:bidi="ar-LB"/>
        </w:rPr>
        <w:t xml:space="preserve"> يمكن أن يُستظهر منها أن هذا الفقيه الجليل يرى أن ولاية الفقيه هي ضرورة فقهيّة، حيث قال: </w:t>
      </w:r>
      <w:r w:rsidRPr="00A32FC0">
        <w:rPr>
          <w:rFonts w:hint="cs"/>
          <w:rtl/>
        </w:rPr>
        <w:t>«</w:t>
      </w:r>
      <w:r w:rsidRPr="00A32FC0">
        <w:rPr>
          <w:rFonts w:hint="cs"/>
          <w:rtl/>
          <w:lang w:bidi="ar-LB"/>
        </w:rPr>
        <w:t>فمن الغريب وسوسة بعض الناس في ذلك [عموم ولاية الفقيه]، بل كأنّه ما ذاق من طعم الفقه شيئاً</w:t>
      </w:r>
      <w:r w:rsidRPr="00A32FC0">
        <w:rPr>
          <w:rFonts w:hint="cs"/>
          <w:rtl/>
        </w:rPr>
        <w:t>»</w:t>
      </w:r>
      <w:r w:rsidRPr="00064619">
        <w:rPr>
          <w:rFonts w:cs="Taher"/>
          <w:vertAlign w:val="superscript"/>
          <w:rtl/>
        </w:rPr>
        <w:t>(</w:t>
      </w:r>
      <w:r w:rsidRPr="00064619">
        <w:rPr>
          <w:rStyle w:val="FootnoteReference"/>
          <w:rFonts w:cs="Taher"/>
          <w:sz w:val="32"/>
          <w:rtl/>
        </w:rPr>
        <w:footnoteReference w:id="501"/>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إن العبارات المذكورة وإنْ كانت لا تصرِّح بأن ولاية الفقيه هي ضرورة دينيّة أو مذهبيّة، إلا أنّ الملاك المذكور فيها ينطبق على الضروريّ بالمعنى المذكور. وعلى فرض صحة هذا الاستنتاج فإنّ كون ولاية الفقيه من ضروريّات الدين أو المذهب أو الفقه هو قول في المسألة. وسوف نتعرض لهذا القول بشكل مفصَّل ضمن بحث ودراسة الأدلّة العقليّة لولاية الفقيه. </w:t>
      </w:r>
    </w:p>
    <w:p w:rsidR="00EA09EB" w:rsidRPr="00A32FC0" w:rsidRDefault="00EA09EB" w:rsidP="00EA09EB">
      <w:pPr>
        <w:rPr>
          <w:rtl/>
          <w:lang w:bidi="ar-LB"/>
        </w:rPr>
      </w:pPr>
      <w:r w:rsidRPr="00A32FC0">
        <w:rPr>
          <w:rFonts w:hint="cs"/>
          <w:rtl/>
          <w:lang w:bidi="ar-LB"/>
        </w:rPr>
        <w:t xml:space="preserve">ومن الواضح أنّه إذا لم تتمّ أدلّة المسألة العقليّة والنقليّة فبطريق أَوْلى لا يمكن أن تكون هذه المسألة من ضروريّات الدين، أو المذهب، أو على الأقل لا يمكن أن نعتبر من ينكرها منكراً لضرورة من ضروريّات الدين، أو المذهب؛ وذلك لأن إنكاره مستند إلى دليل وحجّة شرعيَّيْن. </w:t>
      </w:r>
    </w:p>
    <w:p w:rsidR="00EA09EB" w:rsidRPr="00A32FC0" w:rsidRDefault="00EA09EB" w:rsidP="00EA09EB">
      <w:pPr>
        <w:rPr>
          <w:rtl/>
          <w:lang w:bidi="ar-LB"/>
        </w:rPr>
      </w:pPr>
      <w:r w:rsidRPr="00A32FC0">
        <w:rPr>
          <w:rFonts w:hint="cs"/>
          <w:rtl/>
          <w:lang w:bidi="ar-LB"/>
        </w:rPr>
        <w:t xml:space="preserve">وفي مقابل القائلين بضرورية هذه المسألة فإن أكثر فقهاء الإمامية لا يعتبرون ولاية الفقيه ضرورة دينيّة، أو مذهبيّة، أو فقهية. ويلازم الاعتقاد بضروريّة ولاية الفقيه اعتبار جمع كبير من العلماء والفقهاء الكبار منكرين لضرورة من ضرويات الدين أو المذهب، وبالتالي خارجين عن الدين أو المذهب. وهذه ملازمة لا يرضى بها إلاّ القليل القليل من الفقهاء. وربما كان سبب عدم التصريح بهذا الأمر ما ينتج عنه من نتائج باطلة. ولا شكّ في أن الفقهاء الذين ينكرون ولاية الفقيه يدركون أيضاً أحكام الإسلام، وقد اطَّلعوا على مسألة ولاية الفقيه، إلاّ أنّهم لم يجدوا تلازماً بين الإسلام وولاية الفقيه، ولذلك لم يعتقدوا بها. </w:t>
      </w:r>
    </w:p>
    <w:p w:rsidR="00EA09EB" w:rsidRPr="00A32FC0" w:rsidRDefault="00EA09EB" w:rsidP="00EA09EB">
      <w:pPr>
        <w:rPr>
          <w:rtl/>
          <w:lang w:bidi="ar-LB"/>
        </w:rPr>
      </w:pPr>
      <w:r w:rsidRPr="00A32FC0">
        <w:rPr>
          <w:rFonts w:hint="cs"/>
          <w:rtl/>
          <w:lang w:bidi="ar-LB"/>
        </w:rPr>
        <w:t xml:space="preserve">وعلى </w:t>
      </w:r>
      <w:r>
        <w:rPr>
          <w:rFonts w:hint="cs"/>
          <w:rtl/>
          <w:lang w:bidi="ar-LB"/>
        </w:rPr>
        <w:t>أيّ</w:t>
      </w:r>
      <w:r w:rsidRPr="00A32FC0">
        <w:rPr>
          <w:rFonts w:hint="cs"/>
          <w:rtl/>
          <w:lang w:bidi="ar-LB"/>
        </w:rPr>
        <w:t xml:space="preserve"> حال فإنّ الأمر لا يخرج عن إحدى حالتين: إمّا أن نتَّهم الفقهاء المنكرين لولاية الفقيه بعدم فهم الإسلام، وعدم العلم بضروريّات الدين والمذهب؛ وإمّا أن نشكِّك في هذا القول الذي يعتبر ولاية الفقيه ضرورة دينيّة أو مذهبية. </w:t>
      </w:r>
    </w:p>
    <w:p w:rsidR="00EA09EB" w:rsidRPr="00A32FC0" w:rsidRDefault="00EA09EB" w:rsidP="00EA09EB">
      <w:pPr>
        <w:rPr>
          <w:rtl/>
          <w:lang w:bidi="ar-LB"/>
        </w:rPr>
      </w:pPr>
      <w:r w:rsidRPr="00A32FC0">
        <w:rPr>
          <w:rFonts w:hint="cs"/>
          <w:rtl/>
          <w:lang w:bidi="ar-LB"/>
        </w:rPr>
        <w:t>ومن الواضح أن التشكيك في هذا القول أيسر بكثير من الاتِّهام الأوّل.</w:t>
      </w:r>
    </w:p>
    <w:p w:rsidR="00EA09EB" w:rsidRPr="00A32FC0" w:rsidRDefault="00EA09EB" w:rsidP="00EA09EB">
      <w:pPr>
        <w:rPr>
          <w:rtl/>
          <w:lang w:bidi="ar-LB"/>
        </w:rPr>
      </w:pPr>
      <w:r w:rsidRPr="00A32FC0">
        <w:rPr>
          <w:rFonts w:hint="cs"/>
          <w:rtl/>
          <w:lang w:bidi="ar-LB"/>
        </w:rPr>
        <w:t xml:space="preserve">إنّ هذه الحالة </w:t>
      </w:r>
      <w:r w:rsidRPr="00A32FC0">
        <w:rPr>
          <w:rtl/>
          <w:lang w:bidi="ar-LB"/>
        </w:rPr>
        <w:t>ـ</w:t>
      </w:r>
      <w:r w:rsidRPr="00A32FC0">
        <w:rPr>
          <w:rFonts w:hint="cs"/>
          <w:rtl/>
          <w:lang w:bidi="ar-LB"/>
        </w:rPr>
        <w:t xml:space="preserve"> أي أنْ يرى عالمٌ من العلماء مسألةً ما؛ لشدّة وضوحها، بديهيّة وضروريّة أو إجماعيّة، وفي المقابل يقوم العلماء الآخرون بإقامة الدليل على بطلان هذه المسألة </w:t>
      </w:r>
      <w:r w:rsidRPr="00A32FC0">
        <w:rPr>
          <w:rtl/>
          <w:lang w:bidi="ar-LB"/>
        </w:rPr>
        <w:t>ـ</w:t>
      </w:r>
      <w:r w:rsidRPr="00A32FC0">
        <w:rPr>
          <w:rFonts w:hint="cs"/>
          <w:rtl/>
          <w:lang w:bidi="ar-LB"/>
        </w:rPr>
        <w:t xml:space="preserve"> تحصل كثيراً في علومنا. ولذلك فإن الكثير من ادّعاءات الضرورة والبداهة يجب أن تكون محلّ تأويل وبحث. </w:t>
      </w:r>
    </w:p>
    <w:p w:rsidR="00EA09EB" w:rsidRPr="00A32FC0" w:rsidRDefault="00EA09EB" w:rsidP="00EA09EB">
      <w:pPr>
        <w:rPr>
          <w:rtl/>
          <w:lang w:bidi="ar-LB"/>
        </w:rPr>
      </w:pPr>
      <w:r w:rsidRPr="00A32FC0">
        <w:rPr>
          <w:rFonts w:hint="cs"/>
          <w:rtl/>
          <w:lang w:bidi="ar-LB"/>
        </w:rPr>
        <w:t xml:space="preserve">إن اتِّهام مجتهدٍ منكرٍ لولاية الفقيه بأنه لم يذُقْ طعم الفقه هو سيفٌ ذو حدَّيْن؛ وذلك لأنّ هذا الفقيه المنكر يكون له نفس هذه النظرة. </w:t>
      </w:r>
    </w:p>
    <w:p w:rsidR="00EA09EB" w:rsidRPr="00A32FC0" w:rsidRDefault="00EA09EB" w:rsidP="00EA09EB">
      <w:pPr>
        <w:rPr>
          <w:rtl/>
          <w:lang w:bidi="ar-LB"/>
        </w:rPr>
      </w:pPr>
      <w:r w:rsidRPr="00EA09EB">
        <w:rPr>
          <w:rFonts w:hint="cs"/>
          <w:rtl/>
        </w:rPr>
        <w:t>إنّ المقارنة بين كلام صاحب الجواهر المتقدِّم: «لم يذق طعم الفقه» وعبارة معاصِرِه الشيخ الأنصاريّ، التي أوردها في الردّ على أدلّة ولاية الفقيه: «دونه خرط القتاد»</w:t>
      </w:r>
      <w:r w:rsidRPr="00064619">
        <w:rPr>
          <w:rFonts w:cs="Taher"/>
          <w:vertAlign w:val="superscript"/>
          <w:rtl/>
        </w:rPr>
        <w:t>(</w:t>
      </w:r>
      <w:r w:rsidRPr="00064619">
        <w:rPr>
          <w:rStyle w:val="FootnoteReference"/>
          <w:rFonts w:cs="Taher"/>
          <w:sz w:val="32"/>
          <w:rtl/>
        </w:rPr>
        <w:footnoteReference w:id="502"/>
      </w:r>
      <w:r w:rsidRPr="00064619">
        <w:rPr>
          <w:rFonts w:cs="Taher"/>
          <w:vertAlign w:val="superscript"/>
          <w:rtl/>
        </w:rPr>
        <w:t>)</w:t>
      </w:r>
      <w:r w:rsidRPr="00A32FC0">
        <w:rPr>
          <w:rFonts w:hint="cs"/>
          <w:rtl/>
          <w:lang w:bidi="ar-LB"/>
        </w:rPr>
        <w:t>، والتي ذهبت مثالاً يُضرب في الحوزات العلميّة، هذه المقارنة تع</w:t>
      </w:r>
      <w:r w:rsidR="00A06401">
        <w:rPr>
          <w:rFonts w:hint="cs"/>
          <w:rtl/>
          <w:lang w:bidi="ar-LB"/>
        </w:rPr>
        <w:t>لِّمنا أن نحترم الآراء المختلفة</w:t>
      </w:r>
      <w:r w:rsidRPr="00A32FC0">
        <w:rPr>
          <w:rFonts w:hint="cs"/>
          <w:rtl/>
          <w:lang w:bidi="ar-LB"/>
        </w:rPr>
        <w:t xml:space="preserve"> وفي بعض الأحيان المتعارِضة لجميع الفقهاء، وأن نجتنب عبارات من قبيل: </w:t>
      </w:r>
      <w:r w:rsidRPr="00A32FC0">
        <w:rPr>
          <w:rFonts w:hint="cs"/>
          <w:rtl/>
        </w:rPr>
        <w:t>«</w:t>
      </w:r>
      <w:r w:rsidRPr="00A32FC0">
        <w:rPr>
          <w:rFonts w:hint="cs"/>
          <w:rtl/>
          <w:lang w:bidi="ar-LB"/>
        </w:rPr>
        <w:t>وكلّ من كان صاحب وجدان وعقل سليم يقبل كلامنا</w:t>
      </w:r>
      <w:r w:rsidRPr="00A32FC0">
        <w:rPr>
          <w:rFonts w:hint="cs"/>
          <w:rtl/>
        </w:rPr>
        <w:t>»،</w:t>
      </w:r>
      <w:r w:rsidRPr="00A32FC0">
        <w:rPr>
          <w:rFonts w:hint="cs"/>
          <w:rtl/>
          <w:lang w:bidi="ar-LB"/>
        </w:rPr>
        <w:t xml:space="preserve"> التي ـ مع الأسف ـ كثيراً ما نراها في الكتب الفقهيّة والأصوليّة، ونعتقد أنّه من الممكن أن يكون أولئك الذين لا يفهمون من الأدلّة ما نفهمه نحن قد تذوَّقوا طعم الفقه كما تذوَّقناه نحن. </w:t>
      </w:r>
    </w:p>
    <w:p w:rsidR="00EA09EB" w:rsidRPr="00EA09EB" w:rsidRDefault="00EA09EB" w:rsidP="00EA09EB">
      <w:pPr>
        <w:rPr>
          <w:rtl/>
        </w:rPr>
      </w:pPr>
      <w:r w:rsidRPr="00A32FC0">
        <w:rPr>
          <w:rFonts w:hint="cs"/>
          <w:rtl/>
          <w:lang w:bidi="ar-LB"/>
        </w:rPr>
        <w:t>إنّ تعدُّد الآراء والاجتهادات يُعَدّ من مفاخر الفقه الشيعيّ. وفي خضمّ الاطّلاع على الآراء المختلفة لفقهائنا الكبار في مسألة ولاية الفقيه، والالتفات إلى التطوُّر التاريخيّ لهذه المسألة، يستوقفنا عمق هذه العب</w:t>
      </w:r>
      <w:r>
        <w:rPr>
          <w:rFonts w:hint="cs"/>
          <w:rtl/>
          <w:lang w:bidi="ar-LB"/>
        </w:rPr>
        <w:t>ارة الموضوعيّة التي كتبها السيد</w:t>
      </w:r>
      <w:r w:rsidRPr="00A32FC0">
        <w:rPr>
          <w:rFonts w:hint="cs"/>
          <w:rtl/>
          <w:lang w:bidi="ar-LB"/>
        </w:rPr>
        <w:t xml:space="preserve"> الخمينيّ قبل نصف قرن: </w:t>
      </w:r>
      <w:r w:rsidRPr="00A32FC0">
        <w:rPr>
          <w:rFonts w:hint="cs"/>
          <w:rtl/>
        </w:rPr>
        <w:t>«</w:t>
      </w:r>
      <w:r w:rsidRPr="00F159BE">
        <w:rPr>
          <w:rFonts w:hint="cs"/>
          <w:rtl/>
          <w:lang w:bidi="ar-AE"/>
        </w:rPr>
        <w:t xml:space="preserve">إن ولاية المجتهد ـ مورد السؤال ـ كانت مثار بحث ونقاش بين العلماء والمجتهدين أنفسهم منذ البداية؛ إذ يدور البحث بينهم في إثبات أصل وجودها أو عدمها، وفي حدود </w:t>
      </w:r>
      <w:r w:rsidRPr="0025105B">
        <w:rPr>
          <w:rFonts w:hint="cs"/>
          <w:rtl/>
          <w:lang w:bidi="ar-AE"/>
        </w:rPr>
        <w:t>وسِعَة هذه الولاية والحكومة ـ على تقدير وجودها ـ. وهذا من فروع الفقه، حيث يسوق الطرفان أدلَّتهما. وعماد هذه الأدلّة رواياتٌ مأثورة عن النبيّ الأكرم</w:t>
      </w:r>
      <w:r w:rsidRPr="0025105B">
        <w:rPr>
          <w:rFonts w:hint="cs"/>
          <w:rtl/>
        </w:rPr>
        <w:sym w:font="Roumouz" w:char="F02D"/>
      </w:r>
      <w:r w:rsidRPr="0025105B">
        <w:rPr>
          <w:rFonts w:hint="cs"/>
          <w:rtl/>
          <w:lang w:bidi="ar-AE"/>
        </w:rPr>
        <w:t xml:space="preserve"> والإمام المعصوم</w:t>
      </w:r>
      <w:r>
        <w:rPr>
          <w:rFonts w:hint="cs"/>
          <w:rtl/>
        </w:rPr>
        <w:t>×</w:t>
      </w:r>
      <w:r w:rsidRPr="0025105B">
        <w:rPr>
          <w:rFonts w:hint="cs"/>
          <w:rtl/>
        </w:rPr>
        <w:t>»</w:t>
      </w:r>
      <w:r w:rsidRPr="00064619">
        <w:rPr>
          <w:rFonts w:cs="Taher"/>
          <w:vertAlign w:val="superscript"/>
          <w:rtl/>
        </w:rPr>
        <w:t>(</w:t>
      </w:r>
      <w:r w:rsidRPr="00064619">
        <w:rPr>
          <w:rStyle w:val="FootnoteReference"/>
          <w:rFonts w:cs="Taher"/>
          <w:sz w:val="32"/>
          <w:rtl/>
        </w:rPr>
        <w:footnoteReference w:id="503"/>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ومع ملاحظة هذا الرأي، ومع الالتفات إلى نظريّات الفقهاء المختلفة في باب الحكومة الإسلاميّة وولاية الفقيه، نستنتج أن ولاية الفقيه لا تُعَدّ من ضروريّات الدين، ولا من ضروريّات المذهب، ولا من ضروريّات الفقه، وإنما هي مسألة تحتاج إلى دليل وبرهان.</w:t>
      </w:r>
    </w:p>
    <w:p w:rsidR="007A340E" w:rsidRDefault="00EA09EB" w:rsidP="007A340E">
      <w:pPr>
        <w:pStyle w:val="Heading2"/>
        <w:jc w:val="center"/>
        <w:rPr>
          <w:rtl/>
        </w:rPr>
      </w:pPr>
      <w:r w:rsidRPr="00EA09EB">
        <w:rPr>
          <w:rtl/>
        </w:rPr>
        <w:br w:type="page"/>
      </w:r>
    </w:p>
    <w:p w:rsidR="007A340E" w:rsidRDefault="007A340E" w:rsidP="007A340E">
      <w:pPr>
        <w:rPr>
          <w:rtl/>
        </w:rPr>
        <w:sectPr w:rsidR="007A340E" w:rsidSect="009003FC">
          <w:headerReference w:type="even" r:id="rId52"/>
          <w:headerReference w:type="default" r:id="rId53"/>
          <w:headerReference w:type="first" r:id="rId54"/>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Pr="00887CCF" w:rsidRDefault="007A340E" w:rsidP="007A340E">
      <w:pPr>
        <w:rPr>
          <w:sz w:val="20"/>
          <w:szCs w:val="22"/>
          <w:rtl/>
        </w:rPr>
      </w:pPr>
    </w:p>
    <w:p w:rsidR="00EA09EB" w:rsidRPr="007A340E" w:rsidRDefault="00EA09EB" w:rsidP="007A340E">
      <w:pPr>
        <w:pStyle w:val="Heading2"/>
        <w:jc w:val="center"/>
        <w:rPr>
          <w:rtl/>
        </w:rPr>
      </w:pPr>
      <w:bookmarkStart w:id="52" w:name="_Toc413658834"/>
      <w:r w:rsidRPr="00E2207F">
        <w:rPr>
          <w:rFonts w:hint="cs"/>
          <w:rtl/>
        </w:rPr>
        <w:t xml:space="preserve">الفصل الخامس عشر: ولاية </w:t>
      </w:r>
      <w:r w:rsidRPr="007A340E">
        <w:rPr>
          <w:rFonts w:hint="cs"/>
          <w:rtl/>
        </w:rPr>
        <w:t>الفقيه، الاعتقادات وأصول المذهب</w:t>
      </w:r>
      <w:bookmarkEnd w:id="52"/>
    </w:p>
    <w:p w:rsidR="00EA09EB" w:rsidRPr="00A32FC0" w:rsidRDefault="00EA09EB" w:rsidP="00887CCF">
      <w:pPr>
        <w:pStyle w:val="Normal84"/>
        <w:rPr>
          <w:rtl/>
        </w:rPr>
      </w:pPr>
      <w:r w:rsidRPr="00A32FC0">
        <w:rPr>
          <w:rFonts w:hint="cs"/>
          <w:rtl/>
        </w:rPr>
        <w:t>هل تعتبرون ولاية الفقيه ركناً من أركان مذهب الإمامية؟ وهل تُعَدّ ولاية الفقيه أصلاً عقائديّاً عند الشيعة، أو على الأقل من المسائل العقائديّة الشيعيّة، أم أنها تُعَدّ من الفروع الفقهيّة؟</w:t>
      </w:r>
    </w:p>
    <w:p w:rsidR="00EA09EB" w:rsidRPr="00A32FC0" w:rsidRDefault="00EA09EB" w:rsidP="00887CCF">
      <w:pPr>
        <w:pStyle w:val="Normal87"/>
        <w:rPr>
          <w:rtl/>
        </w:rPr>
      </w:pPr>
      <w:r w:rsidRPr="00A32FC0">
        <w:rPr>
          <w:rFonts w:hint="cs"/>
          <w:rtl/>
        </w:rPr>
        <w:t>إلى عشر سنوات مضت كانت ولاية الفقيه تُعَدّ من الفروع الفقهيّة، وأمّا في العقد الأخير فقد برز رأيان مخالفان للرأي السابق المتَّفق عليه.</w:t>
      </w:r>
    </w:p>
    <w:p w:rsidR="00EA09EB" w:rsidRPr="00EA09EB" w:rsidRDefault="00EA09EB" w:rsidP="00887CCF">
      <w:pPr>
        <w:pStyle w:val="Normal84"/>
        <w:rPr>
          <w:rtl/>
        </w:rPr>
      </w:pPr>
      <w:r w:rsidRPr="007A340E">
        <w:rPr>
          <w:rFonts w:hint="cs"/>
          <w:b/>
          <w:bCs/>
          <w:rtl/>
        </w:rPr>
        <w:t>الأول</w:t>
      </w:r>
      <w:r w:rsidRPr="00EA09EB">
        <w:rPr>
          <w:rFonts w:hint="cs"/>
          <w:rtl/>
        </w:rPr>
        <w:t xml:space="preserve">: وهو يعتبر ولاية الفقيه مسألة كلاميّة، أي بما أنّ من الواجب على الله، من باب الحكمة واللطف، أن يعيِّن الفقهاء العدول أولياء على الناس؛ لإدارة شؤون المجتمع الإسلاميّ، فإنّ المسألة تصبح من عوارض فعل الله. والبحث في عوارض فعل الله هو من اختصاص </w:t>
      </w:r>
      <w:r w:rsidR="00A06401">
        <w:rPr>
          <w:rFonts w:hint="cs"/>
          <w:rtl/>
        </w:rPr>
        <w:t>علم الكلام. ويلازمه فعل المكلّف اي وجوب إعمال الولاية من قِبَل الفقهاء و</w:t>
      </w:r>
      <w:r w:rsidRPr="00EA09EB">
        <w:rPr>
          <w:rFonts w:hint="cs"/>
          <w:rtl/>
        </w:rPr>
        <w:t>وجوب تولّي الناس وقبولهم بهذه الولاية. إلاّ أنه لا تعدّ كلّ مسألة كلاميّة من أصول الدين. وعلى سبيل المثال: «فإن جزئيّات المبدأ والمعاد ليست من أصول الدين التي تحتاج إلى علم برهانيّ واعتقاد (تفصيليّ)، ولا من فروع الدين»</w:t>
      </w:r>
      <w:r w:rsidRPr="00064619">
        <w:rPr>
          <w:rFonts w:cs="Taher"/>
          <w:sz w:val="32"/>
          <w:vertAlign w:val="superscript"/>
          <w:rtl/>
        </w:rPr>
        <w:t>(</w:t>
      </w:r>
      <w:r w:rsidRPr="00064619">
        <w:rPr>
          <w:rStyle w:val="FootnoteReference"/>
          <w:rFonts w:cs="Taher"/>
          <w:sz w:val="32"/>
          <w:rtl/>
        </w:rPr>
        <w:footnoteReference w:id="504"/>
      </w:r>
      <w:r w:rsidRPr="00064619">
        <w:rPr>
          <w:rFonts w:cs="Taher"/>
          <w:sz w:val="32"/>
          <w:vertAlign w:val="superscript"/>
          <w:rtl/>
        </w:rPr>
        <w:t>)</w:t>
      </w:r>
      <w:r w:rsidRPr="00EA09EB">
        <w:rPr>
          <w:rFonts w:hint="cs"/>
          <w:rtl/>
        </w:rPr>
        <w:t>.</w:t>
      </w:r>
    </w:p>
    <w:p w:rsidR="00EA09EB" w:rsidRPr="00A32FC0" w:rsidRDefault="00EA09EB" w:rsidP="00887CCF">
      <w:pPr>
        <w:pStyle w:val="Normal93"/>
        <w:rPr>
          <w:rtl/>
        </w:rPr>
      </w:pPr>
      <w:r w:rsidRPr="00A32FC0">
        <w:rPr>
          <w:rFonts w:hint="cs"/>
          <w:rtl/>
        </w:rPr>
        <w:t>فولاية الفقيه ليست من أصول الدين، ولا من أصول المذهب، بل هي مسألة كلاميّة.</w:t>
      </w:r>
    </w:p>
    <w:p w:rsidR="00EA09EB" w:rsidRPr="00A32FC0" w:rsidRDefault="00EA09EB" w:rsidP="00887CCF">
      <w:pPr>
        <w:pStyle w:val="Normal93"/>
        <w:rPr>
          <w:rtl/>
        </w:rPr>
      </w:pPr>
      <w:r w:rsidRPr="00A32FC0">
        <w:rPr>
          <w:rFonts w:hint="cs"/>
          <w:b/>
          <w:bCs/>
          <w:rtl/>
        </w:rPr>
        <w:t>الثاني</w:t>
      </w:r>
      <w:r w:rsidRPr="00EA09EB">
        <w:rPr>
          <w:rFonts w:hint="cs"/>
          <w:rtl/>
        </w:rPr>
        <w:t>: «إن ولاية الفقيه في قيادتها للمجتمع الإسلاميّ وإدارة الشؤون الاجتماعيّة في كلّ عصر وزمان تُعَدّ ركناً من أركان المذهب الاثني عشري، ولهذا جذور في أصل الإمامة»</w:t>
      </w:r>
      <w:r w:rsidRPr="00064619">
        <w:rPr>
          <w:rFonts w:cs="Taher"/>
          <w:vertAlign w:val="superscript"/>
          <w:rtl/>
        </w:rPr>
        <w:t>(</w:t>
      </w:r>
      <w:r w:rsidRPr="00064619">
        <w:rPr>
          <w:rStyle w:val="FootnoteReference"/>
          <w:rFonts w:cs="Taher"/>
          <w:sz w:val="32"/>
          <w:rtl/>
        </w:rPr>
        <w:footnoteReference w:id="505"/>
      </w:r>
      <w:r w:rsidRPr="00064619">
        <w:rPr>
          <w:rFonts w:cs="Taher"/>
          <w:vertAlign w:val="superscript"/>
          <w:rtl/>
        </w:rPr>
        <w:t>)</w:t>
      </w:r>
      <w:r w:rsidRPr="00A32FC0">
        <w:rPr>
          <w:rFonts w:hint="cs"/>
          <w:rtl/>
        </w:rPr>
        <w:t>.</w:t>
      </w:r>
    </w:p>
    <w:p w:rsidR="00EA09EB" w:rsidRPr="00A32FC0" w:rsidRDefault="00EA09EB" w:rsidP="00887CCF">
      <w:pPr>
        <w:pStyle w:val="Normal93"/>
        <w:rPr>
          <w:rtl/>
        </w:rPr>
      </w:pPr>
      <w:r w:rsidRPr="00A32FC0">
        <w:rPr>
          <w:rFonts w:hint="cs"/>
          <w:rtl/>
        </w:rPr>
        <w:t>«إن ولاية الفقيه تُعَدّ من شؤون الولاية والإمامة، ومن أصول المذهب، والأحكام المختصّة بالولاية تستنبط من الأدلّة الشرعيّة، كسائر الأحكام الفقهيّة»</w:t>
      </w:r>
      <w:r w:rsidRPr="00064619">
        <w:rPr>
          <w:rFonts w:cs="Taher"/>
          <w:vertAlign w:val="superscript"/>
          <w:rtl/>
        </w:rPr>
        <w:t>(</w:t>
      </w:r>
      <w:r w:rsidRPr="00064619">
        <w:rPr>
          <w:rStyle w:val="FootnoteReference"/>
          <w:rFonts w:cs="Taher"/>
          <w:sz w:val="32"/>
          <w:rtl/>
        </w:rPr>
        <w:footnoteReference w:id="506"/>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rPr>
        <w:t xml:space="preserve">أمّا في ما يخصّ الرأي الأوّل </w:t>
      </w:r>
      <w:r w:rsidRPr="00A32FC0">
        <w:rPr>
          <w:rFonts w:hint="cs"/>
          <w:b/>
          <w:bCs/>
          <w:rtl/>
        </w:rPr>
        <w:t>فأوّلاً</w:t>
      </w:r>
      <w:r w:rsidRPr="00EA09EB">
        <w:rPr>
          <w:rFonts w:hint="cs"/>
          <w:rtl/>
        </w:rPr>
        <w:t>: قد تقدمت الإشارة سابقاً</w:t>
      </w:r>
      <w:r w:rsidRPr="00064619">
        <w:rPr>
          <w:rFonts w:cs="Taher"/>
          <w:vertAlign w:val="superscript"/>
          <w:rtl/>
        </w:rPr>
        <w:t>(</w:t>
      </w:r>
      <w:r w:rsidRPr="00064619">
        <w:rPr>
          <w:rStyle w:val="FootnoteReference"/>
          <w:rFonts w:cs="Taher"/>
          <w:sz w:val="32"/>
          <w:rtl/>
        </w:rPr>
        <w:footnoteReference w:id="507"/>
      </w:r>
      <w:r w:rsidRPr="00064619">
        <w:rPr>
          <w:rFonts w:cs="Taher"/>
          <w:vertAlign w:val="superscript"/>
          <w:rtl/>
        </w:rPr>
        <w:t>)</w:t>
      </w:r>
      <w:r w:rsidRPr="00EA09EB">
        <w:rPr>
          <w:rFonts w:hint="cs"/>
          <w:rtl/>
        </w:rPr>
        <w:t xml:space="preserve"> إلى أنّه من هذه الزاوية يمكن أن يكون هناك بعدٌ كلاميّ لجميع الأحكام الفقهيّة، بمعنى أنه من المقطوع به أنه من دون تشريع الأحكام الشرعيّة يبقى الإنسان ضالاًّ وبعيداً عن الهداية. فعقلُ الإنسان عاجز عن استكشاف الأحكام الشرعيّة. ولذلك فإنّه من الواجب على الله، من باب الحكمة واللطف، أن يشرّع هذه الأحكام. وجعْل الأحكام من عوارض فعل الله الذي يتضمَّن لوازم فقهيّة، من قبيل: وجوب عمل المكلَّف بهذه الأحكام. وبهذا التحليل ألا يمكن أن تصبح جميع المسائل الفقهيّة مسائل كلاميّة؟ </w:t>
      </w:r>
    </w:p>
    <w:p w:rsidR="00EA09EB" w:rsidRPr="00EA09EB" w:rsidRDefault="00EA09EB" w:rsidP="007A340E">
      <w:pPr>
        <w:ind w:firstLine="283"/>
        <w:rPr>
          <w:rtl/>
        </w:rPr>
      </w:pPr>
      <w:r w:rsidRPr="007A340E">
        <w:rPr>
          <w:rFonts w:hint="cs"/>
          <w:b/>
          <w:bCs/>
          <w:rtl/>
        </w:rPr>
        <w:t>وثانياً</w:t>
      </w:r>
      <w:r w:rsidRPr="00EA09EB">
        <w:rPr>
          <w:rFonts w:hint="cs"/>
          <w:rtl/>
        </w:rPr>
        <w:t>: من الواضح أنه لا يمكن لهذا الدليل أن يجعل ولاية الفقيه مسألة كلاميّة. بالإضافة إلى أنّ بحث الفقهاء كان ـ ولا يزال ـ في الأحكام الفقهيّة حول وجوب تصدّي الفقهاء للولاية، وتولّي الناس لها. ومن الواضح أيضاً أن مدار هذا البحث هو فقهيّ، لا كلاميّ.</w:t>
      </w:r>
    </w:p>
    <w:p w:rsidR="00EA09EB" w:rsidRPr="00EA09EB" w:rsidRDefault="00EA09EB" w:rsidP="007A340E">
      <w:pPr>
        <w:ind w:firstLine="283"/>
        <w:rPr>
          <w:rtl/>
        </w:rPr>
      </w:pPr>
      <w:r w:rsidRPr="007A340E">
        <w:rPr>
          <w:rFonts w:hint="cs"/>
          <w:b/>
          <w:bCs/>
          <w:rtl/>
        </w:rPr>
        <w:t>وثالثاً</w:t>
      </w:r>
      <w:r w:rsidRPr="00EA09EB">
        <w:rPr>
          <w:rFonts w:hint="cs"/>
          <w:rtl/>
        </w:rPr>
        <w:t xml:space="preserve">: إن جعل هذه المسألة كلاميّة يترتَّب عليه نتائج سنشير إليها عند بحثنا في الرأي الثاني. </w:t>
      </w:r>
    </w:p>
    <w:p w:rsidR="00EA09EB" w:rsidRPr="00A32FC0" w:rsidRDefault="00EA09EB" w:rsidP="00EA09EB">
      <w:pPr>
        <w:rPr>
          <w:rtl/>
        </w:rPr>
      </w:pPr>
      <w:r w:rsidRPr="00A32FC0">
        <w:rPr>
          <w:rFonts w:hint="cs"/>
          <w:rtl/>
        </w:rPr>
        <w:t xml:space="preserve">وأمّا إذا اعتبرت المسألة من أركان وأصول المذهب فسوف يترتَّب عليها اللوازم التالية: </w:t>
      </w:r>
    </w:p>
    <w:p w:rsidR="00EA09EB" w:rsidRPr="00EA09EB" w:rsidRDefault="00EA09EB" w:rsidP="007A340E">
      <w:pPr>
        <w:ind w:firstLine="283"/>
        <w:rPr>
          <w:rtl/>
        </w:rPr>
      </w:pPr>
      <w:r w:rsidRPr="007A340E">
        <w:rPr>
          <w:rFonts w:hint="cs"/>
          <w:b/>
          <w:bCs/>
          <w:rtl/>
        </w:rPr>
        <w:t>أولاً</w:t>
      </w:r>
      <w:r w:rsidRPr="00EA09EB">
        <w:rPr>
          <w:rFonts w:hint="cs"/>
          <w:rtl/>
        </w:rPr>
        <w:t>: إن أصول الدين أو المذهب هي أحكام عقليّة، وليست أحكاماً شرعيّة تعبُّديّة.</w:t>
      </w:r>
    </w:p>
    <w:p w:rsidR="00EA09EB" w:rsidRPr="00EA09EB" w:rsidRDefault="00EA09EB" w:rsidP="007A340E">
      <w:pPr>
        <w:ind w:firstLine="283"/>
        <w:rPr>
          <w:rtl/>
        </w:rPr>
      </w:pPr>
      <w:r w:rsidRPr="007A340E">
        <w:rPr>
          <w:rFonts w:hint="cs"/>
          <w:b/>
          <w:bCs/>
          <w:rtl/>
        </w:rPr>
        <w:t>ثانياً</w:t>
      </w:r>
      <w:r w:rsidRPr="00EA09EB">
        <w:rPr>
          <w:rFonts w:hint="cs"/>
          <w:rtl/>
        </w:rPr>
        <w:t>: إنّ مسألة كهذه لابدّ أن تكون يقينيّة، لا ظنّيّة (ولو بالظنّ المعتبر). والمراد من اليقين هو الاعتقاد الجازم المطابق للواقع.</w:t>
      </w:r>
    </w:p>
    <w:p w:rsidR="00EA09EB" w:rsidRPr="00EA09EB" w:rsidRDefault="00EA09EB" w:rsidP="007A340E">
      <w:pPr>
        <w:ind w:firstLine="283"/>
        <w:rPr>
          <w:rtl/>
        </w:rPr>
      </w:pPr>
      <w:r w:rsidRPr="007A340E">
        <w:rPr>
          <w:rFonts w:hint="cs"/>
          <w:b/>
          <w:bCs/>
          <w:rtl/>
        </w:rPr>
        <w:t>ثالثاً</w:t>
      </w:r>
      <w:r w:rsidRPr="00EA09EB">
        <w:rPr>
          <w:rFonts w:hint="cs"/>
          <w:rtl/>
        </w:rPr>
        <w:t>: إنّ مسألة كهذه ليست قابلة للتقليد، بل على كلّ مكلَّف أن يقوم ببحثها حتى يصل إلى اليقين.</w:t>
      </w:r>
    </w:p>
    <w:p w:rsidR="00EA09EB" w:rsidRPr="00EA09EB" w:rsidRDefault="00EA09EB" w:rsidP="007A340E">
      <w:pPr>
        <w:ind w:firstLine="283"/>
        <w:rPr>
          <w:rtl/>
        </w:rPr>
      </w:pPr>
      <w:r w:rsidRPr="007A340E">
        <w:rPr>
          <w:rFonts w:hint="cs"/>
          <w:b/>
          <w:bCs/>
          <w:rtl/>
        </w:rPr>
        <w:t>رابعاً</w:t>
      </w:r>
      <w:r w:rsidRPr="00EA09EB">
        <w:rPr>
          <w:rFonts w:hint="cs"/>
          <w:rtl/>
        </w:rPr>
        <w:t>: لا يكفي الالتزام العمليّ بمسألة كهذه، بل يجب الاعتقاد النظريّ بها.</w:t>
      </w:r>
    </w:p>
    <w:p w:rsidR="00EA09EB" w:rsidRPr="00EA09EB" w:rsidRDefault="00EA09EB" w:rsidP="007A340E">
      <w:pPr>
        <w:ind w:firstLine="283"/>
        <w:rPr>
          <w:rtl/>
        </w:rPr>
      </w:pPr>
      <w:r w:rsidRPr="007A340E">
        <w:rPr>
          <w:rFonts w:hint="cs"/>
          <w:b/>
          <w:bCs/>
          <w:rtl/>
        </w:rPr>
        <w:t>خامساً</w:t>
      </w:r>
      <w:r w:rsidRPr="00EA09EB">
        <w:rPr>
          <w:rFonts w:hint="cs"/>
          <w:rtl/>
        </w:rPr>
        <w:t>: إنّ إثبات مسألة كهذه يحتاج إلى برهان (بجميع قيوده المنطقيّة الدقيقة)</w:t>
      </w:r>
      <w:r w:rsidRPr="00064619">
        <w:rPr>
          <w:rFonts w:cs="Taher"/>
          <w:sz w:val="32"/>
          <w:vertAlign w:val="superscript"/>
          <w:rtl/>
        </w:rPr>
        <w:t>(</w:t>
      </w:r>
      <w:r w:rsidRPr="00064619">
        <w:rPr>
          <w:rStyle w:val="FootnoteReference"/>
          <w:rFonts w:cs="Taher"/>
          <w:sz w:val="32"/>
          <w:rtl/>
        </w:rPr>
        <w:footnoteReference w:id="508"/>
      </w:r>
      <w:r w:rsidRPr="00064619">
        <w:rPr>
          <w:rFonts w:cs="Taher"/>
          <w:sz w:val="32"/>
          <w:vertAlign w:val="superscript"/>
          <w:rtl/>
        </w:rPr>
        <w:t>)</w:t>
      </w:r>
      <w:r w:rsidRPr="00EA09EB">
        <w:rPr>
          <w:rFonts w:hint="cs"/>
          <w:rtl/>
        </w:rPr>
        <w:t>، ولا يكفي لإثباتها أدلّة غير يقينيّة.</w:t>
      </w:r>
    </w:p>
    <w:p w:rsidR="00EA09EB" w:rsidRPr="00EA09EB" w:rsidRDefault="00EA09EB" w:rsidP="00887CCF">
      <w:pPr>
        <w:pStyle w:val="Normal84"/>
        <w:rPr>
          <w:rtl/>
        </w:rPr>
      </w:pPr>
      <w:r w:rsidRPr="007A340E">
        <w:rPr>
          <w:rFonts w:hint="cs"/>
          <w:b/>
          <w:bCs/>
          <w:rtl/>
        </w:rPr>
        <w:t>سادساً</w:t>
      </w:r>
      <w:r w:rsidRPr="00EA09EB">
        <w:rPr>
          <w:rFonts w:hint="cs"/>
          <w:rtl/>
        </w:rPr>
        <w:t>: يعتبر الإنكار أو الجهل بهذه المسائل خروجاً عن المذهب.</w:t>
      </w:r>
    </w:p>
    <w:p w:rsidR="00EA09EB" w:rsidRPr="00A32FC0" w:rsidRDefault="00EA09EB" w:rsidP="00EA09EB">
      <w:pPr>
        <w:rPr>
          <w:rtl/>
        </w:rPr>
      </w:pPr>
      <w:r w:rsidRPr="00A32FC0">
        <w:rPr>
          <w:rFonts w:hint="cs"/>
          <w:rtl/>
        </w:rPr>
        <w:t>وبالاعتماد على هذه النقاط الستّ يتحصَّل لدينا:</w:t>
      </w:r>
    </w:p>
    <w:p w:rsidR="00EA09EB" w:rsidRPr="00EA09EB" w:rsidRDefault="00EA09EB" w:rsidP="00887CCF">
      <w:pPr>
        <w:pStyle w:val="Normal84"/>
        <w:rPr>
          <w:rtl/>
        </w:rPr>
      </w:pPr>
      <w:r w:rsidRPr="007A340E">
        <w:rPr>
          <w:rFonts w:hint="cs"/>
          <w:b/>
          <w:bCs/>
          <w:rtl/>
        </w:rPr>
        <w:t>أولاً</w:t>
      </w:r>
      <w:r w:rsidRPr="00EA09EB">
        <w:rPr>
          <w:rFonts w:hint="cs"/>
          <w:rtl/>
        </w:rPr>
        <w:t>: إذا كانت ولاية الفقيه أصلاً من أصول المذهب فلا يمكن أن تكون في الوقت نفسه حكماً شرعيّاً تعبُّديّاً</w:t>
      </w:r>
      <w:r w:rsidRPr="00064619">
        <w:rPr>
          <w:rFonts w:cs="Taher"/>
          <w:sz w:val="32"/>
          <w:vertAlign w:val="superscript"/>
          <w:rtl/>
        </w:rPr>
        <w:t>(</w:t>
      </w:r>
      <w:r w:rsidRPr="00064619">
        <w:rPr>
          <w:rStyle w:val="FootnoteReference"/>
          <w:rFonts w:cs="Taher"/>
          <w:sz w:val="32"/>
          <w:rtl/>
        </w:rPr>
        <w:footnoteReference w:id="509"/>
      </w:r>
      <w:r w:rsidRPr="00064619">
        <w:rPr>
          <w:rFonts w:cs="Taher"/>
          <w:sz w:val="32"/>
          <w:vertAlign w:val="superscript"/>
          <w:rtl/>
        </w:rPr>
        <w:t>)</w:t>
      </w:r>
      <w:r w:rsidRPr="00EA09EB">
        <w:rPr>
          <w:rFonts w:hint="cs"/>
          <w:rtl/>
        </w:rPr>
        <w:t>؛ لأن أصول العقائد من الأمور اليقينيّة العقليّة، ولا طريق للتعبُّد في الأمور العقليّة واليقينيّة.</w:t>
      </w:r>
    </w:p>
    <w:p w:rsidR="00EA09EB" w:rsidRPr="00A32FC0" w:rsidRDefault="00EA09EB" w:rsidP="00887CCF">
      <w:pPr>
        <w:pStyle w:val="Normal84"/>
        <w:rPr>
          <w:rtl/>
        </w:rPr>
      </w:pPr>
      <w:r w:rsidRPr="00A32FC0">
        <w:rPr>
          <w:rFonts w:hint="cs"/>
          <w:b/>
          <w:bCs/>
          <w:rtl/>
        </w:rPr>
        <w:t>ثانياً</w:t>
      </w:r>
      <w:r w:rsidRPr="00EA09EB">
        <w:rPr>
          <w:rFonts w:hint="cs"/>
          <w:rtl/>
        </w:rPr>
        <w:t>: من الواضح أنه لو كانت ولاية الفقيه أصلاً من أصول المذهب فسوف تكون فرعاً لأصل الإ</w:t>
      </w:r>
      <w:r w:rsidR="00A06401">
        <w:rPr>
          <w:rFonts w:hint="cs"/>
          <w:rtl/>
        </w:rPr>
        <w:t>مامة</w:t>
      </w:r>
      <w:r w:rsidRPr="00EA09EB">
        <w:rPr>
          <w:rFonts w:hint="cs"/>
          <w:rtl/>
        </w:rPr>
        <w:t>، لا أصلاً مستقلاًّ</w:t>
      </w:r>
      <w:r w:rsidR="00A06401">
        <w:rPr>
          <w:rFonts w:hint="cs"/>
          <w:rtl/>
        </w:rPr>
        <w:t xml:space="preserve"> </w:t>
      </w:r>
      <w:r w:rsidR="00A06401" w:rsidRPr="00A06401">
        <w:rPr>
          <w:rFonts w:hint="cs"/>
          <w:rtl/>
        </w:rPr>
        <w:t>(الأصل السادس)</w:t>
      </w:r>
      <w:r w:rsidRPr="00EA09EB">
        <w:rPr>
          <w:rFonts w:hint="cs"/>
          <w:rtl/>
        </w:rPr>
        <w:t>. والفرع لا يكون أصلاً. فعدم جواز سهو النبيّ</w:t>
      </w:r>
      <w:r w:rsidRPr="00EA09EB">
        <w:rPr>
          <w:rFonts w:hint="cs"/>
          <w:rtl/>
        </w:rPr>
        <w:sym w:font="Roumouz" w:char="F02D"/>
      </w:r>
      <w:r w:rsidRPr="00EA09EB">
        <w:rPr>
          <w:rFonts w:hint="cs"/>
          <w:rtl/>
        </w:rPr>
        <w:t xml:space="preserve"> مثلاً هو فرع عصمته، ويرتبط بأصل النبوّة، ومع ذلك كلّه لا يُعَدّ أصلاً من أصول الدين</w:t>
      </w:r>
      <w:r w:rsidRPr="00064619">
        <w:rPr>
          <w:rFonts w:cs="Taher"/>
          <w:vertAlign w:val="superscript"/>
          <w:rtl/>
        </w:rPr>
        <w:t>(</w:t>
      </w:r>
      <w:r w:rsidRPr="00064619">
        <w:rPr>
          <w:rStyle w:val="FootnoteReference"/>
          <w:rFonts w:cs="Taher"/>
          <w:sz w:val="32"/>
          <w:rtl/>
        </w:rPr>
        <w:footnoteReference w:id="510"/>
      </w:r>
      <w:r w:rsidRPr="00064619">
        <w:rPr>
          <w:rFonts w:cs="Taher"/>
          <w:vertAlign w:val="superscript"/>
          <w:rtl/>
        </w:rPr>
        <w:t>)</w:t>
      </w:r>
      <w:r w:rsidRPr="00A32FC0">
        <w:rPr>
          <w:rFonts w:hint="cs"/>
          <w:rtl/>
        </w:rPr>
        <w:t>. وتفاصيل سؤال منكر ونكير بعد الموت هي من فروع الاعتقاد بيوم الجزاء، وترتبط بأصل المعاد، إلاّ أنّه لا يمكن أن يقال: إنها من أصول الدين. وكيفية الحساب على الأعمال في الآخرة تعتبر فرعاً من فروع أصل العدل، ومع هذا لا تُعَدّ أصلاً من أصول المذهب. وكرامات العترة الطاهرة</w:t>
      </w:r>
      <w:r w:rsidR="007A340E">
        <w:rPr>
          <w:rFonts w:hint="cs"/>
          <w:rtl/>
        </w:rPr>
        <w:t>^</w:t>
      </w:r>
      <w:r w:rsidRPr="00A32FC0">
        <w:rPr>
          <w:rFonts w:hint="cs"/>
          <w:rtl/>
        </w:rPr>
        <w:t xml:space="preserve"> تعتبر أيضاً من فروع الاعتقاد بولاية الأئمّة</w:t>
      </w:r>
      <w:r w:rsidR="007A340E">
        <w:rPr>
          <w:rFonts w:hint="cs"/>
          <w:rtl/>
        </w:rPr>
        <w:t>^</w:t>
      </w:r>
      <w:r w:rsidRPr="00A32FC0">
        <w:rPr>
          <w:rFonts w:hint="cs"/>
          <w:rtl/>
        </w:rPr>
        <w:t xml:space="preserve">، ولها ارتباط بأصل الإمامة، ومع ذلك لا تُعَدّ من أصول المذهب. </w:t>
      </w:r>
    </w:p>
    <w:p w:rsidR="00EA09EB" w:rsidRPr="00EA09EB" w:rsidRDefault="00EA09EB" w:rsidP="00EA09EB">
      <w:pPr>
        <w:rPr>
          <w:rtl/>
        </w:rPr>
      </w:pPr>
      <w:r w:rsidRPr="00A32FC0">
        <w:rPr>
          <w:rFonts w:hint="cs"/>
          <w:rtl/>
        </w:rPr>
        <w:t>إذاً حتّى لو اعتبرنا أن ولاية الفقيه في عصر الغيبة هي شأن من شؤون الولاية والإمامة، وقبلنا بأن لها ارتباطاً بأصل الإمامة</w:t>
      </w:r>
      <w:r w:rsidRPr="00064619">
        <w:rPr>
          <w:rFonts w:cs="Taher"/>
          <w:vertAlign w:val="superscript"/>
          <w:rtl/>
        </w:rPr>
        <w:t>(</w:t>
      </w:r>
      <w:r w:rsidRPr="00064619">
        <w:rPr>
          <w:rStyle w:val="FootnoteReference"/>
          <w:rFonts w:cs="Taher"/>
          <w:sz w:val="32"/>
          <w:rtl/>
        </w:rPr>
        <w:footnoteReference w:id="511"/>
      </w:r>
      <w:r w:rsidRPr="00064619">
        <w:rPr>
          <w:rFonts w:cs="Taher"/>
          <w:vertAlign w:val="superscript"/>
          <w:rtl/>
        </w:rPr>
        <w:t>)</w:t>
      </w:r>
      <w:r w:rsidRPr="00EA09EB">
        <w:rPr>
          <w:rFonts w:hint="cs"/>
          <w:rtl/>
        </w:rPr>
        <w:t>، مع ذلك لا يمكن أن نستنتج من ذلك أن «ولاية الفقيه من أصول المذهب».</w:t>
      </w:r>
    </w:p>
    <w:p w:rsidR="00EA09EB" w:rsidRPr="00A32FC0" w:rsidRDefault="00EA09EB" w:rsidP="00887CCF">
      <w:pPr>
        <w:pStyle w:val="Normal84"/>
        <w:rPr>
          <w:rtl/>
        </w:rPr>
      </w:pPr>
      <w:r w:rsidRPr="00A32FC0">
        <w:rPr>
          <w:rFonts w:hint="cs"/>
          <w:b/>
          <w:bCs/>
          <w:rtl/>
        </w:rPr>
        <w:t>ثالثاً</w:t>
      </w:r>
      <w:r w:rsidRPr="00EA09EB">
        <w:rPr>
          <w:rFonts w:hint="cs"/>
          <w:rtl/>
        </w:rPr>
        <w:t>: كيف يمكن اعتبار أمرٍ لا يقول به أكثر فقهاء «الإمامية»</w:t>
      </w:r>
      <w:r w:rsidRPr="00064619">
        <w:rPr>
          <w:rFonts w:cs="Taher"/>
          <w:vertAlign w:val="superscript"/>
          <w:rtl/>
        </w:rPr>
        <w:t>(</w:t>
      </w:r>
      <w:r w:rsidRPr="00064619">
        <w:rPr>
          <w:rStyle w:val="FootnoteReference"/>
          <w:rFonts w:cs="Taher"/>
          <w:sz w:val="32"/>
          <w:rtl/>
        </w:rPr>
        <w:footnoteReference w:id="512"/>
      </w:r>
      <w:r w:rsidRPr="00064619">
        <w:rPr>
          <w:rFonts w:cs="Taher"/>
          <w:vertAlign w:val="superscript"/>
          <w:rtl/>
        </w:rPr>
        <w:t>)</w:t>
      </w:r>
      <w:r w:rsidRPr="00A32FC0">
        <w:rPr>
          <w:rFonts w:hint="cs"/>
          <w:rtl/>
        </w:rPr>
        <w:t xml:space="preserve"> أصلاً من أصول المذهب؟ وكيف يجوز تقليد مجتهدين عاجزين عن معرفة وإدراك أصول مذهبهم </w:t>
      </w:r>
      <w:r w:rsidRPr="00A32FC0">
        <w:rPr>
          <w:rtl/>
        </w:rPr>
        <w:t>ـ</w:t>
      </w:r>
      <w:r w:rsidRPr="00A32FC0">
        <w:rPr>
          <w:rFonts w:hint="cs"/>
          <w:rtl/>
        </w:rPr>
        <w:t xml:space="preserve"> وهم معذورون في ذلك </w:t>
      </w:r>
      <w:r w:rsidRPr="00A32FC0">
        <w:rPr>
          <w:rtl/>
        </w:rPr>
        <w:t>ـ</w:t>
      </w:r>
      <w:r w:rsidRPr="00A32FC0">
        <w:rPr>
          <w:rFonts w:hint="cs"/>
          <w:rtl/>
        </w:rPr>
        <w:t xml:space="preserve"> في الفروع الفقهيّة؟ ألا يُعَدّ بروز الاختلاف في أصول المذهب خطيراً؟ </w:t>
      </w:r>
    </w:p>
    <w:p w:rsidR="00EA09EB" w:rsidRPr="00EA09EB" w:rsidRDefault="00EA09EB" w:rsidP="00EA09EB">
      <w:pPr>
        <w:rPr>
          <w:rtl/>
        </w:rPr>
      </w:pPr>
      <w:r w:rsidRPr="00A32FC0">
        <w:rPr>
          <w:rFonts w:hint="cs"/>
          <w:rtl/>
        </w:rPr>
        <w:t>بملاحظة أن أصول المذهب هي من ذاتيّاته وركائزه، وما يتحقَّق به هويّة المذهب، فإن السماح بدخول مسألة خلافية</w:t>
      </w:r>
      <w:r w:rsidRPr="00064619">
        <w:rPr>
          <w:rFonts w:cs="Taher"/>
          <w:vertAlign w:val="superscript"/>
          <w:rtl/>
        </w:rPr>
        <w:t>(</w:t>
      </w:r>
      <w:r w:rsidRPr="00064619">
        <w:rPr>
          <w:rStyle w:val="FootnoteReference"/>
          <w:rFonts w:cs="Taher"/>
          <w:sz w:val="32"/>
          <w:rtl/>
        </w:rPr>
        <w:footnoteReference w:id="513"/>
      </w:r>
      <w:r w:rsidRPr="00064619">
        <w:rPr>
          <w:rFonts w:cs="Taher"/>
          <w:vertAlign w:val="superscript"/>
          <w:rtl/>
        </w:rPr>
        <w:t>)</w:t>
      </w:r>
      <w:r w:rsidRPr="00EA09EB">
        <w:rPr>
          <w:rFonts w:hint="cs"/>
          <w:rtl/>
        </w:rPr>
        <w:t xml:space="preserve"> إلى إطار الأصول العقائديّة للمذهب يُعَدّ أمراً مثيراً للنقاش. </w:t>
      </w:r>
    </w:p>
    <w:p w:rsidR="00EA09EB" w:rsidRDefault="00EA09EB" w:rsidP="00EA09EB">
      <w:pPr>
        <w:rPr>
          <w:rtl/>
        </w:rPr>
      </w:pPr>
      <w:r w:rsidRPr="00A32FC0">
        <w:rPr>
          <w:rFonts w:hint="cs"/>
          <w:rtl/>
        </w:rPr>
        <w:t xml:space="preserve">وفي النهاية إذا لم يُعدَّ منكر هذا الأصل خارجاً على المذهب فكيف يمكن اعتباره أصلاً؟ وإذا كان المعنى المراد من أصول المذهب وأركانه شيئاً آخر كان لابدّ من توضيحه؛ لرفع هذه التساؤلات. </w:t>
      </w:r>
    </w:p>
    <w:p w:rsidR="007A340E" w:rsidRPr="00A32FC0" w:rsidRDefault="007A340E" w:rsidP="00EA09EB">
      <w:pPr>
        <w:rPr>
          <w:rtl/>
        </w:rPr>
      </w:pPr>
    </w:p>
    <w:p w:rsidR="00EA09EB" w:rsidRPr="00402769" w:rsidRDefault="00EA09EB" w:rsidP="007A340E">
      <w:pPr>
        <w:pStyle w:val="Heading3"/>
        <w:rPr>
          <w:rtl/>
        </w:rPr>
      </w:pPr>
      <w:r w:rsidRPr="007A340E">
        <w:rPr>
          <w:rFonts w:hint="cs"/>
          <w:rtl/>
        </w:rPr>
        <w:t>نتيجة</w:t>
      </w:r>
      <w:r w:rsidRPr="00402769">
        <w:rPr>
          <w:rFonts w:hint="cs"/>
          <w:rtl/>
        </w:rPr>
        <w:t xml:space="preserve"> البحث</w:t>
      </w:r>
    </w:p>
    <w:p w:rsidR="00EA09EB" w:rsidRPr="00A32FC0" w:rsidRDefault="00EA09EB" w:rsidP="00EA09EB">
      <w:pPr>
        <w:rPr>
          <w:rtl/>
        </w:rPr>
      </w:pPr>
      <w:r w:rsidRPr="00A32FC0">
        <w:rPr>
          <w:rFonts w:hint="cs"/>
          <w:rtl/>
        </w:rPr>
        <w:t xml:space="preserve">لا تعدّ ولاية الفقيه بديهيّة، ولا ضرورة عقليّة. كما أنّها ليست من ضروريّات الدين، أو ضروريّات المذهب، أو حتّى من ضروريات الفقه الإماميّ. كما أنها أيضاً ليست أصلاً من أصول المذهب الشيعيّ، ولا من عقائده. وولاية الفقيه ـ طبقاً لما يراه أكثريّة فقهاء الإماميّة ـ هي من الفروع الفقهيّة، وإثباتها منوطٌ بالأدلّة الأربعة (الكتاب؛ والسنّة؛ والإجماع؛ والعقل). وكون هذه المسألة فقهيّة لا يجعلها غير هامّة، فالفقه علمٌ شريفٌ. </w:t>
      </w:r>
    </w:p>
    <w:p w:rsidR="007A340E" w:rsidRDefault="00EA09EB" w:rsidP="007A340E">
      <w:pPr>
        <w:pStyle w:val="Heading2"/>
        <w:jc w:val="center"/>
        <w:rPr>
          <w:rtl/>
        </w:rPr>
      </w:pPr>
      <w:r w:rsidRPr="00EA09EB">
        <w:rPr>
          <w:rtl/>
        </w:rPr>
        <w:br w:type="page"/>
      </w:r>
    </w:p>
    <w:p w:rsidR="007A340E" w:rsidRDefault="007A340E" w:rsidP="007A340E">
      <w:pPr>
        <w:rPr>
          <w:rtl/>
        </w:rPr>
        <w:sectPr w:rsidR="007A340E" w:rsidSect="009003FC">
          <w:headerReference w:type="even" r:id="rId55"/>
          <w:headerReference w:type="default" r:id="rId56"/>
          <w:headerReference w:type="first" r:id="rId57"/>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Default="007A340E" w:rsidP="007A340E">
      <w:pPr>
        <w:rPr>
          <w:rtl/>
        </w:rPr>
      </w:pPr>
    </w:p>
    <w:p w:rsidR="00EA09EB" w:rsidRPr="00E2207F" w:rsidRDefault="00EA09EB" w:rsidP="007A340E">
      <w:pPr>
        <w:pStyle w:val="Heading2"/>
        <w:jc w:val="center"/>
        <w:rPr>
          <w:rtl/>
        </w:rPr>
      </w:pPr>
      <w:bookmarkStart w:id="53" w:name="_Toc413658835"/>
      <w:r w:rsidRPr="00E2207F">
        <w:rPr>
          <w:rFonts w:hint="cs"/>
          <w:rtl/>
        </w:rPr>
        <w:t xml:space="preserve">الفصل السادس عشر: </w:t>
      </w:r>
      <w:r w:rsidRPr="007A340E">
        <w:rPr>
          <w:rFonts w:hint="cs"/>
          <w:rtl/>
        </w:rPr>
        <w:t>أصل عدم الولاية</w:t>
      </w:r>
      <w:bookmarkEnd w:id="53"/>
    </w:p>
    <w:p w:rsidR="00EA09EB" w:rsidRPr="00A32FC0" w:rsidRDefault="00EA09EB" w:rsidP="00EA09EB">
      <w:pPr>
        <w:rPr>
          <w:rtl/>
        </w:rPr>
      </w:pPr>
      <w:r w:rsidRPr="00A32FC0">
        <w:rPr>
          <w:rFonts w:hint="cs"/>
          <w:rtl/>
        </w:rPr>
        <w:t>يُعَدّ البحث حول «أصل عدم الولاية» من البحوث التي يجب أن نتعرَّف عليها قبل الدخول في بحث أدلّة ولاية الفقيه. فقد جرت العادة في البحوث الفقهيّة على بيان الأصل والقاعدة للمسألة المطروحة للبحث قبل عرض أدلّتها. والفائدة من تأسيس الأصل تظهر في الموارد التي نشكّ في جريان الولاية فيها، حيث إنّنا نتمسَّك عند ذلك بالأصل. و</w:t>
      </w:r>
      <w:r>
        <w:rPr>
          <w:rFonts w:hint="cs"/>
          <w:rtl/>
        </w:rPr>
        <w:t>لا بُدَّ</w:t>
      </w:r>
      <w:r w:rsidRPr="00A32FC0">
        <w:rPr>
          <w:rFonts w:hint="cs"/>
          <w:rtl/>
        </w:rPr>
        <w:t xml:space="preserve"> لنا من دليلٍ للخروج عن الأصل. وما لا دليل على خروجه يبقى تحت الأصل. </w:t>
      </w:r>
    </w:p>
    <w:p w:rsidR="00EA09EB" w:rsidRPr="00A32FC0" w:rsidRDefault="00EA09EB" w:rsidP="00EA09EB">
      <w:pPr>
        <w:rPr>
          <w:rtl/>
        </w:rPr>
      </w:pPr>
      <w:r w:rsidRPr="00A32FC0">
        <w:rPr>
          <w:rFonts w:hint="cs"/>
          <w:rtl/>
        </w:rPr>
        <w:t xml:space="preserve">ومن الناحية الفقهيّة فإن الأصل هو عدم الولاية، أي إن القاعدة مبنيّة على أن لا ولاية لأحد على أحد، وليس من حقّ أحدٍ التدخُّل في شؤون الغير. وكلُّ فرد </w:t>
      </w:r>
      <w:r w:rsidRPr="00A32FC0">
        <w:rPr>
          <w:rtl/>
        </w:rPr>
        <w:t>ـ</w:t>
      </w:r>
      <w:r w:rsidRPr="00A32FC0">
        <w:rPr>
          <w:rFonts w:hint="cs"/>
          <w:rtl/>
        </w:rPr>
        <w:t xml:space="preserve"> على أساس الشرع والعقل </w:t>
      </w:r>
      <w:r w:rsidRPr="00A32FC0">
        <w:rPr>
          <w:rtl/>
        </w:rPr>
        <w:t>ـ</w:t>
      </w:r>
      <w:r w:rsidRPr="00A32FC0">
        <w:rPr>
          <w:rFonts w:hint="cs"/>
          <w:rtl/>
        </w:rPr>
        <w:t xml:space="preserve"> مسؤولٌ عن الشؤون التي ترتبط به، وبالتالي سوف يكون مسؤولاً عن أعماله أمام الله يوم القيامة.</w:t>
      </w:r>
    </w:p>
    <w:p w:rsidR="00EA09EB" w:rsidRPr="00A32FC0" w:rsidRDefault="00EA09EB" w:rsidP="00EA09EB">
      <w:pPr>
        <w:rPr>
          <w:rtl/>
        </w:rPr>
      </w:pPr>
      <w:r w:rsidRPr="00A32FC0">
        <w:rPr>
          <w:rFonts w:hint="cs"/>
          <w:rtl/>
        </w:rPr>
        <w:t xml:space="preserve">وأمّا أن يقوم فردٌ بالتصدّي للتصرُّف في شؤون فردٍ آخر </w:t>
      </w:r>
      <w:r w:rsidRPr="00A32FC0">
        <w:rPr>
          <w:rtl/>
        </w:rPr>
        <w:t>ـ</w:t>
      </w:r>
      <w:r w:rsidRPr="00A32FC0">
        <w:rPr>
          <w:rFonts w:hint="cs"/>
          <w:rtl/>
        </w:rPr>
        <w:t xml:space="preserve"> عامّة كانت أو خاصّة </w:t>
      </w:r>
      <w:r w:rsidRPr="00A32FC0">
        <w:rPr>
          <w:rtl/>
        </w:rPr>
        <w:t>ـ</w:t>
      </w:r>
      <w:r w:rsidRPr="00A32FC0">
        <w:rPr>
          <w:rFonts w:hint="cs"/>
          <w:rtl/>
        </w:rPr>
        <w:t xml:space="preserve">، ويجعل نفسه وليّاً عليه بدون أن يُحرِز رضاه، فهذا أمرٌ يحتاج إلى دليل شرعيّ معتبر. </w:t>
      </w:r>
    </w:p>
    <w:p w:rsidR="00EA09EB" w:rsidRPr="00A32FC0" w:rsidRDefault="00EA09EB" w:rsidP="00EA09EB">
      <w:pPr>
        <w:rPr>
          <w:rtl/>
        </w:rPr>
      </w:pPr>
      <w:r w:rsidRPr="00A32FC0">
        <w:rPr>
          <w:rFonts w:hint="cs"/>
          <w:rtl/>
        </w:rPr>
        <w:t>ويمكن الخروج عن أصل عدم الولاية في حالة واحدة فقط، وهي إذا صرّح الشارع المقدَّس بمنع فردٍ أو جماعةٍ من التصدّي والتصرُّف في مورد من الموارد. وعلى هذا الأساس فإنّ الأصل هو عدم المحجوريّة على الناس، أي إنّ جميع الناس مسؤولون عن مصيرهم. فالمحجورية هي التي تحتاج إلى دليل، أمّا الرشد فلا يحتاج إلى دليل.</w:t>
      </w:r>
    </w:p>
    <w:p w:rsidR="00EA09EB" w:rsidRPr="00EA09EB" w:rsidRDefault="00EA09EB" w:rsidP="007A340E">
      <w:pPr>
        <w:ind w:firstLine="283"/>
        <w:rPr>
          <w:rtl/>
        </w:rPr>
      </w:pPr>
      <w:r w:rsidRPr="00EA09EB">
        <w:rPr>
          <w:rFonts w:hint="cs"/>
          <w:rtl/>
        </w:rPr>
        <w:t>وقد أقيم الدليل الفقهيّ المعتبر على سبعة موارد</w:t>
      </w:r>
      <w:r>
        <w:rPr>
          <w:rStyle w:val="FootnoteReference"/>
          <w:rFonts w:cs="Abz-1 (Lotus)"/>
          <w:sz w:val="32"/>
          <w:szCs w:val="32"/>
          <w:rtl/>
        </w:rPr>
        <w:footnoteReference w:id="514"/>
      </w:r>
      <w:r w:rsidRPr="00EA09EB">
        <w:rPr>
          <w:rFonts w:hint="cs"/>
          <w:rtl/>
        </w:rPr>
        <w:t xml:space="preserve"> للولاية في الأمور الخاصّة. ولذلك فقد أجمع الفقهاء على خروجها من تحت هذا الأصل.</w:t>
      </w:r>
    </w:p>
    <w:p w:rsidR="00EA09EB" w:rsidRPr="00A32FC0" w:rsidRDefault="00EA09EB" w:rsidP="00887CCF">
      <w:pPr>
        <w:pStyle w:val="Normal87"/>
        <w:rPr>
          <w:rtl/>
        </w:rPr>
      </w:pPr>
      <w:r w:rsidRPr="00A32FC0">
        <w:rPr>
          <w:rFonts w:hint="cs"/>
          <w:rtl/>
        </w:rPr>
        <w:t xml:space="preserve">ومورد بحثنا هنا هو خروج ولاية الفقيه </w:t>
      </w:r>
      <w:r w:rsidR="00A06401">
        <w:rPr>
          <w:rFonts w:hint="cs"/>
          <w:rtl/>
        </w:rPr>
        <w:t>بالمعنى الأعم والأشمل</w:t>
      </w:r>
      <w:r w:rsidRPr="00A32FC0">
        <w:rPr>
          <w:rFonts w:hint="cs"/>
          <w:rtl/>
        </w:rPr>
        <w:t xml:space="preserve"> من الأمور الحسبيّة، أي ولايته على الشؤون العامّة </w:t>
      </w:r>
      <w:r w:rsidRPr="00A32FC0">
        <w:rPr>
          <w:rtl/>
        </w:rPr>
        <w:t>ـ</w:t>
      </w:r>
      <w:r w:rsidRPr="00A32FC0">
        <w:rPr>
          <w:rFonts w:hint="cs"/>
          <w:rtl/>
        </w:rPr>
        <w:t xml:space="preserve"> التي يعبَّر عنها بالولاية العامّة للفقيه، ومن حيثية أخرى بالولاية المطلقة للفقيه، وفي بعض الأحيان بالولاية السياسية للفقيه </w:t>
      </w:r>
      <w:r w:rsidRPr="00A32FC0">
        <w:rPr>
          <w:rtl/>
        </w:rPr>
        <w:t>ـ</w:t>
      </w:r>
      <w:r w:rsidRPr="00A32FC0">
        <w:rPr>
          <w:rFonts w:hint="cs"/>
          <w:rtl/>
        </w:rPr>
        <w:t xml:space="preserve"> من تحت أصل عدم الولاية، وأمّا إذا كانت الأدلّة المقامة قاصرة عن إثباتها ـ سواء من حيث الصدور، أو السند، أو الأهمّ من ذلك من حيث الدلالة ـ فإنّنا نتمسّك بأصل عدم الولاية في دائرة الشؤون العامّة، وكلُّ تصرُّف في دائرة الشؤون العامّة </w:t>
      </w:r>
      <w:r w:rsidRPr="00A32FC0">
        <w:rPr>
          <w:rtl/>
        </w:rPr>
        <w:t>ـ</w:t>
      </w:r>
      <w:r w:rsidRPr="00A32FC0">
        <w:rPr>
          <w:rFonts w:hint="cs"/>
          <w:rtl/>
        </w:rPr>
        <w:t xml:space="preserve"> طبقاً للضوابط الشرعيّة </w:t>
      </w:r>
      <w:r w:rsidRPr="00A32FC0">
        <w:rPr>
          <w:rtl/>
        </w:rPr>
        <w:t>ـ</w:t>
      </w:r>
      <w:r w:rsidRPr="00A32FC0">
        <w:rPr>
          <w:rFonts w:hint="cs"/>
          <w:rtl/>
        </w:rPr>
        <w:t xml:space="preserve"> متوقِّف على إذن ورضا عموم الناس. لذلك فإن البحث حول المبادئ التصديقيّة للولاية يتمتَّع بأهمّيّة حيويّة في الفكر السياسيّ. فإثبات الولاية الشرعيّة للفقيه على الناس في دائرة شؤونهم العامّة يؤدّي إلى إرساء فكر سياسيّ وحقوقيّ خاصّ؛ وعدم إثباتها سوف يؤدّي إلى إرساء فكر سياسيّ وحقوقيّ مبايِنٍ تماماً. وتبلغ أهمية بحث المبادئ التصديقيّة للولاية إلى حدّ أنّ أيّ باحث في العلوم السياسيّة والحقوق والفقه لا يمكن له الإلمام بمباحث هذه العلوم ما لم يكن له وجهة نظر خاصّة في هذا الأمر الخطير.</w:t>
      </w:r>
    </w:p>
    <w:p w:rsidR="00EA09EB" w:rsidRPr="00A32FC0" w:rsidRDefault="00EA09EB" w:rsidP="00EA09EB">
      <w:pPr>
        <w:rPr>
          <w:rtl/>
          <w:lang w:bidi="ar-LB"/>
        </w:rPr>
      </w:pPr>
      <w:r w:rsidRPr="00EA09EB">
        <w:rPr>
          <w:rFonts w:hint="cs"/>
          <w:rtl/>
        </w:rPr>
        <w:t>وكما أشرنا في موضع سابق</w:t>
      </w:r>
      <w:r w:rsidRPr="00064619">
        <w:rPr>
          <w:rFonts w:cs="Taher"/>
          <w:vertAlign w:val="superscript"/>
          <w:rtl/>
        </w:rPr>
        <w:t>(</w:t>
      </w:r>
      <w:r w:rsidRPr="00064619">
        <w:rPr>
          <w:rStyle w:val="FootnoteReference"/>
          <w:rFonts w:cs="Taher"/>
          <w:sz w:val="32"/>
          <w:rtl/>
        </w:rPr>
        <w:footnoteReference w:id="515"/>
      </w:r>
      <w:r w:rsidRPr="00064619">
        <w:rPr>
          <w:rFonts w:cs="Taher"/>
          <w:vertAlign w:val="superscript"/>
          <w:rtl/>
        </w:rPr>
        <w:t>)</w:t>
      </w:r>
      <w:r w:rsidRPr="00EA09EB">
        <w:rPr>
          <w:rFonts w:hint="cs"/>
          <w:rtl/>
        </w:rPr>
        <w:t xml:space="preserve"> فإنّ أوّل فقيه طرح أصل عدم الولاية هو الشيخ جعفر كاشف الغطاء، أحد الفقهاء الكبار في العصر القاجاري</w:t>
      </w:r>
      <w:r w:rsidRPr="00064619">
        <w:rPr>
          <w:rFonts w:cs="Taher"/>
          <w:vertAlign w:val="superscript"/>
          <w:rtl/>
          <w:lang w:bidi="ar-LB"/>
        </w:rPr>
        <w:t>(</w:t>
      </w:r>
      <w:r w:rsidRPr="00064619">
        <w:rPr>
          <w:rStyle w:val="FootnoteReference"/>
          <w:rFonts w:cs="Taher"/>
          <w:sz w:val="32"/>
          <w:rtl/>
          <w:lang w:bidi="ar-LB"/>
        </w:rPr>
        <w:footnoteReference w:id="516"/>
      </w:r>
      <w:r w:rsidRPr="00064619">
        <w:rPr>
          <w:rFonts w:cs="Taher"/>
          <w:vertAlign w:val="superscript"/>
          <w:rtl/>
          <w:lang w:bidi="ar-LB"/>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وفيما بعد، خاصة في أيّام الشيخ مرتضى الأنصاري، كان الفقهاء متمسِّكين بهذا الأصل</w:t>
      </w:r>
      <w:r w:rsidRPr="00064619">
        <w:rPr>
          <w:rFonts w:cs="Taher"/>
          <w:vertAlign w:val="superscript"/>
          <w:rtl/>
          <w:lang w:bidi="ar-LB"/>
        </w:rPr>
        <w:t>(</w:t>
      </w:r>
      <w:r w:rsidRPr="00064619">
        <w:rPr>
          <w:rStyle w:val="FootnoteReference"/>
          <w:rFonts w:cs="Taher"/>
          <w:sz w:val="32"/>
          <w:rtl/>
          <w:lang w:bidi="ar-LB"/>
        </w:rPr>
        <w:footnoteReference w:id="517"/>
      </w:r>
      <w:r w:rsidRPr="00064619">
        <w:rPr>
          <w:rFonts w:cs="Taher"/>
          <w:vertAlign w:val="superscript"/>
          <w:rtl/>
          <w:lang w:bidi="ar-LB"/>
        </w:rPr>
        <w:t>)</w:t>
      </w:r>
      <w:r w:rsidRPr="00A32FC0">
        <w:rPr>
          <w:rFonts w:hint="cs"/>
          <w:rtl/>
          <w:lang w:bidi="ar-LB"/>
        </w:rPr>
        <w:t>.</w:t>
      </w:r>
    </w:p>
    <w:p w:rsidR="00EA09EB" w:rsidRPr="00EA09EB" w:rsidRDefault="00EA09EB" w:rsidP="00887CCF">
      <w:pPr>
        <w:pStyle w:val="Normal87"/>
        <w:rPr>
          <w:rtl/>
        </w:rPr>
      </w:pPr>
      <w:r>
        <w:rPr>
          <w:rFonts w:hint="cs"/>
          <w:rtl/>
        </w:rPr>
        <w:t>وقد قام السيد</w:t>
      </w:r>
      <w:r w:rsidRPr="00A32FC0">
        <w:rPr>
          <w:rFonts w:hint="cs"/>
          <w:rtl/>
        </w:rPr>
        <w:t xml:space="preserve"> الخمينيّ ببحث أصل عدم الولاية قبل قيامه بالبحث في أدلّة منصب الولاية والقضاء للفقهاء، حيث قال: «لا إشكال في أنّ الأصل عدم نفوذ حكم أحد على غيره، قضاءً كان أو غيره، ومجرَّد النبوّة والرسالة والوصاية والعلم، ب</w:t>
      </w:r>
      <w:r>
        <w:rPr>
          <w:rFonts w:hint="cs"/>
          <w:rtl/>
        </w:rPr>
        <w:t>أيّ</w:t>
      </w:r>
      <w:r w:rsidRPr="00A32FC0">
        <w:rPr>
          <w:rFonts w:hint="cs"/>
          <w:rtl/>
        </w:rPr>
        <w:t xml:space="preserve"> درجة كان، وسائر الفضائل لا يوجب أن يكون حكم صاحبها نافذاً، وقضاؤه فاصلاً. فما يحكم به العقل هو نفوذ حكم الله تعالى شأنه في خلقه؛ لكونه مالكهم وخالقهم، والتصرُّف فيهم بأيّ نحو من التصرُّف يكون تصرُّفاً في ملكه وسلطانه، وهو تعالى شأنه سلطانٌ على كلّ الخلائق بالاستحقاق الذاتيّ، وسلطنةُ غيره ونفوذُ حكمه وقضائه يحتاج إلى جعله. وقد نصب النبيّ للخلافة والحكومة مطلقاً، قضاءً كانت أو غيره، فهو</w:t>
      </w:r>
      <w:r w:rsidRPr="00A32FC0">
        <w:rPr>
          <w:rFonts w:hint="cs"/>
          <w:rtl/>
        </w:rPr>
        <w:sym w:font="Roumouz" w:char="F02D"/>
      </w:r>
      <w:r w:rsidRPr="00A32FC0">
        <w:rPr>
          <w:rFonts w:hint="cs"/>
          <w:rtl/>
        </w:rPr>
        <w:t xml:space="preserve"> سلطانٌ من قبل الله تعالى على العباد؛ بجعله... ثمّ بعد النبيّ</w:t>
      </w:r>
      <w:r w:rsidRPr="00A32FC0">
        <w:rPr>
          <w:rFonts w:hint="cs"/>
          <w:rtl/>
        </w:rPr>
        <w:sym w:font="Roumouz" w:char="F02D"/>
      </w:r>
      <w:r w:rsidRPr="00A32FC0">
        <w:rPr>
          <w:rFonts w:hint="cs"/>
          <w:rtl/>
        </w:rPr>
        <w:t xml:space="preserve"> كان الأئمّة</w:t>
      </w:r>
      <w:r w:rsidR="007A340E">
        <w:rPr>
          <w:rFonts w:hint="cs"/>
          <w:rtl/>
        </w:rPr>
        <w:t>^</w:t>
      </w:r>
      <w:r w:rsidRPr="00A32FC0">
        <w:rPr>
          <w:rFonts w:hint="cs"/>
          <w:rtl/>
        </w:rPr>
        <w:t>، واحداً بعد واحد، سلطاناً وحاكماً على العباد، ونافذاً حكمهم؛ من قبل تنصيب الله تعالى، وتنصيب النبي... وإنّما الإشكال في أمر القضاء والحكومة في زمن الغيبة، وبعد قضاء الأصل المتقدِّم [أصل عدم الولاية]، وبعد دلالة الأدلّة على أنّ القضاء والحكومة من المناصب الخاصّة للخليفة والنبيّ والوصي...، ف</w:t>
      </w:r>
      <w:r>
        <w:rPr>
          <w:rFonts w:hint="cs"/>
          <w:rtl/>
        </w:rPr>
        <w:t>لا بُدَّ</w:t>
      </w:r>
      <w:r w:rsidRPr="00A32FC0">
        <w:rPr>
          <w:rFonts w:hint="cs"/>
          <w:rtl/>
        </w:rPr>
        <w:t xml:space="preserve"> للإخراج عن الأصل [أصل عدم الولاية]، والأدلة [شؤون الخلافة]، من دليلٍ معتبرٍ»</w:t>
      </w:r>
      <w:r w:rsidRPr="00064619">
        <w:rPr>
          <w:rFonts w:cs="Taher"/>
          <w:vertAlign w:val="superscript"/>
          <w:rtl/>
        </w:rPr>
        <w:t>(</w:t>
      </w:r>
      <w:r w:rsidRPr="00064619">
        <w:rPr>
          <w:rStyle w:val="FootnoteReference"/>
          <w:rFonts w:cs="Taher"/>
          <w:sz w:val="32"/>
          <w:rtl/>
        </w:rPr>
        <w:footnoteReference w:id="518"/>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وللخروج عن أصل عدم الولاية، ولإثبات الولاية الشرعيّة للفقيه على الناس في دائرة شؤونهم العامّة، تمسَّك الفقهاء ببعض الروايات؛ ودليل العقل؛ والإجماع؛ وبعض آيات القرآن الكريم. </w:t>
      </w:r>
    </w:p>
    <w:p w:rsidR="00EA09EB" w:rsidRPr="00A32FC0" w:rsidRDefault="00EA09EB" w:rsidP="00EA09EB">
      <w:pPr>
        <w:rPr>
          <w:rtl/>
          <w:lang w:bidi="ar-LB"/>
        </w:rPr>
      </w:pPr>
      <w:r w:rsidRPr="00EA09EB">
        <w:rPr>
          <w:rFonts w:hint="cs"/>
          <w:rtl/>
        </w:rPr>
        <w:t xml:space="preserve">وعلى هذه الأدلّة أن تثبت أموراً أربعة: </w:t>
      </w:r>
      <w:r w:rsidRPr="00A32FC0">
        <w:rPr>
          <w:rFonts w:hint="cs"/>
          <w:b/>
          <w:bCs/>
          <w:rtl/>
          <w:lang w:bidi="ar-LB"/>
        </w:rPr>
        <w:t>أولاً</w:t>
      </w:r>
      <w:r w:rsidRPr="00EA09EB">
        <w:rPr>
          <w:rFonts w:hint="cs"/>
          <w:rtl/>
        </w:rPr>
        <w:t xml:space="preserve">: الولاية؛ </w:t>
      </w:r>
      <w:r w:rsidRPr="00A32FC0">
        <w:rPr>
          <w:rFonts w:hint="cs"/>
          <w:b/>
          <w:bCs/>
          <w:rtl/>
          <w:lang w:bidi="ar-LB"/>
        </w:rPr>
        <w:t>ثانياً</w:t>
      </w:r>
      <w:r w:rsidRPr="00EA09EB">
        <w:rPr>
          <w:rFonts w:hint="cs"/>
          <w:rtl/>
        </w:rPr>
        <w:t xml:space="preserve">: التعيين، </w:t>
      </w:r>
      <w:r w:rsidRPr="00A32FC0">
        <w:rPr>
          <w:rFonts w:hint="cs"/>
          <w:b/>
          <w:bCs/>
          <w:rtl/>
          <w:lang w:bidi="ar-LB"/>
        </w:rPr>
        <w:t>ثالثاً</w:t>
      </w:r>
      <w:r w:rsidRPr="00EA09EB">
        <w:rPr>
          <w:rFonts w:hint="cs"/>
          <w:rtl/>
        </w:rPr>
        <w:t xml:space="preserve">: إطلاق الولاية، </w:t>
      </w:r>
      <w:r w:rsidRPr="00A32FC0">
        <w:rPr>
          <w:rFonts w:hint="cs"/>
          <w:b/>
          <w:bCs/>
          <w:rtl/>
          <w:lang w:bidi="ar-LB"/>
        </w:rPr>
        <w:t>رابعاً</w:t>
      </w:r>
      <w:r w:rsidRPr="00A32FC0">
        <w:rPr>
          <w:rFonts w:hint="cs"/>
          <w:rtl/>
          <w:lang w:bidi="ar-LB"/>
        </w:rPr>
        <w:t>: شرط الفقاهة.</w:t>
      </w:r>
    </w:p>
    <w:p w:rsidR="007A340E" w:rsidRDefault="00EA09EB" w:rsidP="007A340E">
      <w:pPr>
        <w:pStyle w:val="Heading2"/>
        <w:jc w:val="center"/>
        <w:rPr>
          <w:rtl/>
          <w:lang w:bidi="ar-LB"/>
        </w:rPr>
      </w:pPr>
      <w:r w:rsidRPr="00A32FC0">
        <w:rPr>
          <w:rtl/>
          <w:lang w:bidi="ar-LB"/>
        </w:rPr>
        <w:br w:type="page"/>
      </w:r>
    </w:p>
    <w:p w:rsidR="007A340E" w:rsidRDefault="007A340E" w:rsidP="007A340E">
      <w:pPr>
        <w:rPr>
          <w:rtl/>
          <w:lang w:bidi="ar-LB"/>
        </w:rPr>
        <w:sectPr w:rsidR="007A340E" w:rsidSect="009003FC">
          <w:headerReference w:type="first" r:id="rId58"/>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54" w:name="_Toc413658836"/>
      <w:r w:rsidRPr="00E2207F">
        <w:rPr>
          <w:rFonts w:hint="cs"/>
          <w:rtl/>
          <w:lang w:bidi="ar-LB"/>
        </w:rPr>
        <w:t xml:space="preserve">الفصل السابع عشر: أدلّة ولاية </w:t>
      </w:r>
      <w:r w:rsidRPr="007A340E">
        <w:rPr>
          <w:rFonts w:hint="cs"/>
          <w:rtl/>
        </w:rPr>
        <w:t>الفقيه في الروايات المرويّة عن النبيّ</w:t>
      </w:r>
      <w:r w:rsidRPr="00E2207F">
        <w:rPr>
          <w:rFonts w:hint="cs"/>
          <w:rtl/>
        </w:rPr>
        <w:sym w:font="Roumouz" w:char="F02D"/>
      </w:r>
      <w:bookmarkEnd w:id="54"/>
    </w:p>
    <w:p w:rsidR="00EA09EB" w:rsidRPr="00A32FC0" w:rsidRDefault="00EA09EB" w:rsidP="00EA09EB">
      <w:pPr>
        <w:rPr>
          <w:rtl/>
          <w:lang w:bidi="ar-LB"/>
        </w:rPr>
      </w:pPr>
      <w:r w:rsidRPr="00A32FC0">
        <w:rPr>
          <w:rFonts w:hint="cs"/>
          <w:rtl/>
          <w:lang w:bidi="ar-LB"/>
        </w:rPr>
        <w:t>يرى الفقهاء أن روايات النبيّ</w:t>
      </w:r>
      <w:r w:rsidRPr="00A32FC0">
        <w:rPr>
          <w:rFonts w:hint="cs"/>
          <w:rtl/>
        </w:rPr>
        <w:sym w:font="Roumouz" w:char="F02D"/>
      </w:r>
      <w:r w:rsidRPr="00A32FC0">
        <w:rPr>
          <w:rFonts w:hint="cs"/>
          <w:rtl/>
          <w:lang w:bidi="ar-LB"/>
        </w:rPr>
        <w:t xml:space="preserve"> والأئمّة</w:t>
      </w:r>
      <w:r w:rsidR="007A340E">
        <w:rPr>
          <w:rFonts w:hint="cs"/>
          <w:rtl/>
        </w:rPr>
        <w:t>^</w:t>
      </w:r>
      <w:r w:rsidRPr="00A32FC0">
        <w:rPr>
          <w:rFonts w:hint="cs"/>
          <w:rtl/>
          <w:lang w:bidi="ar-LB"/>
        </w:rPr>
        <w:t xml:space="preserve"> هي الدليل الأهمّ على ولاية الفقيه. </w:t>
      </w:r>
    </w:p>
    <w:p w:rsidR="00EA09EB" w:rsidRPr="00A32FC0" w:rsidRDefault="00EA09EB" w:rsidP="00EA09EB">
      <w:pPr>
        <w:rPr>
          <w:rtl/>
          <w:lang w:bidi="ar-LB"/>
        </w:rPr>
      </w:pPr>
      <w:r w:rsidRPr="00EA09EB">
        <w:rPr>
          <w:rFonts w:hint="cs"/>
          <w:rtl/>
        </w:rPr>
        <w:t>وأوّل فقيه قام بجمع الأدلة الروائيّة لولاية الفقيه هو المولى أحمد النراقي(م 1245هـ)</w:t>
      </w:r>
      <w:r w:rsidRPr="00064619">
        <w:rPr>
          <w:rFonts w:cs="Taher"/>
          <w:vertAlign w:val="superscript"/>
          <w:rtl/>
          <w:lang w:bidi="ar-LB"/>
        </w:rPr>
        <w:t>(</w:t>
      </w:r>
      <w:r w:rsidRPr="00064619">
        <w:rPr>
          <w:rStyle w:val="FootnoteReference"/>
          <w:rFonts w:cs="Taher"/>
          <w:sz w:val="32"/>
          <w:rtl/>
          <w:lang w:bidi="ar-LB"/>
        </w:rPr>
        <w:footnoteReference w:id="519"/>
      </w:r>
      <w:r w:rsidRPr="00064619">
        <w:rPr>
          <w:rFonts w:cs="Taher"/>
          <w:vertAlign w:val="superscript"/>
          <w:rtl/>
          <w:lang w:bidi="ar-LB"/>
        </w:rPr>
        <w:t>)</w:t>
      </w:r>
      <w:r w:rsidRPr="00A32FC0">
        <w:rPr>
          <w:rFonts w:hint="cs"/>
          <w:rtl/>
          <w:lang w:bidi="ar-LB"/>
        </w:rPr>
        <w:t xml:space="preserve">، إلاّ أنّه لم يقم ببحث هذه الروايات من ناحية السند والدلالة. </w:t>
      </w:r>
    </w:p>
    <w:p w:rsidR="00EA09EB" w:rsidRPr="00EA09EB" w:rsidRDefault="00EA09EB" w:rsidP="00EA09EB">
      <w:pPr>
        <w:rPr>
          <w:rtl/>
        </w:rPr>
      </w:pPr>
      <w:r w:rsidRPr="00A32FC0">
        <w:rPr>
          <w:rFonts w:hint="cs"/>
          <w:rtl/>
          <w:lang w:bidi="ar-LB"/>
        </w:rPr>
        <w:t>وقد قام الفقهاء من بعده، وخصوصاً تلميذه المعروف الشيخ مرتضى الأنصاريّ، بدراسة الأبعاد المختلفة لهذه الروايات بعمق وتأمُّل</w:t>
      </w:r>
      <w:r w:rsidRPr="00064619">
        <w:rPr>
          <w:rFonts w:cs="Taher"/>
          <w:vertAlign w:val="superscript"/>
          <w:rtl/>
          <w:lang w:bidi="ar-LB"/>
        </w:rPr>
        <w:t>(</w:t>
      </w:r>
      <w:r w:rsidRPr="00064619">
        <w:rPr>
          <w:rStyle w:val="FootnoteReference"/>
          <w:rFonts w:cs="Taher"/>
          <w:sz w:val="32"/>
          <w:rtl/>
          <w:lang w:bidi="ar-LB"/>
        </w:rPr>
        <w:footnoteReference w:id="520"/>
      </w:r>
      <w:r w:rsidRPr="00064619">
        <w:rPr>
          <w:rFonts w:cs="Taher"/>
          <w:vertAlign w:val="superscript"/>
          <w:rtl/>
          <w:lang w:bidi="ar-LB"/>
        </w:rPr>
        <w:t>)</w:t>
      </w:r>
      <w:r w:rsidRPr="00EA09EB">
        <w:rPr>
          <w:rFonts w:hint="cs"/>
          <w:rtl/>
        </w:rPr>
        <w:t xml:space="preserve">. </w:t>
      </w:r>
    </w:p>
    <w:p w:rsidR="00EA09EB" w:rsidRPr="00A32FC0" w:rsidRDefault="00EA09EB" w:rsidP="00EA09EB">
      <w:pPr>
        <w:rPr>
          <w:rtl/>
          <w:lang w:bidi="ar-LB"/>
        </w:rPr>
      </w:pPr>
      <w:r w:rsidRPr="00A32FC0">
        <w:rPr>
          <w:rFonts w:hint="cs"/>
          <w:rtl/>
          <w:lang w:bidi="ar-LB"/>
        </w:rPr>
        <w:t>وعلى مدى قرن ونصف من بحث الفقهاء للأدلّة الروائيّة لولاية الفقيه خلص البحث إلى عشر مجموعات من الروايات كأدلّة روائية على ولاية الفقيه. وكلّ مجموعة يمكن أن تتضمن أحياناً رواية واحدة؛ وأحياناً أخرى عدّة روايات ذات مضمون واحد. وسوف نقوم بدراسة هذه الروايات طبقاً لترتيب المعصومين، أي إننا سوف نبدأ بالروايات المنقولة عن النبيّ</w:t>
      </w:r>
      <w:r w:rsidRPr="00A32FC0">
        <w:rPr>
          <w:rFonts w:hint="cs"/>
          <w:rtl/>
        </w:rPr>
        <w:sym w:font="Roumouz" w:char="F02D"/>
      </w:r>
      <w:r w:rsidRPr="00A32FC0">
        <w:rPr>
          <w:rFonts w:hint="cs"/>
          <w:rtl/>
          <w:lang w:bidi="ar-LB"/>
        </w:rPr>
        <w:t>، ومن ثم الروايات المنقولة عن الإمام عليّ</w:t>
      </w:r>
      <w:r>
        <w:rPr>
          <w:rFonts w:hint="cs"/>
          <w:rtl/>
        </w:rPr>
        <w:t>×</w:t>
      </w:r>
      <w:r w:rsidRPr="00A32FC0">
        <w:rPr>
          <w:rFonts w:hint="cs"/>
          <w:rtl/>
          <w:lang w:bidi="ar-LB"/>
        </w:rPr>
        <w:t>، ثم الإمام الحسين</w:t>
      </w:r>
      <w:r>
        <w:rPr>
          <w:rFonts w:hint="cs"/>
          <w:rtl/>
        </w:rPr>
        <w:t>×</w:t>
      </w:r>
      <w:r w:rsidRPr="00A32FC0">
        <w:rPr>
          <w:rFonts w:hint="cs"/>
          <w:rtl/>
          <w:lang w:bidi="ar-LB"/>
        </w:rPr>
        <w:t>، ثم الإمام الصادق</w:t>
      </w:r>
      <w:r>
        <w:rPr>
          <w:rFonts w:hint="cs"/>
          <w:rtl/>
        </w:rPr>
        <w:t>×</w:t>
      </w:r>
      <w:r w:rsidRPr="00A32FC0">
        <w:rPr>
          <w:rFonts w:hint="cs"/>
          <w:rtl/>
          <w:lang w:bidi="ar-LB"/>
        </w:rPr>
        <w:t>، ثم الكاظم</w:t>
      </w:r>
      <w:r>
        <w:rPr>
          <w:rFonts w:hint="cs"/>
          <w:rtl/>
        </w:rPr>
        <w:t>×</w:t>
      </w:r>
      <w:r w:rsidRPr="00A32FC0">
        <w:rPr>
          <w:rFonts w:hint="cs"/>
          <w:rtl/>
          <w:lang w:bidi="ar-LB"/>
        </w:rPr>
        <w:t>. وأخيراً نقوم بدراسة التواقيع المنسوبة إلى الإمام المهديّ</w:t>
      </w:r>
      <w:r>
        <w:rPr>
          <w:rFonts w:hint="cs"/>
          <w:rtl/>
        </w:rPr>
        <w:t>×</w:t>
      </w:r>
      <w:r w:rsidRPr="00A32FC0">
        <w:rPr>
          <w:rFonts w:hint="cs"/>
          <w:rtl/>
          <w:lang w:bidi="ar-LB"/>
        </w:rPr>
        <w:t>. وإذا كان هناك رواية قد نقلها أحد المعصومين</w:t>
      </w:r>
      <w:r w:rsidR="007A340E">
        <w:rPr>
          <w:rFonts w:hint="cs"/>
          <w:rtl/>
        </w:rPr>
        <w:t>^</w:t>
      </w:r>
      <w:r w:rsidRPr="00A32FC0">
        <w:rPr>
          <w:rFonts w:hint="cs"/>
          <w:rtl/>
          <w:lang w:bidi="ar-LB"/>
        </w:rPr>
        <w:t xml:space="preserve"> عن معصوم أسبق منه فإننا سوف نعتمد في ترتيبنا على المعصوم الأسبق</w:t>
      </w:r>
      <w:r>
        <w:rPr>
          <w:rFonts w:hint="cs"/>
          <w:rtl/>
        </w:rPr>
        <w:t>×</w:t>
      </w:r>
      <w:r w:rsidRPr="00A32FC0">
        <w:rPr>
          <w:rFonts w:hint="cs"/>
          <w:rtl/>
          <w:lang w:bidi="ar-LB"/>
        </w:rPr>
        <w:t>.</w:t>
      </w:r>
    </w:p>
    <w:p w:rsidR="00EA09EB" w:rsidRPr="00A32FC0" w:rsidRDefault="00EA09EB" w:rsidP="00EA09EB">
      <w:pPr>
        <w:rPr>
          <w:rtl/>
          <w:lang w:bidi="ar-LB"/>
        </w:rPr>
      </w:pPr>
      <w:r w:rsidRPr="00A32FC0">
        <w:rPr>
          <w:rFonts w:hint="cs"/>
          <w:rtl/>
          <w:lang w:bidi="ar-LB"/>
        </w:rPr>
        <w:t>من ضمن الأدلّة الروائيّة على ولاية الفقيه هناك أربع مجموعات روائيّة منقولة عن النبيّ</w:t>
      </w:r>
      <w:r w:rsidRPr="00A32FC0">
        <w:rPr>
          <w:rFonts w:hint="cs"/>
          <w:rtl/>
        </w:rPr>
        <w:sym w:font="Roumouz" w:char="F02D"/>
      </w:r>
      <w:r w:rsidRPr="00A32FC0">
        <w:rPr>
          <w:rFonts w:hint="cs"/>
          <w:rtl/>
        </w:rPr>
        <w:t>.</w:t>
      </w:r>
    </w:p>
    <w:p w:rsidR="00EA09EB" w:rsidRDefault="00EA09EB" w:rsidP="00EA09EB">
      <w:pPr>
        <w:rPr>
          <w:rtl/>
          <w:lang w:bidi="ar-LB"/>
        </w:rPr>
      </w:pPr>
      <w:r w:rsidRPr="00A32FC0">
        <w:rPr>
          <w:rFonts w:hint="cs"/>
          <w:rtl/>
          <w:lang w:bidi="ar-LB"/>
        </w:rPr>
        <w:t xml:space="preserve">وهذه الروايات هي: </w:t>
      </w:r>
      <w:r w:rsidRPr="00A32FC0">
        <w:rPr>
          <w:rFonts w:hint="cs"/>
          <w:rtl/>
        </w:rPr>
        <w:t>«</w:t>
      </w:r>
      <w:r w:rsidRPr="00A32FC0">
        <w:rPr>
          <w:rFonts w:hint="cs"/>
          <w:rtl/>
          <w:lang w:bidi="ar-LB"/>
        </w:rPr>
        <w:t>السلطان وليّ مَنْ لا وليّ له</w:t>
      </w:r>
      <w:r w:rsidRPr="00A32FC0">
        <w:rPr>
          <w:rFonts w:hint="cs"/>
          <w:rtl/>
        </w:rPr>
        <w:t>»</w:t>
      </w:r>
      <w:r w:rsidRPr="00A32FC0">
        <w:rPr>
          <w:rFonts w:hint="cs"/>
          <w:rtl/>
          <w:lang w:bidi="ar-LB"/>
        </w:rPr>
        <w:t xml:space="preserve">؛ </w:t>
      </w:r>
      <w:r w:rsidRPr="00A32FC0">
        <w:rPr>
          <w:rFonts w:hint="cs"/>
          <w:rtl/>
        </w:rPr>
        <w:t>«</w:t>
      </w:r>
      <w:r w:rsidRPr="00A32FC0">
        <w:rPr>
          <w:rFonts w:hint="cs"/>
          <w:rtl/>
          <w:lang w:bidi="ar-LB"/>
        </w:rPr>
        <w:t>اللهم ارحم خلفائي</w:t>
      </w:r>
      <w:r w:rsidRPr="00A32FC0">
        <w:rPr>
          <w:rFonts w:hint="cs"/>
          <w:rtl/>
        </w:rPr>
        <w:t>»</w:t>
      </w:r>
      <w:r w:rsidRPr="00A32FC0">
        <w:rPr>
          <w:rFonts w:hint="cs"/>
          <w:rtl/>
          <w:lang w:bidi="ar-LB"/>
        </w:rPr>
        <w:t xml:space="preserve">؛ </w:t>
      </w:r>
      <w:r w:rsidRPr="00A32FC0">
        <w:rPr>
          <w:rFonts w:hint="cs"/>
          <w:rtl/>
        </w:rPr>
        <w:t>«</w:t>
      </w:r>
      <w:r w:rsidRPr="00A32FC0">
        <w:rPr>
          <w:rFonts w:hint="cs"/>
          <w:rtl/>
          <w:lang w:bidi="ar-LB"/>
        </w:rPr>
        <w:t>الفقهاء أمناء الرسل</w:t>
      </w:r>
      <w:r w:rsidRPr="00A32FC0">
        <w:rPr>
          <w:rFonts w:hint="cs"/>
          <w:rtl/>
        </w:rPr>
        <w:t>»</w:t>
      </w:r>
      <w:r w:rsidRPr="00A32FC0">
        <w:rPr>
          <w:rFonts w:hint="cs"/>
          <w:rtl/>
          <w:lang w:bidi="ar-LB"/>
        </w:rPr>
        <w:t>؛ و</w:t>
      </w:r>
      <w:r w:rsidRPr="00A32FC0">
        <w:rPr>
          <w:rFonts w:hint="cs"/>
          <w:rtl/>
        </w:rPr>
        <w:t>«</w:t>
      </w:r>
      <w:r w:rsidRPr="00A32FC0">
        <w:rPr>
          <w:rFonts w:hint="cs"/>
          <w:rtl/>
          <w:lang w:bidi="ar-LB"/>
        </w:rPr>
        <w:t>العلماء ورثة الأنبياء</w:t>
      </w:r>
      <w:r w:rsidRPr="00A32FC0">
        <w:rPr>
          <w:rFonts w:hint="cs"/>
          <w:rtl/>
        </w:rPr>
        <w:t>»</w:t>
      </w:r>
      <w:r w:rsidRPr="00A32FC0">
        <w:rPr>
          <w:rFonts w:hint="cs"/>
          <w:rtl/>
          <w:lang w:bidi="ar-LB"/>
        </w:rPr>
        <w:t>.</w:t>
      </w:r>
    </w:p>
    <w:p w:rsidR="007A340E" w:rsidRPr="00A32FC0" w:rsidRDefault="007A340E" w:rsidP="00EA09EB">
      <w:pPr>
        <w:rPr>
          <w:rtl/>
          <w:lang w:bidi="ar-LB"/>
        </w:rPr>
      </w:pPr>
    </w:p>
    <w:p w:rsidR="00EA09EB" w:rsidRPr="00402769" w:rsidRDefault="00EA09EB" w:rsidP="007A340E">
      <w:pPr>
        <w:pStyle w:val="Heading3"/>
        <w:rPr>
          <w:rtl/>
        </w:rPr>
      </w:pPr>
      <w:r w:rsidRPr="00402769">
        <w:rPr>
          <w:rFonts w:hint="cs"/>
          <w:rtl/>
        </w:rPr>
        <w:t>الرواية الأولى:</w:t>
      </w:r>
      <w:r w:rsidRPr="007A340E">
        <w:rPr>
          <w:rFonts w:hint="cs"/>
          <w:rtl/>
        </w:rPr>
        <w:t xml:space="preserve"> السلطان وليّ من لا وليّ له</w:t>
      </w:r>
    </w:p>
    <w:p w:rsidR="00EA09EB" w:rsidRPr="00EA09EB" w:rsidRDefault="00EA09EB" w:rsidP="007A340E">
      <w:pPr>
        <w:ind w:firstLine="283"/>
        <w:rPr>
          <w:rtl/>
        </w:rPr>
      </w:pPr>
      <w:r w:rsidRPr="00EA09EB">
        <w:rPr>
          <w:rFonts w:hint="cs"/>
          <w:rtl/>
        </w:rPr>
        <w:t>روي عن النبيّ</w:t>
      </w:r>
      <w:r w:rsidRPr="00EA09EB">
        <w:rPr>
          <w:rFonts w:hint="cs"/>
          <w:rtl/>
        </w:rPr>
        <w:sym w:font="Roumouz" w:char="F02D"/>
      </w:r>
      <w:r w:rsidRPr="00EA09EB">
        <w:rPr>
          <w:rFonts w:hint="cs"/>
          <w:rtl/>
        </w:rPr>
        <w:t xml:space="preserve"> أنّه قال: «السلطان وليّ مَنْ لا وليّ له»</w:t>
      </w:r>
      <w:r w:rsidRPr="00064619">
        <w:rPr>
          <w:rFonts w:cs="Taher"/>
          <w:sz w:val="32"/>
          <w:vertAlign w:val="superscript"/>
          <w:rtl/>
        </w:rPr>
        <w:t>(</w:t>
      </w:r>
      <w:r w:rsidRPr="00064619">
        <w:rPr>
          <w:rStyle w:val="FootnoteReference"/>
          <w:rFonts w:cs="Taher"/>
          <w:sz w:val="32"/>
          <w:rtl/>
        </w:rPr>
        <w:footnoteReference w:id="521"/>
      </w:r>
      <w:r w:rsidRPr="00064619">
        <w:rPr>
          <w:rFonts w:cs="Taher"/>
          <w:sz w:val="32"/>
          <w:vertAlign w:val="superscript"/>
          <w:rtl/>
        </w:rPr>
        <w:t>)</w:t>
      </w:r>
      <w:r w:rsidRPr="00EA09EB">
        <w:rPr>
          <w:rFonts w:hint="cs"/>
          <w:rtl/>
        </w:rPr>
        <w:t xml:space="preserve">. </w:t>
      </w:r>
    </w:p>
    <w:p w:rsidR="00EA09EB" w:rsidRPr="00A32FC0" w:rsidRDefault="00EA09EB" w:rsidP="00EA09EB">
      <w:pPr>
        <w:rPr>
          <w:rtl/>
          <w:lang w:bidi="ar-LB"/>
        </w:rPr>
      </w:pPr>
      <w:r w:rsidRPr="00A32FC0">
        <w:rPr>
          <w:rFonts w:hint="cs"/>
          <w:rtl/>
          <w:lang w:bidi="ar-LB"/>
        </w:rPr>
        <w:t>هناك نقطتان في هذه الرواية تميّزانها عن سائر الروايات الدالّة على ولاية الفقيه:</w:t>
      </w:r>
    </w:p>
    <w:p w:rsidR="00EA09EB" w:rsidRPr="00EA09EB" w:rsidRDefault="00EA09EB" w:rsidP="007A340E">
      <w:pPr>
        <w:ind w:firstLine="283"/>
        <w:rPr>
          <w:rtl/>
        </w:rPr>
      </w:pPr>
      <w:r w:rsidRPr="007A340E">
        <w:rPr>
          <w:rFonts w:hint="cs"/>
          <w:b/>
          <w:bCs/>
          <w:rtl/>
        </w:rPr>
        <w:t>الأولى</w:t>
      </w:r>
      <w:r w:rsidRPr="00EA09EB">
        <w:rPr>
          <w:rFonts w:hint="cs"/>
          <w:rtl/>
        </w:rPr>
        <w:t>: التعبير بكلمة «وليّ»، التي هي من مشتقّات مادّة الولاية. ولم يعبّر بهذه الكلمة في الأدلة الروائية الأخرى لولاية الفقيه. لذلك ومن هذه الجهة فإنّ هذه الرواية هي الدليل الأكثر صراحةً على ولاية الفقيه.</w:t>
      </w:r>
    </w:p>
    <w:p w:rsidR="00EA09EB" w:rsidRPr="00EA09EB" w:rsidRDefault="00EA09EB" w:rsidP="007A340E">
      <w:pPr>
        <w:ind w:firstLine="283"/>
        <w:rPr>
          <w:rtl/>
        </w:rPr>
      </w:pPr>
      <w:r w:rsidRPr="007A340E">
        <w:rPr>
          <w:rFonts w:hint="cs"/>
          <w:b/>
          <w:bCs/>
          <w:rtl/>
        </w:rPr>
        <w:t>الثانية</w:t>
      </w:r>
      <w:r w:rsidRPr="00EA09EB">
        <w:rPr>
          <w:rFonts w:hint="cs"/>
          <w:rtl/>
        </w:rPr>
        <w:t>: التعبير بكلمة «سلطان»، التي لا تحتاج إلى أيّ تأويل لإظهار دلالتها على السلطة السياسيّة. والحال أن الاستدلال بأدلّة أخرى على السلطة السياسيّة يحتاج إلى ضمّ مقدّمات.</w:t>
      </w:r>
    </w:p>
    <w:p w:rsidR="00EA09EB" w:rsidRPr="00A32FC0" w:rsidRDefault="00EA09EB" w:rsidP="00887CCF">
      <w:pPr>
        <w:pStyle w:val="Normal93"/>
        <w:rPr>
          <w:rtl/>
        </w:rPr>
      </w:pPr>
      <w:r w:rsidRPr="00A32FC0">
        <w:rPr>
          <w:rFonts w:hint="cs"/>
          <w:rtl/>
        </w:rPr>
        <w:t xml:space="preserve">فاقتران كلمتي «سلطان» و«وليّ» في هذه </w:t>
      </w:r>
      <w:r w:rsidRPr="00402769">
        <w:rPr>
          <w:rFonts w:hint="cs"/>
          <w:rtl/>
        </w:rPr>
        <w:t>الرواية يقرِّب علاقتها أكثر</w:t>
      </w:r>
      <w:r w:rsidRPr="00A32FC0">
        <w:rPr>
          <w:rFonts w:hint="cs"/>
          <w:rtl/>
        </w:rPr>
        <w:t xml:space="preserve"> من الحكومة الولائية، ويزيد ارتباطها بها.</w:t>
      </w:r>
    </w:p>
    <w:p w:rsidR="00EA09EB" w:rsidRPr="00A32FC0" w:rsidRDefault="00EA09EB" w:rsidP="00887CCF">
      <w:pPr>
        <w:pStyle w:val="Normal93"/>
        <w:rPr>
          <w:rtl/>
        </w:rPr>
      </w:pPr>
      <w:r w:rsidRPr="00EA09EB">
        <w:rPr>
          <w:rFonts w:hint="cs"/>
          <w:rtl/>
        </w:rPr>
        <w:t>وقد كانت هذه الرواية مستَنَداً للكثير من فقهاء الشيعة في أبواب فقهيّة مختلفة، وخاصةً في بحث أولياء النكاح، وأولياء عقد البيع</w:t>
      </w:r>
      <w:r w:rsidRPr="00064619">
        <w:rPr>
          <w:rFonts w:cs="Taher"/>
          <w:vertAlign w:val="superscript"/>
          <w:rtl/>
        </w:rPr>
        <w:t>(</w:t>
      </w:r>
      <w:r w:rsidRPr="00064619">
        <w:rPr>
          <w:rStyle w:val="FootnoteReference"/>
          <w:rFonts w:cs="Taher"/>
          <w:sz w:val="32"/>
          <w:rtl/>
        </w:rPr>
        <w:footnoteReference w:id="522"/>
      </w:r>
      <w:r w:rsidRPr="00064619">
        <w:rPr>
          <w:rFonts w:cs="Taher"/>
          <w:vertAlign w:val="superscript"/>
          <w:rtl/>
        </w:rPr>
        <w:t>)</w:t>
      </w:r>
      <w:r w:rsidRPr="00A32FC0">
        <w:rPr>
          <w:rFonts w:hint="cs"/>
          <w:rtl/>
        </w:rPr>
        <w:t>.</w:t>
      </w:r>
    </w:p>
    <w:p w:rsidR="00EA09EB" w:rsidRPr="00A32FC0" w:rsidRDefault="00EA09EB" w:rsidP="00887CCF">
      <w:pPr>
        <w:pStyle w:val="Normal93"/>
        <w:rPr>
          <w:rtl/>
        </w:rPr>
      </w:pPr>
      <w:r w:rsidRPr="00A32FC0">
        <w:rPr>
          <w:rFonts w:hint="cs"/>
          <w:rtl/>
        </w:rPr>
        <w:t>وكان الملاّ أحمد النراقي أوّل فقيه عَدّ هذه الرواية من أدلّة الولاية العامّة للفقيه</w:t>
      </w:r>
      <w:r w:rsidRPr="00064619">
        <w:rPr>
          <w:rFonts w:cs="Taher"/>
          <w:vertAlign w:val="superscript"/>
          <w:rtl/>
        </w:rPr>
        <w:t>(</w:t>
      </w:r>
      <w:r w:rsidRPr="00064619">
        <w:rPr>
          <w:rStyle w:val="FootnoteReference"/>
          <w:rFonts w:cs="Taher"/>
          <w:sz w:val="32"/>
          <w:rtl/>
        </w:rPr>
        <w:footnoteReference w:id="523"/>
      </w:r>
      <w:r w:rsidRPr="00064619">
        <w:rPr>
          <w:rFonts w:cs="Taher"/>
          <w:vertAlign w:val="superscript"/>
          <w:rtl/>
        </w:rPr>
        <w:t>)</w:t>
      </w:r>
      <w:r w:rsidRPr="00A32FC0">
        <w:rPr>
          <w:rFonts w:hint="cs"/>
          <w:rtl/>
        </w:rPr>
        <w:t>.</w:t>
      </w:r>
    </w:p>
    <w:p w:rsidR="00EA09EB" w:rsidRPr="00EA09EB" w:rsidRDefault="00EA09EB" w:rsidP="00887CCF">
      <w:pPr>
        <w:pStyle w:val="Normal93"/>
        <w:rPr>
          <w:rtl/>
        </w:rPr>
      </w:pPr>
      <w:r w:rsidRPr="00A32FC0">
        <w:rPr>
          <w:rFonts w:hint="cs"/>
          <w:rtl/>
        </w:rPr>
        <w:t xml:space="preserve">وعلى </w:t>
      </w:r>
      <w:r>
        <w:rPr>
          <w:rFonts w:hint="cs"/>
          <w:rtl/>
        </w:rPr>
        <w:t>أيّ</w:t>
      </w:r>
      <w:r w:rsidRPr="00A32FC0">
        <w:rPr>
          <w:rFonts w:hint="cs"/>
          <w:rtl/>
        </w:rPr>
        <w:t xml:space="preserve"> حال فإن هذه الرواية تُعَدّ من الروايات الأساسيّة </w:t>
      </w:r>
      <w:r w:rsidRPr="00A32FC0">
        <w:rPr>
          <w:rtl/>
        </w:rPr>
        <w:t>ـ</w:t>
      </w:r>
      <w:r w:rsidRPr="00A32FC0">
        <w:rPr>
          <w:rFonts w:hint="cs"/>
          <w:rtl/>
        </w:rPr>
        <w:t xml:space="preserve"> بعد المقبولة، والتوقيع </w:t>
      </w:r>
      <w:r w:rsidRPr="00A32FC0">
        <w:rPr>
          <w:rtl/>
        </w:rPr>
        <w:t>ـ</w:t>
      </w:r>
      <w:r w:rsidRPr="00A32FC0">
        <w:rPr>
          <w:rFonts w:hint="cs"/>
          <w:rtl/>
        </w:rPr>
        <w:t xml:space="preserve"> التي استُدِلّ بها على ولاية الفقيه</w:t>
      </w:r>
      <w:r w:rsidRPr="00064619">
        <w:rPr>
          <w:rFonts w:cs="Taher"/>
          <w:vertAlign w:val="superscript"/>
          <w:rtl/>
        </w:rPr>
        <w:t>(</w:t>
      </w:r>
      <w:r w:rsidRPr="00064619">
        <w:rPr>
          <w:rStyle w:val="FootnoteReference"/>
          <w:rFonts w:cs="Taher"/>
          <w:sz w:val="32"/>
          <w:rtl/>
        </w:rPr>
        <w:footnoteReference w:id="524"/>
      </w:r>
      <w:r w:rsidRPr="00064619">
        <w:rPr>
          <w:rFonts w:cs="Taher"/>
          <w:vertAlign w:val="superscript"/>
          <w:rtl/>
        </w:rPr>
        <w:t>)</w:t>
      </w:r>
      <w:r w:rsidRPr="00EA09EB">
        <w:rPr>
          <w:rFonts w:hint="cs"/>
          <w:rtl/>
        </w:rPr>
        <w:t>.</w:t>
      </w:r>
    </w:p>
    <w:p w:rsidR="00EA09EB" w:rsidRPr="00A32FC0" w:rsidRDefault="00EA09EB" w:rsidP="00887CCF">
      <w:pPr>
        <w:pStyle w:val="Normal93"/>
        <w:rPr>
          <w:rtl/>
        </w:rPr>
      </w:pPr>
      <w:r w:rsidRPr="00A32FC0">
        <w:rPr>
          <w:rFonts w:hint="cs"/>
          <w:rtl/>
        </w:rPr>
        <w:t xml:space="preserve">إنّ التمسُّك بهذه الرواية؛ لإثبات الولاية التعيينيّة المطلقة للفقيه، يتوقَّف على القبول بجميع المقدّمات التالية: </w:t>
      </w:r>
    </w:p>
    <w:p w:rsidR="00EA09EB" w:rsidRPr="00EA09EB" w:rsidRDefault="00EA09EB" w:rsidP="00887CCF">
      <w:pPr>
        <w:pStyle w:val="Normal93"/>
        <w:rPr>
          <w:rtl/>
        </w:rPr>
      </w:pPr>
      <w:r w:rsidRPr="007A340E">
        <w:rPr>
          <w:rFonts w:hint="cs"/>
          <w:b/>
          <w:bCs/>
          <w:rtl/>
        </w:rPr>
        <w:t>الأولى</w:t>
      </w:r>
      <w:r w:rsidRPr="00EA09EB">
        <w:rPr>
          <w:rFonts w:hint="cs"/>
          <w:rtl/>
        </w:rPr>
        <w:t>: إنّ شهرة هذه الرواية بين الفريقين، وكثرة الاستفادة منها في أبواب فقهيّة مختلفة، سوف يجنِّبنا الدخول في البحث حول سندها.</w:t>
      </w:r>
    </w:p>
    <w:p w:rsidR="00EA09EB" w:rsidRPr="00EA09EB" w:rsidRDefault="00EA09EB" w:rsidP="007A340E">
      <w:pPr>
        <w:ind w:firstLine="283"/>
        <w:rPr>
          <w:rtl/>
        </w:rPr>
      </w:pPr>
      <w:r w:rsidRPr="007A340E">
        <w:rPr>
          <w:rFonts w:hint="cs"/>
          <w:b/>
          <w:bCs/>
          <w:rtl/>
        </w:rPr>
        <w:t>الثانية</w:t>
      </w:r>
      <w:r w:rsidRPr="00EA09EB">
        <w:rPr>
          <w:rFonts w:hint="cs"/>
          <w:rtl/>
        </w:rPr>
        <w:t>: إنّ المراد من السلطان هو صاحب السلطة الشرعيّة، لا صاحبُ مطلق سلطة. وبعبارة أخرى: السلطان الحقّ والعادل، لا السلطان الظالم والفاسق.</w:t>
      </w:r>
    </w:p>
    <w:p w:rsidR="00EA09EB" w:rsidRPr="00EA09EB" w:rsidRDefault="00EA09EB" w:rsidP="00EA09EB">
      <w:pPr>
        <w:rPr>
          <w:rtl/>
        </w:rPr>
      </w:pPr>
      <w:r w:rsidRPr="007A340E">
        <w:rPr>
          <w:rFonts w:hint="cs"/>
          <w:b/>
          <w:bCs/>
          <w:rtl/>
        </w:rPr>
        <w:t>الثالثة</w:t>
      </w:r>
      <w:r w:rsidRPr="00EA09EB">
        <w:rPr>
          <w:rFonts w:hint="cs"/>
          <w:rtl/>
        </w:rPr>
        <w:t>: في عصر حضور المعصوم</w:t>
      </w:r>
      <w:r>
        <w:rPr>
          <w:rFonts w:hint="cs"/>
          <w:rtl/>
        </w:rPr>
        <w:t>×</w:t>
      </w:r>
      <w:r w:rsidRPr="00EA09EB">
        <w:rPr>
          <w:rFonts w:hint="cs"/>
          <w:rtl/>
        </w:rPr>
        <w:t xml:space="preserve"> ينحصر السلطان العادل بشخص الإمام المعصوم</w:t>
      </w:r>
      <w:r>
        <w:rPr>
          <w:rFonts w:hint="cs"/>
          <w:rtl/>
        </w:rPr>
        <w:t>×</w:t>
      </w:r>
      <w:r w:rsidRPr="00EA09EB">
        <w:rPr>
          <w:rFonts w:hint="cs"/>
          <w:rtl/>
        </w:rPr>
        <w:t>، أمّا في عصر الغيبة فإنّ نوّاب الأئمّة</w:t>
      </w:r>
      <w:r w:rsidR="007A340E">
        <w:rPr>
          <w:rFonts w:hint="cs"/>
          <w:rtl/>
        </w:rPr>
        <w:t>^</w:t>
      </w:r>
      <w:r w:rsidRPr="00EA09EB">
        <w:rPr>
          <w:rFonts w:hint="cs"/>
          <w:rtl/>
        </w:rPr>
        <w:t>، أي الفقهاء العدول، هم سلاطين عدول وشرعيّون. وبعبارة أخرى: إنّ الفقاهة شرطٌ في السلطان الشرعيّ في عصر الغيبة.</w:t>
      </w:r>
    </w:p>
    <w:p w:rsidR="00EA09EB" w:rsidRPr="00EA09EB" w:rsidRDefault="00EA09EB" w:rsidP="007A340E">
      <w:pPr>
        <w:ind w:firstLine="283"/>
        <w:rPr>
          <w:rtl/>
        </w:rPr>
      </w:pPr>
      <w:r w:rsidRPr="007A340E">
        <w:rPr>
          <w:rFonts w:hint="cs"/>
          <w:b/>
          <w:bCs/>
          <w:rtl/>
        </w:rPr>
        <w:t>الرابعة</w:t>
      </w:r>
      <w:r w:rsidRPr="00EA09EB">
        <w:rPr>
          <w:rFonts w:hint="cs"/>
          <w:rtl/>
        </w:rPr>
        <w:t>: إنّ شكل حكم السلطان العادل هو «الولاية»؛ فإن الولاية هي الرابط بين السلطان و«مَنْ لا وليّ له».</w:t>
      </w:r>
    </w:p>
    <w:p w:rsidR="00EA09EB" w:rsidRPr="00EA09EB" w:rsidRDefault="00EA09EB" w:rsidP="007A340E">
      <w:pPr>
        <w:ind w:firstLine="283"/>
        <w:rPr>
          <w:rtl/>
        </w:rPr>
      </w:pPr>
      <w:r w:rsidRPr="007A340E">
        <w:rPr>
          <w:rFonts w:hint="cs"/>
          <w:b/>
          <w:bCs/>
          <w:rtl/>
        </w:rPr>
        <w:t>الخامسة</w:t>
      </w:r>
      <w:r w:rsidRPr="00EA09EB">
        <w:rPr>
          <w:rFonts w:hint="cs"/>
          <w:rtl/>
        </w:rPr>
        <w:t>: «مَنْ لا وليّ له» غير منحصر بالأموات، أي إن السلطان ليس وليّاً على شؤون الأموات الذين لا وليّ لهم، بل تشمل ولايته الأحياء أيضاً.</w:t>
      </w:r>
    </w:p>
    <w:p w:rsidR="00EA09EB" w:rsidRPr="00EA09EB" w:rsidRDefault="00EA09EB" w:rsidP="007A340E">
      <w:pPr>
        <w:ind w:firstLine="283"/>
        <w:rPr>
          <w:rtl/>
        </w:rPr>
      </w:pPr>
      <w:r w:rsidRPr="007A340E">
        <w:rPr>
          <w:rFonts w:hint="cs"/>
          <w:b/>
          <w:bCs/>
          <w:rtl/>
        </w:rPr>
        <w:t>السادسة</w:t>
      </w:r>
      <w:r w:rsidRPr="00EA09EB">
        <w:rPr>
          <w:rFonts w:hint="cs"/>
          <w:rtl/>
        </w:rPr>
        <w:t>: إنّ المراد من «مَنْ لا وليّ له» هو جميع الأفراد الذين لهم شأنيّة الحاجة إلى وليّ ـ وذلك بحسب الشخص، والصنف، والنوع، والجنس ـ، أي الأفراد الذين هم بحاجة إلى رعاية وليّ شرعيّ، والحال أنه لا وليّ شرعيّاً لهم</w:t>
      </w:r>
      <w:r w:rsidRPr="00064619">
        <w:rPr>
          <w:rFonts w:cs="Taher"/>
          <w:sz w:val="32"/>
          <w:vertAlign w:val="superscript"/>
          <w:rtl/>
          <w:lang w:bidi="ar-LB"/>
        </w:rPr>
        <w:t>(</w:t>
      </w:r>
      <w:r w:rsidRPr="00064619">
        <w:rPr>
          <w:rStyle w:val="FootnoteReference"/>
          <w:rFonts w:cs="Taher"/>
          <w:sz w:val="32"/>
          <w:rtl/>
          <w:lang w:bidi="ar-LB"/>
        </w:rPr>
        <w:footnoteReference w:id="525"/>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 xml:space="preserve">لا تختص </w:t>
      </w:r>
      <w:r w:rsidRPr="00A32FC0">
        <w:rPr>
          <w:rFonts w:hint="cs"/>
          <w:rtl/>
        </w:rPr>
        <w:t>«</w:t>
      </w:r>
      <w:r w:rsidRPr="00A32FC0">
        <w:rPr>
          <w:rFonts w:hint="cs"/>
          <w:rtl/>
          <w:lang w:bidi="ar-LB"/>
        </w:rPr>
        <w:t>مَنْ لا وليّ له</w:t>
      </w:r>
      <w:r w:rsidRPr="00A32FC0">
        <w:rPr>
          <w:rFonts w:hint="cs"/>
          <w:rtl/>
        </w:rPr>
        <w:t>»</w:t>
      </w:r>
      <w:r w:rsidRPr="00A32FC0">
        <w:rPr>
          <w:rFonts w:hint="cs"/>
          <w:rtl/>
          <w:lang w:bidi="ar-LB"/>
        </w:rPr>
        <w:t xml:space="preserve"> بدائرة الشؤون الخاصّة والأمور الحسبيّة، بل تشمل دائرة الشؤون العامّة. لذلك فإنّ جميع الناس </w:t>
      </w:r>
      <w:r w:rsidRPr="00A32FC0">
        <w:rPr>
          <w:rtl/>
          <w:lang w:bidi="ar-LB"/>
        </w:rPr>
        <w:t>ـ</w:t>
      </w:r>
      <w:r w:rsidRPr="00A32FC0">
        <w:rPr>
          <w:rFonts w:hint="cs"/>
          <w:rtl/>
          <w:lang w:bidi="ar-LB"/>
        </w:rPr>
        <w:t xml:space="preserve"> ما عدا الفقهاء العدول </w:t>
      </w:r>
      <w:r w:rsidRPr="00A32FC0">
        <w:rPr>
          <w:rtl/>
          <w:lang w:bidi="ar-LB"/>
        </w:rPr>
        <w:t>ـ</w:t>
      </w:r>
      <w:r w:rsidRPr="00A32FC0">
        <w:rPr>
          <w:rFonts w:hint="cs"/>
          <w:rtl/>
          <w:lang w:bidi="ar-LB"/>
        </w:rPr>
        <w:t xml:space="preserve"> هم تحت ولاية السلطان، أي الفقيه العادل؛ لأن المجتمع الإنسانيّ لا يصل إلى سعادته من دون ولاية الفقهاء العدول، ومن دونهم سوف ينحرف تحت حكم الطاغوت، وبولاية السلطان الشرعيّ العادل </w:t>
      </w:r>
      <w:r w:rsidRPr="00A32FC0">
        <w:rPr>
          <w:rtl/>
          <w:lang w:bidi="ar-LB"/>
        </w:rPr>
        <w:t>ـ</w:t>
      </w:r>
      <w:r w:rsidRPr="00A32FC0">
        <w:rPr>
          <w:rFonts w:hint="cs"/>
          <w:rtl/>
          <w:lang w:bidi="ar-LB"/>
        </w:rPr>
        <w:t xml:space="preserve"> ولاية الفقيه </w:t>
      </w:r>
      <w:r w:rsidRPr="00A32FC0">
        <w:rPr>
          <w:rtl/>
          <w:lang w:bidi="ar-LB"/>
        </w:rPr>
        <w:t>ـ</w:t>
      </w:r>
      <w:r w:rsidRPr="00A32FC0">
        <w:rPr>
          <w:rFonts w:hint="cs"/>
          <w:rtl/>
          <w:lang w:bidi="ar-LB"/>
        </w:rPr>
        <w:t xml:space="preserve"> سوف يتمّ تأمين رعاية مصالح الناس طبقاً للأحكام الشرعيّة بشكلٍ أفضل ممّا يستطيع الناس تأمينه بأنفسهم.</w:t>
      </w:r>
    </w:p>
    <w:p w:rsidR="00EA09EB" w:rsidRPr="00EA09EB" w:rsidRDefault="00EA09EB" w:rsidP="007A340E">
      <w:pPr>
        <w:ind w:firstLine="283"/>
        <w:rPr>
          <w:rtl/>
        </w:rPr>
      </w:pPr>
      <w:r w:rsidRPr="007A340E">
        <w:rPr>
          <w:rFonts w:hint="cs"/>
          <w:b/>
          <w:bCs/>
          <w:rtl/>
        </w:rPr>
        <w:t>السابعة</w:t>
      </w:r>
      <w:r w:rsidRPr="00EA09EB">
        <w:rPr>
          <w:rFonts w:hint="cs"/>
          <w:rtl/>
        </w:rPr>
        <w:t>: إن مضمون الرواية هو جملة خبريّة في مقام الإنشاء. ويجب أن ينحصر مفاد هذا الإنشاء بتعيين الفقهاء العدول لمنصب الولاية. وبعبارة أخرى: إن الحكومة الولائيّة هي حكومة تعيينيّة، لا انتخابيّة.</w:t>
      </w:r>
    </w:p>
    <w:p w:rsidR="00EA09EB" w:rsidRPr="00EA09EB" w:rsidRDefault="00EA09EB" w:rsidP="00887CCF">
      <w:pPr>
        <w:pStyle w:val="Normal84"/>
        <w:rPr>
          <w:rtl/>
        </w:rPr>
      </w:pPr>
      <w:r w:rsidRPr="007A340E">
        <w:rPr>
          <w:rFonts w:hint="cs"/>
          <w:b/>
          <w:bCs/>
          <w:rtl/>
        </w:rPr>
        <w:t>الثامنة</w:t>
      </w:r>
      <w:r w:rsidRPr="00EA09EB">
        <w:rPr>
          <w:rFonts w:hint="cs"/>
          <w:rtl/>
        </w:rPr>
        <w:t>: إنّ ولاية السلطان في هذه الرواية غير مقيَّدة بحالة خاصّة، بل تشمل جميع شؤون المولَّى عليهم. وبعبارة أخرى: إن للسلطان الصلاحيّة الكاملة بالقيام بأيّ فعل يرى فيه مصلحة لِـ «مَنْ لا وليّ له». ومن الواضح أن تشخيص هذه المصلحة هي بيد السلطان. وعلى هذا الأساس فإنّ ولاية السلطان ليست فقط عامّة، بل هي مطلقة.</w:t>
      </w:r>
    </w:p>
    <w:p w:rsidR="00EA09EB" w:rsidRPr="00A32FC0" w:rsidRDefault="00EA09EB" w:rsidP="00887CCF">
      <w:pPr>
        <w:pStyle w:val="Normal84"/>
        <w:rPr>
          <w:rtl/>
        </w:rPr>
      </w:pPr>
      <w:r w:rsidRPr="00A32FC0">
        <w:rPr>
          <w:rFonts w:hint="cs"/>
          <w:rtl/>
        </w:rPr>
        <w:t xml:space="preserve">إن هذه المقدّمات الثماني هي عبارة عن المحاور التالية: سند الرواية (المقدّمة الأولى)؛ شرط الفقاهة (المقدّمتان الثانية والثالثة)؛ محور الولاية (المقدّمات: الرابعة والخامسة والسادسة)؛ محور التعيين (المقدمة السابعة)؛ محور الإطلاق وصلاحيّات السلطان (المقدّمة الثامنة). </w:t>
      </w:r>
    </w:p>
    <w:p w:rsidR="00EA09EB" w:rsidRPr="00A32FC0" w:rsidRDefault="00EA09EB" w:rsidP="00887CCF">
      <w:pPr>
        <w:pStyle w:val="Normal84"/>
        <w:rPr>
          <w:rtl/>
        </w:rPr>
      </w:pPr>
      <w:r w:rsidRPr="00EA09EB">
        <w:rPr>
          <w:rFonts w:hint="cs"/>
          <w:rtl/>
        </w:rPr>
        <w:t>يرى بعض الفقهاء أن هذه الرواية محلّ نقاش، سواء من حيث السند أو من حيث الدلالة</w:t>
      </w:r>
      <w:r w:rsidRPr="00064619">
        <w:rPr>
          <w:rFonts w:cs="Taher"/>
          <w:vertAlign w:val="superscript"/>
          <w:rtl/>
        </w:rPr>
        <w:t>(</w:t>
      </w:r>
      <w:r w:rsidRPr="00064619">
        <w:rPr>
          <w:rStyle w:val="FootnoteReference"/>
          <w:rFonts w:cs="Taher"/>
          <w:sz w:val="32"/>
          <w:rtl/>
        </w:rPr>
        <w:footnoteReference w:id="526"/>
      </w:r>
      <w:r w:rsidRPr="00064619">
        <w:rPr>
          <w:rFonts w:cs="Taher"/>
          <w:vertAlign w:val="superscript"/>
          <w:rtl/>
        </w:rPr>
        <w:t>)</w:t>
      </w:r>
      <w:r w:rsidRPr="00EA09EB">
        <w:rPr>
          <w:rFonts w:hint="cs"/>
          <w:rtl/>
        </w:rPr>
        <w:t>. ورأى البعض الآخر، من المثبتين لولاية الفقيه والمنكرين لها، أن هذه الرواية ضعيفة، لدرجة أنّهم لم يشيروا إليها في بحثهم</w:t>
      </w:r>
      <w:r w:rsidRPr="00064619">
        <w:rPr>
          <w:rFonts w:cs="Taher"/>
          <w:vertAlign w:val="superscript"/>
          <w:rtl/>
        </w:rPr>
        <w:t>(</w:t>
      </w:r>
      <w:r w:rsidRPr="00064619">
        <w:rPr>
          <w:rStyle w:val="FootnoteReference"/>
          <w:rFonts w:cs="Taher"/>
          <w:sz w:val="32"/>
          <w:rtl/>
        </w:rPr>
        <w:footnoteReference w:id="527"/>
      </w:r>
      <w:r w:rsidRPr="00064619">
        <w:rPr>
          <w:rFonts w:cs="Taher"/>
          <w:vertAlign w:val="superscript"/>
          <w:rtl/>
        </w:rPr>
        <w:t>)</w:t>
      </w:r>
      <w:r w:rsidRPr="00A32FC0">
        <w:rPr>
          <w:rFonts w:hint="cs"/>
          <w:rtl/>
        </w:rPr>
        <w:t>. وسوف نقوم بدراسة وتحليل هذه الرواية على أساس المقدّمات الثماني الآنفة الذكر:</w:t>
      </w:r>
    </w:p>
    <w:p w:rsidR="00EA09EB" w:rsidRPr="00A32FC0" w:rsidRDefault="00EA09EB" w:rsidP="00887CCF">
      <w:pPr>
        <w:pStyle w:val="Normal87"/>
        <w:rPr>
          <w:rtl/>
        </w:rPr>
      </w:pPr>
      <w:r w:rsidRPr="00A32FC0">
        <w:rPr>
          <w:rFonts w:hint="cs"/>
          <w:rtl/>
        </w:rPr>
        <w:t xml:space="preserve">أمّا من حيث المقدّمة الأولى (سند الرواية) فإنّ هذه الرواية لم تنقل في أيٍّ من المصادر الروائيّة الشيعيّة. فلا أثر لها في الكتب </w:t>
      </w:r>
      <w:r w:rsidRPr="00887CCF">
        <w:rPr>
          <w:rFonts w:hint="cs"/>
          <w:sz w:val="26"/>
          <w:szCs w:val="28"/>
          <w:rtl/>
        </w:rPr>
        <w:t>الأربعة (الكافي؛ ومَنْ لا يحضره الفقيه، وتهذيب الأحكام، والاستبصار)، ولا في المصادر الروائية المتأخِّرة (وسائل الشيعة، الوافي، وبحار الأنوار</w:t>
      </w:r>
      <w:r w:rsidRPr="00A32FC0">
        <w:rPr>
          <w:rFonts w:hint="cs"/>
          <w:rtl/>
        </w:rPr>
        <w:t>). وقد نقل أهل السنّة هذا الحديث في سننهم</w:t>
      </w:r>
      <w:r w:rsidRPr="00064619">
        <w:rPr>
          <w:rFonts w:cs="Taher"/>
          <w:vertAlign w:val="superscript"/>
          <w:rtl/>
        </w:rPr>
        <w:t>(</w:t>
      </w:r>
      <w:r w:rsidRPr="00064619">
        <w:rPr>
          <w:rStyle w:val="FootnoteReference"/>
          <w:rFonts w:cs="Taher"/>
          <w:sz w:val="32"/>
          <w:rtl/>
        </w:rPr>
        <w:footnoteReference w:id="528"/>
      </w:r>
      <w:r w:rsidRPr="00064619">
        <w:rPr>
          <w:rFonts w:cs="Taher"/>
          <w:vertAlign w:val="superscript"/>
          <w:rtl/>
        </w:rPr>
        <w:t>)</w:t>
      </w:r>
      <w:r w:rsidRPr="00A32FC0">
        <w:rPr>
          <w:rFonts w:hint="cs"/>
          <w:rtl/>
        </w:rPr>
        <w:t xml:space="preserve">. </w:t>
      </w:r>
    </w:p>
    <w:p w:rsidR="00EA09EB" w:rsidRPr="00EA09EB" w:rsidRDefault="00EA09EB" w:rsidP="00887CCF">
      <w:pPr>
        <w:pStyle w:val="Normal93"/>
        <w:rPr>
          <w:rtl/>
        </w:rPr>
      </w:pPr>
      <w:r w:rsidRPr="00A32FC0">
        <w:rPr>
          <w:rFonts w:hint="cs"/>
          <w:rtl/>
        </w:rPr>
        <w:t>ومن القرن السابع فما بعد، ومن خلال الأبحاث الفقهيّة التطبيقيّة والمقارنة، أخذت هذه الرواية بالدخول تدريجيّاً إلى الكتب الفقهيّة الشيعيّة، وقد استُفيد منها في بعض الأبواب الف</w:t>
      </w:r>
      <w:r>
        <w:rPr>
          <w:rFonts w:hint="cs"/>
          <w:rtl/>
        </w:rPr>
        <w:t>قهيّة. ويرى الفقيه المتتبِّع السيد</w:t>
      </w:r>
      <w:r w:rsidRPr="00A32FC0">
        <w:rPr>
          <w:rFonts w:hint="cs"/>
          <w:rtl/>
        </w:rPr>
        <w:t xml:space="preserve"> البروجرديّ أنه لم يثبت أساساً كون هذه الجملة رواية، بل الظاهر أنّها من عبارات الفقهاء، وأنّها قاعدةٌ مستفادةٌ من بعض الأدلّة، كقاعدة «كلّ عقد يُضمَن بصحيحه يُضمَن بفساده»</w:t>
      </w:r>
      <w:r w:rsidRPr="00064619">
        <w:rPr>
          <w:rFonts w:cs="Taher"/>
          <w:vertAlign w:val="superscript"/>
          <w:rtl/>
        </w:rPr>
        <w:t>(</w:t>
      </w:r>
      <w:r w:rsidRPr="00064619">
        <w:rPr>
          <w:rStyle w:val="FootnoteReference"/>
          <w:rFonts w:cs="Taher"/>
          <w:sz w:val="32"/>
          <w:rtl/>
        </w:rPr>
        <w:footnoteReference w:id="529"/>
      </w:r>
      <w:r w:rsidRPr="00064619">
        <w:rPr>
          <w:rFonts w:cs="Taher"/>
          <w:vertAlign w:val="superscript"/>
          <w:rtl/>
        </w:rPr>
        <w:t>)</w:t>
      </w:r>
      <w:r w:rsidRPr="00EA09EB">
        <w:rPr>
          <w:rFonts w:hint="cs"/>
          <w:rtl/>
        </w:rPr>
        <w:t>. ويميل الشيخ مرتضى الحائري أيضاً إلى هذا الرأي</w:t>
      </w:r>
      <w:r w:rsidRPr="00064619">
        <w:rPr>
          <w:rFonts w:cs="Taher"/>
          <w:vertAlign w:val="superscript"/>
          <w:rtl/>
        </w:rPr>
        <w:t>(</w:t>
      </w:r>
      <w:r w:rsidRPr="00064619">
        <w:rPr>
          <w:rStyle w:val="FootnoteReference"/>
          <w:rFonts w:cs="Taher"/>
          <w:sz w:val="32"/>
          <w:rtl/>
        </w:rPr>
        <w:footnoteReference w:id="530"/>
      </w:r>
      <w:r w:rsidRPr="00064619">
        <w:rPr>
          <w:rFonts w:cs="Taher"/>
          <w:vertAlign w:val="superscript"/>
          <w:rtl/>
        </w:rPr>
        <w:t>)</w:t>
      </w:r>
      <w:r w:rsidRPr="00EA09EB">
        <w:rPr>
          <w:rFonts w:hint="cs"/>
          <w:rtl/>
        </w:rPr>
        <w:t>. وعلى أيّ حال، وطبقاً للمعايير المتَّبعة في علوم الحديث، فإنّ هذا الحديث لا يتعدّى كونه مرسلاً أو ضعيفاً</w:t>
      </w:r>
      <w:r w:rsidRPr="00064619">
        <w:rPr>
          <w:rFonts w:cs="Taher"/>
          <w:vertAlign w:val="superscript"/>
          <w:rtl/>
        </w:rPr>
        <w:t>(</w:t>
      </w:r>
      <w:r w:rsidRPr="00064619">
        <w:rPr>
          <w:rStyle w:val="FootnoteReference"/>
          <w:rFonts w:cs="Taher"/>
          <w:sz w:val="32"/>
          <w:rtl/>
        </w:rPr>
        <w:footnoteReference w:id="531"/>
      </w:r>
      <w:r w:rsidRPr="00064619">
        <w:rPr>
          <w:rFonts w:cs="Taher"/>
          <w:vertAlign w:val="superscript"/>
          <w:rtl/>
        </w:rPr>
        <w:t>)</w:t>
      </w:r>
      <w:r w:rsidRPr="00EA09EB">
        <w:rPr>
          <w:rFonts w:hint="cs"/>
          <w:rtl/>
        </w:rPr>
        <w:t xml:space="preserve">. وكثرة الاستعمال </w:t>
      </w:r>
      <w:r w:rsidRPr="00EA09EB">
        <w:rPr>
          <w:rtl/>
        </w:rPr>
        <w:t>ـ</w:t>
      </w:r>
      <w:r w:rsidRPr="00EA09EB">
        <w:rPr>
          <w:rFonts w:hint="cs"/>
          <w:rtl/>
        </w:rPr>
        <w:t xml:space="preserve"> على فرض التسليم بها </w:t>
      </w:r>
      <w:r w:rsidRPr="00EA09EB">
        <w:rPr>
          <w:rtl/>
        </w:rPr>
        <w:t>ـ</w:t>
      </w:r>
      <w:r w:rsidRPr="00EA09EB">
        <w:rPr>
          <w:rFonts w:hint="cs"/>
          <w:rtl/>
        </w:rPr>
        <w:t xml:space="preserve"> ليست جابرة لضعف السند</w:t>
      </w:r>
      <w:r w:rsidRPr="00064619">
        <w:rPr>
          <w:rFonts w:cs="Taher"/>
          <w:vertAlign w:val="superscript"/>
          <w:rtl/>
        </w:rPr>
        <w:t>(</w:t>
      </w:r>
      <w:r w:rsidRPr="00064619">
        <w:rPr>
          <w:rStyle w:val="FootnoteReference"/>
          <w:rFonts w:cs="Taher"/>
          <w:sz w:val="32"/>
          <w:rtl/>
        </w:rPr>
        <w:footnoteReference w:id="532"/>
      </w:r>
      <w:r w:rsidRPr="00064619">
        <w:rPr>
          <w:rFonts w:cs="Taher"/>
          <w:vertAlign w:val="superscript"/>
          <w:rtl/>
        </w:rPr>
        <w:t>)</w:t>
      </w:r>
      <w:r w:rsidRPr="00EA09EB">
        <w:rPr>
          <w:rFonts w:hint="cs"/>
          <w:rtl/>
        </w:rPr>
        <w:t>.</w:t>
      </w:r>
    </w:p>
    <w:p w:rsidR="00EA09EB" w:rsidRPr="00A32FC0" w:rsidRDefault="00EA09EB" w:rsidP="00887CCF">
      <w:pPr>
        <w:pStyle w:val="Normal84"/>
        <w:rPr>
          <w:rtl/>
        </w:rPr>
      </w:pPr>
      <w:r w:rsidRPr="00A32FC0">
        <w:rPr>
          <w:rFonts w:hint="cs"/>
          <w:rtl/>
        </w:rPr>
        <w:t xml:space="preserve">وفي </w:t>
      </w:r>
      <w:r w:rsidRPr="00887CCF">
        <w:rPr>
          <w:rFonts w:hint="cs"/>
          <w:sz w:val="26"/>
          <w:szCs w:val="28"/>
          <w:rtl/>
        </w:rPr>
        <w:t xml:space="preserve">النتيجة فإن هذه الرواية غير قابلة للاستدلال الفقهيّ؛ بسبب ضعف سندها. </w:t>
      </w:r>
    </w:p>
    <w:p w:rsidR="00EA09EB" w:rsidRPr="00EA09EB" w:rsidRDefault="00EA09EB" w:rsidP="00887CCF">
      <w:pPr>
        <w:pStyle w:val="Normal84"/>
        <w:rPr>
          <w:rtl/>
        </w:rPr>
      </w:pPr>
      <w:r w:rsidRPr="00EA09EB">
        <w:rPr>
          <w:rFonts w:hint="cs"/>
          <w:rtl/>
        </w:rPr>
        <w:t xml:space="preserve">ومن جملة </w:t>
      </w:r>
      <w:r w:rsidRPr="00887CCF">
        <w:rPr>
          <w:rFonts w:hint="cs"/>
          <w:sz w:val="26"/>
          <w:szCs w:val="28"/>
          <w:rtl/>
        </w:rPr>
        <w:t xml:space="preserve">الفقهاء الذين صرّحوا بضعف سند هذه الرواية: الشيخ </w:t>
      </w:r>
      <w:r w:rsidRPr="00EA09EB">
        <w:rPr>
          <w:rFonts w:hint="cs"/>
          <w:rtl/>
        </w:rPr>
        <w:t>الأنصاري؛ والسيد أحمد الخوانساري</w:t>
      </w:r>
      <w:r w:rsidRPr="00064619">
        <w:rPr>
          <w:rFonts w:cs="Taher"/>
          <w:sz w:val="32"/>
          <w:vertAlign w:val="superscript"/>
          <w:rtl/>
        </w:rPr>
        <w:t>(</w:t>
      </w:r>
      <w:r w:rsidRPr="00064619">
        <w:rPr>
          <w:rStyle w:val="FootnoteReference"/>
          <w:rFonts w:cs="Taher"/>
          <w:sz w:val="32"/>
          <w:rtl/>
        </w:rPr>
        <w:footnoteReference w:id="533"/>
      </w:r>
      <w:r w:rsidRPr="00064619">
        <w:rPr>
          <w:rFonts w:cs="Taher"/>
          <w:sz w:val="32"/>
          <w:vertAlign w:val="superscript"/>
          <w:rtl/>
        </w:rPr>
        <w:t>)</w:t>
      </w:r>
      <w:r w:rsidRPr="00EA09EB">
        <w:rPr>
          <w:rFonts w:hint="cs"/>
          <w:rtl/>
        </w:rPr>
        <w:t xml:space="preserve">. </w:t>
      </w:r>
    </w:p>
    <w:p w:rsidR="00EA09EB" w:rsidRPr="00A32FC0" w:rsidRDefault="00EA09EB" w:rsidP="00887CCF">
      <w:pPr>
        <w:pStyle w:val="Normal93"/>
        <w:rPr>
          <w:rtl/>
        </w:rPr>
      </w:pPr>
      <w:r w:rsidRPr="00A32FC0">
        <w:rPr>
          <w:rFonts w:hint="cs"/>
          <w:rtl/>
        </w:rPr>
        <w:t>ومع أن ضعف سند هذه العبارة سوف يعفينا من مناقشة المقدّمات الأخرى، إلاّ أنّ دراستها سوف تظهر لنا أنه ـ وبغضّ النظر عن الضعف السنديّ لهذا الحديث ـ فإنّ دلالته أيضاً لا تفي بالمطلوب.</w:t>
      </w:r>
    </w:p>
    <w:p w:rsidR="00EA09EB" w:rsidRPr="00A32FC0" w:rsidRDefault="00EA09EB" w:rsidP="00887CCF">
      <w:pPr>
        <w:pStyle w:val="Normal93"/>
        <w:rPr>
          <w:rtl/>
        </w:rPr>
      </w:pPr>
      <w:r w:rsidRPr="00A32FC0">
        <w:rPr>
          <w:rFonts w:hint="cs"/>
          <w:rtl/>
        </w:rPr>
        <w:t>وأما المقدّمة الثانية فهي تامّة؛ لأن الدين لا يعترف بسلطة الحاكم الظالم والفاسق، حتى يفوِّض له الولاية على المجتمع بأسره، أو على قسمٍ منه. ولذلك فإن السلطان هنا مقيَّدٌ؛ بقرينة عقليّة، بالسلطان الحقّ والعادل.</w:t>
      </w:r>
    </w:p>
    <w:p w:rsidR="00EA09EB" w:rsidRPr="00A32FC0" w:rsidRDefault="00EA09EB" w:rsidP="00887CCF">
      <w:pPr>
        <w:pStyle w:val="Normal93"/>
        <w:rPr>
          <w:rtl/>
        </w:rPr>
      </w:pPr>
      <w:r w:rsidRPr="00EA09EB">
        <w:rPr>
          <w:rFonts w:hint="cs"/>
          <w:rtl/>
        </w:rPr>
        <w:t>وأمّا المقدّمة الثالثة (شمول كلمة «السلطان» للفقهاء العدول في عصر الغيبة) فقد خَدَشَ فيها السيّد أحمد الخوانساري. فهو يرى أن كلمة السلطان في هذه الرواية لا تتعدّى المعصوم، أو المعيَّن من قِبَله بشكل خاصّ</w:t>
      </w:r>
      <w:r w:rsidRPr="00064619">
        <w:rPr>
          <w:rFonts w:cs="Taher"/>
          <w:vertAlign w:val="superscript"/>
          <w:rtl/>
        </w:rPr>
        <w:t>(</w:t>
      </w:r>
      <w:r w:rsidRPr="00064619">
        <w:rPr>
          <w:rStyle w:val="FootnoteReference"/>
          <w:rFonts w:cs="Taher"/>
          <w:sz w:val="32"/>
          <w:rtl/>
        </w:rPr>
        <w:footnoteReference w:id="534"/>
      </w:r>
      <w:r w:rsidRPr="00064619">
        <w:rPr>
          <w:rFonts w:cs="Taher"/>
          <w:vertAlign w:val="superscript"/>
          <w:rtl/>
        </w:rPr>
        <w:t>)</w:t>
      </w:r>
      <w:r w:rsidRPr="00A32FC0">
        <w:rPr>
          <w:rFonts w:hint="cs"/>
          <w:rtl/>
        </w:rPr>
        <w:t xml:space="preserve">. </w:t>
      </w:r>
    </w:p>
    <w:p w:rsidR="00EA09EB" w:rsidRPr="00EA09EB" w:rsidRDefault="00EA09EB" w:rsidP="00EA09EB">
      <w:pPr>
        <w:rPr>
          <w:rtl/>
        </w:rPr>
      </w:pPr>
      <w:r w:rsidRPr="00A32FC0">
        <w:rPr>
          <w:rFonts w:hint="cs"/>
          <w:rtl/>
          <w:lang w:bidi="ar-LB"/>
        </w:rPr>
        <w:t xml:space="preserve">وفي حواشيه على </w:t>
      </w:r>
      <w:r w:rsidRPr="00A32FC0">
        <w:rPr>
          <w:rFonts w:hint="cs"/>
          <w:rtl/>
        </w:rPr>
        <w:t>«</w:t>
      </w:r>
      <w:r w:rsidRPr="00A32FC0">
        <w:rPr>
          <w:rFonts w:hint="cs"/>
          <w:rtl/>
          <w:lang w:bidi="ar-LB"/>
        </w:rPr>
        <w:t>المكاسب</w:t>
      </w:r>
      <w:r w:rsidRPr="00A32FC0">
        <w:rPr>
          <w:rFonts w:hint="cs"/>
          <w:rtl/>
        </w:rPr>
        <w:t>»</w:t>
      </w:r>
      <w:r w:rsidRPr="00A32FC0">
        <w:rPr>
          <w:rFonts w:hint="cs"/>
          <w:rtl/>
          <w:lang w:bidi="ar-LB"/>
        </w:rPr>
        <w:t xml:space="preserve"> استظهر المحقق الإيرواني، في بحثه حول أن كلمة السلطان في هذه الرواية تشمل غير المعصوم أو لاّ، من كلمات الشيخ الأنصاريّ وجهين</w:t>
      </w:r>
      <w:r w:rsidRPr="00064619">
        <w:rPr>
          <w:rFonts w:cs="Taher"/>
          <w:vertAlign w:val="superscript"/>
          <w:rtl/>
          <w:lang w:bidi="ar-LB"/>
        </w:rPr>
        <w:t>(</w:t>
      </w:r>
      <w:r w:rsidRPr="00064619">
        <w:rPr>
          <w:rStyle w:val="FootnoteReference"/>
          <w:rFonts w:cs="Taher"/>
          <w:sz w:val="32"/>
          <w:rtl/>
          <w:lang w:bidi="ar-LB"/>
        </w:rPr>
        <w:footnoteReference w:id="535"/>
      </w:r>
      <w:r w:rsidRPr="00064619">
        <w:rPr>
          <w:rFonts w:cs="Taher"/>
          <w:vertAlign w:val="superscript"/>
          <w:rtl/>
          <w:lang w:bidi="ar-LB"/>
        </w:rPr>
        <w:t>)</w:t>
      </w:r>
      <w:r w:rsidRPr="00EA09EB">
        <w:rPr>
          <w:rFonts w:hint="cs"/>
          <w:rtl/>
        </w:rPr>
        <w:t xml:space="preserve">. </w:t>
      </w:r>
    </w:p>
    <w:p w:rsidR="00EA09EB" w:rsidRPr="00A32FC0" w:rsidRDefault="00EA09EB" w:rsidP="00887CCF">
      <w:pPr>
        <w:pStyle w:val="Normal93"/>
        <w:rPr>
          <w:rtl/>
        </w:rPr>
      </w:pPr>
      <w:r w:rsidRPr="00A32FC0">
        <w:rPr>
          <w:rFonts w:hint="cs"/>
          <w:rtl/>
        </w:rPr>
        <w:t>كما لم يرَ بعضُ الفقهاء أيَّ مانع أو إشكال في شمول كلمة «السلطان» للفقيه العادل في عصر الغيبة، وإنْ كان السلطان العادل لا ينحصر بالمعصوم، إلاّ أنّه لا يمكن الاستنتاج من هذه الرواية بأنّ الفقاهة شرطٌ في الحاكم في عصر الغيبة. هذا الشرط بنفسه محلّ بحث، ويجب إقامة الدليل عليه. وبعبارة أخرى: يعتبر التمسك بهذه الرواية لإثبات حاكميّة الفقيه مصادرةً.</w:t>
      </w:r>
    </w:p>
    <w:p w:rsidR="00EA09EB" w:rsidRPr="00A32FC0" w:rsidRDefault="00EA09EB" w:rsidP="00EA09EB">
      <w:pPr>
        <w:rPr>
          <w:rtl/>
          <w:lang w:bidi="ar-LB"/>
        </w:rPr>
      </w:pPr>
      <w:r w:rsidRPr="00EA09EB">
        <w:rPr>
          <w:rFonts w:hint="cs"/>
          <w:rtl/>
        </w:rPr>
        <w:t>إنّ القبول بالمقدّمة الرابعة متوقِّف على القبول بالمقدّمة الخامسة. والميرزا النائيني لم يقبل بالمقدّمة الخامسة، واحتمل أن يكون المراد من هذه الرواية هو ولاية السلطان شؤون الأموات الذين لا وليّ لهم، ولا تشمل الأحياء الفاقدين للوليّ</w:t>
      </w:r>
      <w:r w:rsidRPr="00064619">
        <w:rPr>
          <w:rFonts w:cs="Taher"/>
          <w:vertAlign w:val="superscript"/>
          <w:rtl/>
          <w:lang w:bidi="ar-LB"/>
        </w:rPr>
        <w:t>(</w:t>
      </w:r>
      <w:r w:rsidRPr="00064619">
        <w:rPr>
          <w:rStyle w:val="FootnoteReference"/>
          <w:rFonts w:cs="Taher"/>
          <w:sz w:val="32"/>
          <w:rtl/>
          <w:lang w:bidi="ar-LB"/>
        </w:rPr>
        <w:footnoteReference w:id="536"/>
      </w:r>
      <w:r w:rsidRPr="00064619">
        <w:rPr>
          <w:rFonts w:cs="Taher"/>
          <w:vertAlign w:val="superscript"/>
          <w:rtl/>
          <w:lang w:bidi="ar-LB"/>
        </w:rPr>
        <w:t>)</w:t>
      </w:r>
      <w:r w:rsidRPr="00A32FC0">
        <w:rPr>
          <w:rFonts w:hint="cs"/>
          <w:rtl/>
          <w:lang w:bidi="ar-LB"/>
        </w:rPr>
        <w:t>. ولكنّه لم يقدِّم أيَّ دليل على هذا الاحتمال. لذلك سوف نعتبر أن هذه المقدّمة تامّة.</w:t>
      </w:r>
    </w:p>
    <w:p w:rsidR="00EA09EB" w:rsidRPr="00A32FC0" w:rsidRDefault="00EA09EB" w:rsidP="00887CCF">
      <w:pPr>
        <w:pStyle w:val="Normal87"/>
        <w:rPr>
          <w:rtl/>
        </w:rPr>
      </w:pPr>
      <w:r w:rsidRPr="00A32FC0">
        <w:rPr>
          <w:rFonts w:hint="cs"/>
          <w:rtl/>
        </w:rPr>
        <w:t>وأمّا المقدّمة السادسة (ولاية السلطان على جميع الناس) فقد اعتبر الشيخ الأنصاري أن هذه الرواية تدلّ على الولاية في الأمور الحِسْبِية، التي تضمّ اليتيم، والصغير، والمجنون بعد البلوغ، والغائب، والممتنع، والمريض، والمغمى عليه، والميت الذي لا وليّ له، وقاطبة المسلمين إذا كانوا أصحاب أراضي مفتوحة عنوة، والموقوف عليهم وقفاً عامّاً، ومَنْ شابههم؛ وأما دلالتها على الشؤون العامّة فتحتاج إلى الأدلّة العامّة للنيابة، وهي ـ بنظر الشيخ الأنصاريّ ـ غير تامّة</w:t>
      </w:r>
      <w:r w:rsidRPr="00064619">
        <w:rPr>
          <w:rFonts w:cs="Taher"/>
          <w:vertAlign w:val="superscript"/>
          <w:rtl/>
        </w:rPr>
        <w:t>(</w:t>
      </w:r>
      <w:r w:rsidRPr="00064619">
        <w:rPr>
          <w:rStyle w:val="FootnoteReference"/>
          <w:rFonts w:cs="Taher"/>
          <w:sz w:val="32"/>
          <w:rtl/>
        </w:rPr>
        <w:footnoteReference w:id="537"/>
      </w:r>
      <w:r w:rsidRPr="00064619">
        <w:rPr>
          <w:rFonts w:cs="Taher"/>
          <w:vertAlign w:val="superscript"/>
          <w:rtl/>
        </w:rPr>
        <w:t>)</w:t>
      </w:r>
      <w:r w:rsidRPr="00A32FC0">
        <w:rPr>
          <w:rFonts w:hint="cs"/>
          <w:rtl/>
        </w:rPr>
        <w:t xml:space="preserve">. </w:t>
      </w:r>
    </w:p>
    <w:p w:rsidR="00EA09EB" w:rsidRPr="00A32FC0" w:rsidRDefault="00EA09EB" w:rsidP="00EA09EB">
      <w:pPr>
        <w:rPr>
          <w:rtl/>
          <w:lang w:bidi="ar-LB"/>
        </w:rPr>
      </w:pPr>
      <w:r w:rsidRPr="00A32FC0">
        <w:rPr>
          <w:rFonts w:hint="cs"/>
          <w:rtl/>
          <w:lang w:bidi="ar-LB"/>
        </w:rPr>
        <w:t>وقد أيّد المحقِّق النائيني والسيد الحكيم رأي الشيخ الأنصاريّ بإنكار دلالة هذه الرواية على الشؤون العامّة</w:t>
      </w:r>
      <w:r w:rsidRPr="00064619">
        <w:rPr>
          <w:rFonts w:cs="Taher"/>
          <w:vertAlign w:val="superscript"/>
          <w:rtl/>
          <w:lang w:bidi="ar-LB"/>
        </w:rPr>
        <w:t>(</w:t>
      </w:r>
      <w:r w:rsidRPr="00064619">
        <w:rPr>
          <w:rStyle w:val="FootnoteReference"/>
          <w:rFonts w:cs="Taher"/>
          <w:sz w:val="32"/>
          <w:rtl/>
          <w:lang w:bidi="ar-LB"/>
        </w:rPr>
        <w:footnoteReference w:id="538"/>
      </w:r>
      <w:r w:rsidRPr="00064619">
        <w:rPr>
          <w:rFonts w:cs="Taher"/>
          <w:vertAlign w:val="superscript"/>
          <w:rtl/>
          <w:lang w:bidi="ar-LB"/>
        </w:rPr>
        <w:t>)</w:t>
      </w:r>
      <w:r w:rsidRPr="00A32FC0">
        <w:rPr>
          <w:rFonts w:hint="cs"/>
          <w:rtl/>
          <w:lang w:bidi="ar-LB"/>
        </w:rPr>
        <w:t xml:space="preserve">. </w:t>
      </w:r>
    </w:p>
    <w:p w:rsidR="00EA09EB" w:rsidRPr="00EA09EB" w:rsidRDefault="00EA09EB" w:rsidP="00EA09EB">
      <w:pPr>
        <w:rPr>
          <w:rtl/>
        </w:rPr>
      </w:pPr>
      <w:r w:rsidRPr="00A32FC0">
        <w:rPr>
          <w:rFonts w:hint="cs"/>
          <w:rtl/>
          <w:lang w:bidi="ar-LB"/>
        </w:rPr>
        <w:t>فهذه الرواية لا تثبت سوى ولاية السلطان على الغُيَّب، والقُصَّر، وأمثالهم؛ لأنها ناظرة إلى الأشخاص المحتاجين لوليّ شرعيّ، وليست ناظرة إلى ولاية الفقيه على المجتمع الإسلاميّ والحكومة الولائيّة؛ لأنه ـ طبقاً لهذه النظرية ـ يكون السلطان العادل وليّ جميع الناس، وليس فقط وليّ مَنْ لا وليّ له. وبعبارة أخرى: إن الرواية تثبت الولاية في الشؤون الخاصّة (المعروفة بالأمور الحِسْبِية)، والتمسُّك بها في الشؤون العامّة غاية في الإشكال</w:t>
      </w:r>
      <w:r w:rsidRPr="00064619">
        <w:rPr>
          <w:rFonts w:cs="Taher"/>
          <w:vertAlign w:val="superscript"/>
          <w:rtl/>
          <w:lang w:bidi="ar-LB"/>
        </w:rPr>
        <w:t>(</w:t>
      </w:r>
      <w:r w:rsidRPr="00064619">
        <w:rPr>
          <w:rStyle w:val="FootnoteReference"/>
          <w:rFonts w:cs="Taher"/>
          <w:sz w:val="32"/>
          <w:rtl/>
          <w:lang w:bidi="ar-LB"/>
        </w:rPr>
        <w:footnoteReference w:id="539"/>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 xml:space="preserve">وببيان آخر: إن القبول بالمقدّمة السادسة متوقِّف على التسليم بفرض مسبَق، وهو أنّه: </w:t>
      </w:r>
      <w:r w:rsidRPr="00A32FC0">
        <w:rPr>
          <w:rFonts w:hint="cs"/>
          <w:rtl/>
        </w:rPr>
        <w:t>«</w:t>
      </w:r>
      <w:r w:rsidRPr="00A32FC0">
        <w:rPr>
          <w:rFonts w:hint="cs"/>
          <w:rtl/>
          <w:lang w:bidi="ar-LB"/>
        </w:rPr>
        <w:t>يعتبر الناس محجوراً عليهم في دائرة شؤونهم العامّة، وبحاجة إلى وليّ شرعيّ</w:t>
      </w:r>
      <w:r w:rsidRPr="00A32FC0">
        <w:rPr>
          <w:rFonts w:hint="cs"/>
          <w:rtl/>
        </w:rPr>
        <w:t>»</w:t>
      </w:r>
      <w:r w:rsidRPr="00A32FC0">
        <w:rPr>
          <w:rFonts w:hint="cs"/>
          <w:rtl/>
          <w:lang w:bidi="ar-LB"/>
        </w:rPr>
        <w:t xml:space="preserve">. وصحة هذه الفرضيّة هي أوّل الكلام؛ إذ ما هو الدليل الفقهيّ أو الكلاميّ الذي يثبت هذه الفرضيّة؟ إذا كان هناك مَنْ يعتبر أن الحجر على الناس في دائرة شؤونهم العامّة بديهةً عقليّة، أو ضرورة دينيّة لا تحتاج إلى دليل، فعهدته على قائله؛ وأمّا التمسُّك بهذه الرواية وما شابهها؛ لإثبات ولاية الفقيه الشرعيّة على الناس في دائرة شؤونهم العاّمة، فيُعَدّ مصادرة. </w:t>
      </w:r>
    </w:p>
    <w:p w:rsidR="00EA09EB" w:rsidRPr="00A32FC0" w:rsidRDefault="00EA09EB" w:rsidP="00EA09EB">
      <w:pPr>
        <w:rPr>
          <w:rtl/>
          <w:lang w:bidi="ar-LB"/>
        </w:rPr>
      </w:pPr>
      <w:r w:rsidRPr="00A32FC0">
        <w:rPr>
          <w:rFonts w:hint="cs"/>
          <w:rtl/>
          <w:lang w:bidi="ar-LB"/>
        </w:rPr>
        <w:t>وأمّا المقدّمة السابعة فإنّ هذه العبارة وإنْ كانت جملة خبريّة في مقام الإنشاء، إلاّ أن هذا الإنشاء أعمّ من التعيين لمنصب الولاية، فإنّه يمكن تصوُّر هذا الإنشاء بطرق أخرى، من قبيل: الوكالة من المعصوم</w:t>
      </w:r>
      <w:r>
        <w:rPr>
          <w:rFonts w:hint="cs"/>
          <w:rtl/>
        </w:rPr>
        <w:t>×</w:t>
      </w:r>
      <w:r w:rsidRPr="00A32FC0">
        <w:rPr>
          <w:rFonts w:hint="cs"/>
          <w:rtl/>
          <w:lang w:bidi="ar-LB"/>
        </w:rPr>
        <w:t>، أو وجوب تعيين الشارع للشروط التي يجب أن تتوفَّر في السلطان العادل الذي ينتخبه الناس. وإذا جاء الاحتمال بطل الاستدلال، أي إن هذا الدليل أعمّ من المدَّعى، وليس هناك ملازمة بين التعيين والإنشاء. ولذلك فإنّ هذه الرواية عاجزة عن إثبات تعيين الفقهاء للولاية على الناس.</w:t>
      </w:r>
    </w:p>
    <w:p w:rsidR="00EA09EB" w:rsidRDefault="00EA09EB" w:rsidP="00EA09EB">
      <w:pPr>
        <w:rPr>
          <w:rtl/>
          <w:lang w:bidi="ar-LB"/>
        </w:rPr>
      </w:pPr>
      <w:r w:rsidRPr="00A32FC0">
        <w:rPr>
          <w:rFonts w:hint="cs"/>
          <w:rtl/>
          <w:lang w:bidi="ar-LB"/>
        </w:rPr>
        <w:t>وأمّا المقدّمة الثامنة (حدود صلاحيات السلطان) فإنّه بالرجوع إلى نقد المقدّمة السادسة يتَّضح أن إطلاق هذه الرواية لا يشمل سوى الأمور الحِسْبِية، وأمور الغُيَّب والقُصَّر، وهي أصلاً لا تدلّ على الأمور العامّة، حتى نبحث عن إطلاق صلاحيّات السلطان وعمومها.</w:t>
      </w:r>
    </w:p>
    <w:p w:rsidR="007A340E" w:rsidRPr="00A32FC0" w:rsidRDefault="007A340E" w:rsidP="00EA09EB">
      <w:pPr>
        <w:rPr>
          <w:rtl/>
          <w:lang w:bidi="ar-LB"/>
        </w:rPr>
      </w:pPr>
    </w:p>
    <w:p w:rsidR="00EA09EB" w:rsidRPr="00402769" w:rsidRDefault="00EA09EB" w:rsidP="007A340E">
      <w:pPr>
        <w:pStyle w:val="Heading4"/>
        <w:rPr>
          <w:rtl/>
        </w:rPr>
      </w:pPr>
      <w:r w:rsidRPr="007A340E">
        <w:rPr>
          <w:rFonts w:hint="cs"/>
          <w:rtl/>
        </w:rPr>
        <w:t>حاصل</w:t>
      </w:r>
      <w:r w:rsidRPr="00402769">
        <w:rPr>
          <w:rFonts w:hint="cs"/>
          <w:rtl/>
        </w:rPr>
        <w:t xml:space="preserve"> </w:t>
      </w:r>
      <w:r w:rsidRPr="007A340E">
        <w:rPr>
          <w:rFonts w:hint="cs"/>
          <w:rtl/>
        </w:rPr>
        <w:t>البحث</w:t>
      </w:r>
    </w:p>
    <w:p w:rsidR="00EA09EB" w:rsidRDefault="00EA09EB" w:rsidP="007A340E">
      <w:pPr>
        <w:ind w:firstLine="283"/>
        <w:rPr>
          <w:rtl/>
        </w:rPr>
      </w:pPr>
      <w:r w:rsidRPr="00EA09EB">
        <w:rPr>
          <w:rFonts w:hint="cs"/>
          <w:rtl/>
        </w:rPr>
        <w:t xml:space="preserve">إن رواية «السلطان وليّ مَنْ لا وليّ له» </w:t>
      </w:r>
      <w:r w:rsidRPr="00EA09EB">
        <w:rPr>
          <w:rtl/>
        </w:rPr>
        <w:t>ـ</w:t>
      </w:r>
      <w:r w:rsidRPr="00EA09EB">
        <w:rPr>
          <w:rFonts w:hint="cs"/>
          <w:rtl/>
        </w:rPr>
        <w:t xml:space="preserve"> بغضّ النظر عن الضعف السنديّ، الذي لا يمكن تجاوزه ـ </w:t>
      </w:r>
      <w:r w:rsidRPr="007A340E">
        <w:rPr>
          <w:rFonts w:hint="cs"/>
          <w:b/>
          <w:bCs/>
          <w:rtl/>
        </w:rPr>
        <w:t>أوّلاً</w:t>
      </w:r>
      <w:r w:rsidRPr="00EA09EB">
        <w:rPr>
          <w:rFonts w:hint="cs"/>
          <w:rtl/>
        </w:rPr>
        <w:t xml:space="preserve">: ليس لها أيّ دلالة على شرط الفقاهة في الحاكم؛ </w:t>
      </w:r>
      <w:r w:rsidRPr="007A340E">
        <w:rPr>
          <w:rFonts w:hint="cs"/>
          <w:b/>
          <w:bCs/>
          <w:rtl/>
        </w:rPr>
        <w:t>وثانياً</w:t>
      </w:r>
      <w:r w:rsidRPr="00EA09EB">
        <w:rPr>
          <w:rFonts w:hint="cs"/>
          <w:rtl/>
        </w:rPr>
        <w:t xml:space="preserve">: لا تطال دلالتها دائرة الشؤون العامة. بل إنّ دلالتها تنحصر أصلاً في الأمور الحسبية، وليس فيها إشارة إلى الولاية على الناس؛ </w:t>
      </w:r>
      <w:r w:rsidRPr="007A340E">
        <w:rPr>
          <w:rFonts w:hint="cs"/>
          <w:b/>
          <w:bCs/>
          <w:rtl/>
        </w:rPr>
        <w:t>وثالثاً</w:t>
      </w:r>
      <w:r w:rsidRPr="00EA09EB">
        <w:rPr>
          <w:rFonts w:hint="cs"/>
          <w:rtl/>
        </w:rPr>
        <w:t xml:space="preserve">: ليس هناك أيّ ملازَمة بينها وبين التعيين لمنصب الولاية؛ </w:t>
      </w:r>
      <w:r w:rsidRPr="00A06401">
        <w:rPr>
          <w:rFonts w:hint="cs"/>
          <w:b/>
          <w:bCs/>
          <w:rtl/>
        </w:rPr>
        <w:t>ورابعاً</w:t>
      </w:r>
      <w:r w:rsidRPr="00EA09EB">
        <w:rPr>
          <w:rFonts w:hint="cs"/>
          <w:rtl/>
        </w:rPr>
        <w:t>: ليس لها أيّ دلالة على إطلاق الولاية أو عمومها في دائرة الشؤون العامّة.</w:t>
      </w:r>
    </w:p>
    <w:p w:rsidR="007A340E" w:rsidRPr="00EA09EB" w:rsidRDefault="007A340E" w:rsidP="007A340E">
      <w:pPr>
        <w:ind w:firstLine="283"/>
        <w:rPr>
          <w:rtl/>
        </w:rPr>
      </w:pPr>
    </w:p>
    <w:p w:rsidR="00EA09EB" w:rsidRPr="00402769" w:rsidRDefault="00EA09EB" w:rsidP="007A340E">
      <w:pPr>
        <w:pStyle w:val="Heading3"/>
        <w:rPr>
          <w:rtl/>
        </w:rPr>
      </w:pPr>
      <w:r w:rsidRPr="00402769">
        <w:rPr>
          <w:rFonts w:hint="cs"/>
          <w:rtl/>
        </w:rPr>
        <w:t xml:space="preserve">الرواية الثانية: «اللّهمّ </w:t>
      </w:r>
      <w:r w:rsidRPr="007A340E">
        <w:rPr>
          <w:rFonts w:hint="cs"/>
          <w:rtl/>
        </w:rPr>
        <w:t>ارحم خلفائي</w:t>
      </w:r>
      <w:r w:rsidRPr="00402769">
        <w:rPr>
          <w:rFonts w:hint="cs"/>
          <w:rtl/>
        </w:rPr>
        <w:t>»</w:t>
      </w:r>
    </w:p>
    <w:p w:rsidR="00EA09EB" w:rsidRPr="00A32FC0" w:rsidRDefault="00EA09EB" w:rsidP="00EA09EB">
      <w:pPr>
        <w:rPr>
          <w:rtl/>
          <w:lang w:bidi="ar-LB"/>
        </w:rPr>
      </w:pPr>
      <w:r w:rsidRPr="00EA09EB">
        <w:rPr>
          <w:rFonts w:hint="cs"/>
          <w:rtl/>
        </w:rPr>
        <w:t>نقل الشيخ الصدوق في «مَنْ لا يحضره الفقيه»: «قال أمير المؤمنين</w:t>
      </w:r>
      <w:r>
        <w:rPr>
          <w:rFonts w:hint="cs"/>
          <w:rtl/>
        </w:rPr>
        <w:t>×</w:t>
      </w:r>
      <w:r w:rsidRPr="00EA09EB">
        <w:rPr>
          <w:rFonts w:hint="cs"/>
          <w:rtl/>
        </w:rPr>
        <w:t>: قال رسول الله</w:t>
      </w:r>
      <w:r w:rsidRPr="00EA09EB">
        <w:rPr>
          <w:rFonts w:hint="cs"/>
          <w:rtl/>
        </w:rPr>
        <w:sym w:font="Roumouz" w:char="F02D"/>
      </w:r>
      <w:r w:rsidRPr="00EA09EB">
        <w:rPr>
          <w:rFonts w:hint="cs"/>
          <w:rtl/>
        </w:rPr>
        <w:t>: «اللّهمّ ارحم خلفائي، قيل: يا رسول الله</w:t>
      </w:r>
      <w:r w:rsidRPr="00EA09EB">
        <w:rPr>
          <w:rFonts w:hint="cs"/>
          <w:rtl/>
        </w:rPr>
        <w:sym w:font="Roumouz" w:char="F02D"/>
      </w:r>
      <w:r w:rsidRPr="00EA09EB">
        <w:rPr>
          <w:rFonts w:hint="cs"/>
          <w:rtl/>
        </w:rPr>
        <w:t>، ومَنْ خلفاؤك؟ قال: الذين يأتون من بعدي، يروون عنّي حديثي وسنّتي»</w:t>
      </w:r>
      <w:r w:rsidRPr="00064619">
        <w:rPr>
          <w:rFonts w:cs="Taher"/>
          <w:vertAlign w:val="superscript"/>
          <w:rtl/>
        </w:rPr>
        <w:t>(</w:t>
      </w:r>
      <w:r w:rsidRPr="00064619">
        <w:rPr>
          <w:rStyle w:val="FootnoteReference"/>
          <w:rFonts w:cs="Taher"/>
          <w:sz w:val="32"/>
          <w:rtl/>
        </w:rPr>
        <w:footnoteReference w:id="540"/>
      </w:r>
      <w:r w:rsidRPr="00064619">
        <w:rPr>
          <w:rFonts w:cs="Taher"/>
          <w:vertAlign w:val="superscript"/>
          <w:rtl/>
        </w:rPr>
        <w:t>)</w:t>
      </w:r>
      <w:r w:rsidRPr="00A32FC0">
        <w:rPr>
          <w:rFonts w:hint="cs"/>
          <w:rtl/>
          <w:lang w:bidi="ar-LB"/>
        </w:rPr>
        <w:t>.</w:t>
      </w:r>
    </w:p>
    <w:p w:rsidR="00EA09EB" w:rsidRPr="00EA09EB" w:rsidRDefault="00EA09EB" w:rsidP="00EA09EB">
      <w:pPr>
        <w:rPr>
          <w:rtl/>
        </w:rPr>
      </w:pPr>
      <w:r w:rsidRPr="00A32FC0">
        <w:rPr>
          <w:rFonts w:hint="cs"/>
          <w:rtl/>
          <w:lang w:bidi="ar-LB"/>
        </w:rPr>
        <w:t>وقد نقل الشيخ الصدوق هذا الحديث المرسَل في «عيون أخبار الرضا</w:t>
      </w:r>
      <w:r>
        <w:rPr>
          <w:rFonts w:hint="cs"/>
          <w:rtl/>
          <w:lang w:bidi="ar-LB"/>
        </w:rPr>
        <w:t>×</w:t>
      </w:r>
      <w:r w:rsidRPr="00A32FC0">
        <w:rPr>
          <w:rFonts w:hint="cs"/>
          <w:rtl/>
          <w:lang w:bidi="ar-LB"/>
        </w:rPr>
        <w:t>»</w:t>
      </w:r>
      <w:r w:rsidRPr="00064619">
        <w:rPr>
          <w:rFonts w:cs="Taher"/>
          <w:vertAlign w:val="superscript"/>
          <w:rtl/>
          <w:lang w:bidi="ar-LB"/>
        </w:rPr>
        <w:t>(</w:t>
      </w:r>
      <w:r w:rsidRPr="00064619">
        <w:rPr>
          <w:rStyle w:val="FootnoteReference"/>
          <w:rFonts w:cs="Taher"/>
          <w:sz w:val="32"/>
          <w:rtl/>
          <w:lang w:bidi="ar-LB"/>
        </w:rPr>
        <w:footnoteReference w:id="541"/>
      </w:r>
      <w:r w:rsidRPr="00064619">
        <w:rPr>
          <w:rFonts w:cs="Taher"/>
          <w:vertAlign w:val="superscript"/>
          <w:rtl/>
          <w:lang w:bidi="ar-LB"/>
        </w:rPr>
        <w:t>)</w:t>
      </w:r>
      <w:r w:rsidRPr="00EA09EB">
        <w:rPr>
          <w:rFonts w:hint="cs"/>
          <w:rtl/>
        </w:rPr>
        <w:t>، بأسناد ثلاثة مختلفة ومستقلّة، كما نقله في «معاني الأخبار»</w:t>
      </w:r>
      <w:r w:rsidRPr="00064619">
        <w:rPr>
          <w:rFonts w:cs="Taher"/>
          <w:vertAlign w:val="superscript"/>
          <w:rtl/>
          <w:lang w:bidi="ar-LB"/>
        </w:rPr>
        <w:t>(</w:t>
      </w:r>
      <w:r w:rsidRPr="00064619">
        <w:rPr>
          <w:rStyle w:val="FootnoteReference"/>
          <w:rFonts w:cs="Taher"/>
          <w:sz w:val="32"/>
          <w:rtl/>
          <w:lang w:bidi="ar-LB"/>
        </w:rPr>
        <w:footnoteReference w:id="542"/>
      </w:r>
      <w:r w:rsidRPr="00064619">
        <w:rPr>
          <w:rFonts w:cs="Taher"/>
          <w:vertAlign w:val="superscript"/>
          <w:rtl/>
          <w:lang w:bidi="ar-LB"/>
        </w:rPr>
        <w:t>)</w:t>
      </w:r>
      <w:r w:rsidRPr="00EA09EB">
        <w:rPr>
          <w:rFonts w:hint="cs"/>
          <w:rtl/>
        </w:rPr>
        <w:t xml:space="preserve"> بسند رابع، وأمّا في «الأمالي» فقد نقله بسندٍ يشبه السند الرابع</w:t>
      </w:r>
      <w:r w:rsidRPr="00064619">
        <w:rPr>
          <w:rFonts w:cs="Taher"/>
          <w:vertAlign w:val="superscript"/>
          <w:rtl/>
          <w:lang w:bidi="ar-LB"/>
        </w:rPr>
        <w:t>(</w:t>
      </w:r>
      <w:r w:rsidRPr="00064619">
        <w:rPr>
          <w:rStyle w:val="FootnoteReference"/>
          <w:rFonts w:cs="Taher"/>
          <w:sz w:val="32"/>
          <w:rtl/>
          <w:lang w:bidi="ar-LB"/>
        </w:rPr>
        <w:footnoteReference w:id="543"/>
      </w:r>
      <w:r w:rsidRPr="00064619">
        <w:rPr>
          <w:rFonts w:cs="Taher"/>
          <w:vertAlign w:val="superscript"/>
          <w:rtl/>
          <w:lang w:bidi="ar-LB"/>
        </w:rPr>
        <w:t>)</w:t>
      </w:r>
      <w:r w:rsidRPr="00EA09EB">
        <w:rPr>
          <w:rFonts w:hint="cs"/>
          <w:rtl/>
        </w:rPr>
        <w:t>. وقد نُقِل هذا الحديث أيضاً في «صحيفة الرضا»</w:t>
      </w:r>
      <w:r w:rsidRPr="00064619">
        <w:rPr>
          <w:rFonts w:cs="Taher"/>
          <w:vertAlign w:val="superscript"/>
          <w:rtl/>
          <w:lang w:bidi="ar-LB"/>
        </w:rPr>
        <w:t>(</w:t>
      </w:r>
      <w:r w:rsidRPr="00064619">
        <w:rPr>
          <w:rStyle w:val="FootnoteReference"/>
          <w:rFonts w:cs="Taher"/>
          <w:sz w:val="32"/>
          <w:rtl/>
          <w:lang w:bidi="ar-LB"/>
        </w:rPr>
        <w:footnoteReference w:id="544"/>
      </w:r>
      <w:r w:rsidRPr="00064619">
        <w:rPr>
          <w:rFonts w:cs="Taher"/>
          <w:vertAlign w:val="superscript"/>
          <w:rtl/>
          <w:lang w:bidi="ar-LB"/>
        </w:rPr>
        <w:t>)</w:t>
      </w:r>
      <w:r w:rsidRPr="00EA09EB">
        <w:rPr>
          <w:rFonts w:hint="cs"/>
          <w:rtl/>
        </w:rPr>
        <w:t>؛ و«عوالي اللآلي»</w:t>
      </w:r>
      <w:r w:rsidRPr="00064619">
        <w:rPr>
          <w:rFonts w:cs="Taher"/>
          <w:vertAlign w:val="superscript"/>
          <w:rtl/>
        </w:rPr>
        <w:t>(</w:t>
      </w:r>
      <w:r w:rsidRPr="00064619">
        <w:rPr>
          <w:rStyle w:val="FootnoteReference"/>
          <w:rFonts w:cs="Taher"/>
          <w:sz w:val="32"/>
          <w:rtl/>
        </w:rPr>
        <w:footnoteReference w:id="545"/>
      </w:r>
      <w:r w:rsidRPr="00064619">
        <w:rPr>
          <w:rFonts w:cs="Taher"/>
          <w:vertAlign w:val="superscript"/>
          <w:rtl/>
        </w:rPr>
        <w:t>)</w:t>
      </w:r>
      <w:r w:rsidRPr="00EA09EB">
        <w:rPr>
          <w:rFonts w:hint="cs"/>
          <w:rtl/>
        </w:rPr>
        <w:t>؛ و«لبّ اللباب» للقطب الراوندي</w:t>
      </w:r>
      <w:r w:rsidRPr="00064619">
        <w:rPr>
          <w:rFonts w:cs="Taher"/>
          <w:vertAlign w:val="superscript"/>
          <w:rtl/>
          <w:lang w:bidi="ar-LB"/>
        </w:rPr>
        <w:t>(</w:t>
      </w:r>
      <w:r w:rsidRPr="00064619">
        <w:rPr>
          <w:rStyle w:val="FootnoteReference"/>
          <w:rFonts w:cs="Taher"/>
          <w:sz w:val="32"/>
          <w:rtl/>
          <w:lang w:bidi="ar-LB"/>
        </w:rPr>
        <w:footnoteReference w:id="546"/>
      </w:r>
      <w:r w:rsidRPr="00064619">
        <w:rPr>
          <w:rFonts w:cs="Taher"/>
          <w:vertAlign w:val="superscript"/>
          <w:rtl/>
          <w:lang w:bidi="ar-LB"/>
        </w:rPr>
        <w:t>)</w:t>
      </w:r>
      <w:r w:rsidRPr="00EA09EB">
        <w:rPr>
          <w:rFonts w:hint="cs"/>
          <w:rtl/>
        </w:rPr>
        <w:t>، و«منية المريد» للشهيد الثاني</w:t>
      </w:r>
      <w:r w:rsidRPr="00064619">
        <w:rPr>
          <w:rFonts w:cs="Taher"/>
          <w:vertAlign w:val="superscript"/>
          <w:rtl/>
          <w:lang w:bidi="ar-LB"/>
        </w:rPr>
        <w:t>(</w:t>
      </w:r>
      <w:r w:rsidRPr="00064619">
        <w:rPr>
          <w:rStyle w:val="FootnoteReference"/>
          <w:rFonts w:cs="Taher"/>
          <w:sz w:val="32"/>
          <w:rtl/>
          <w:lang w:bidi="ar-LB"/>
        </w:rPr>
        <w:footnoteReference w:id="547"/>
      </w:r>
      <w:r w:rsidRPr="00064619">
        <w:rPr>
          <w:rFonts w:cs="Taher"/>
          <w:vertAlign w:val="superscript"/>
          <w:rtl/>
          <w:lang w:bidi="ar-LB"/>
        </w:rPr>
        <w:t>)</w:t>
      </w:r>
      <w:r w:rsidRPr="00EA09EB">
        <w:rPr>
          <w:rFonts w:hint="cs"/>
          <w:rtl/>
        </w:rPr>
        <w:t>. ونُقل أيضاً في بعض مصادر أهل السنّة</w:t>
      </w:r>
      <w:r w:rsidRPr="00064619">
        <w:rPr>
          <w:rFonts w:cs="Taher"/>
          <w:vertAlign w:val="superscript"/>
          <w:rtl/>
          <w:lang w:bidi="ar-LB"/>
        </w:rPr>
        <w:t>(</w:t>
      </w:r>
      <w:r w:rsidRPr="00064619">
        <w:rPr>
          <w:rStyle w:val="FootnoteReference"/>
          <w:rFonts w:cs="Taher"/>
          <w:sz w:val="32"/>
          <w:rtl/>
          <w:lang w:bidi="ar-LB"/>
        </w:rPr>
        <w:footnoteReference w:id="548"/>
      </w:r>
      <w:r w:rsidRPr="00064619">
        <w:rPr>
          <w:rFonts w:cs="Taher"/>
          <w:vertAlign w:val="superscript"/>
          <w:rtl/>
          <w:lang w:bidi="ar-LB"/>
        </w:rPr>
        <w:t>)</w:t>
      </w:r>
      <w:r w:rsidRPr="00EA09EB">
        <w:rPr>
          <w:rFonts w:hint="cs"/>
          <w:rtl/>
        </w:rPr>
        <w:t>.</w:t>
      </w:r>
    </w:p>
    <w:p w:rsidR="00EA09EB" w:rsidRPr="00A32FC0" w:rsidRDefault="00EA09EB" w:rsidP="00887CCF">
      <w:pPr>
        <w:pStyle w:val="Normal84"/>
        <w:rPr>
          <w:rtl/>
        </w:rPr>
      </w:pPr>
      <w:r w:rsidRPr="00A32FC0">
        <w:rPr>
          <w:rFonts w:hint="cs"/>
          <w:rtl/>
        </w:rPr>
        <w:t>وممّا يميِّز هذه المجموعة من الروايات وصف الخلفاء على لسان النبيّ</w:t>
      </w:r>
      <w:r w:rsidRPr="00A32FC0">
        <w:rPr>
          <w:rFonts w:hint="cs"/>
          <w:rtl/>
        </w:rPr>
        <w:sym w:font="Roumouz" w:char="F02D"/>
      </w:r>
      <w:r w:rsidRPr="00A32FC0">
        <w:rPr>
          <w:rFonts w:hint="cs"/>
          <w:rtl/>
        </w:rPr>
        <w:t xml:space="preserve"> المبارك. </w:t>
      </w:r>
    </w:p>
    <w:p w:rsidR="00EA09EB" w:rsidRPr="00A32FC0" w:rsidRDefault="00EA09EB" w:rsidP="00887CCF">
      <w:pPr>
        <w:pStyle w:val="Normal84"/>
        <w:rPr>
          <w:rtl/>
        </w:rPr>
      </w:pPr>
      <w:r w:rsidRPr="00EA09EB">
        <w:rPr>
          <w:rFonts w:hint="cs"/>
          <w:rtl/>
        </w:rPr>
        <w:t>وقد استدلّ المحقِّق النراقي وصاحب «العناوين» و«صاحب الجواهر»، وعدد آخر من الفقهاء، بهذا الحديث في بحث ولاية الفقيه</w:t>
      </w:r>
      <w:r w:rsidRPr="00064619">
        <w:rPr>
          <w:rFonts w:cs="Taher"/>
          <w:vertAlign w:val="superscript"/>
          <w:rtl/>
        </w:rPr>
        <w:t>(</w:t>
      </w:r>
      <w:r w:rsidRPr="00064619">
        <w:rPr>
          <w:rStyle w:val="FootnoteReference"/>
          <w:rFonts w:cs="Taher"/>
          <w:sz w:val="32"/>
          <w:rtl/>
        </w:rPr>
        <w:footnoteReference w:id="549"/>
      </w:r>
      <w:r w:rsidRPr="00064619">
        <w:rPr>
          <w:rFonts w:cs="Taher"/>
          <w:vertAlign w:val="superscript"/>
          <w:rtl/>
        </w:rPr>
        <w:t>)</w:t>
      </w:r>
      <w:r w:rsidRPr="00A32FC0">
        <w:rPr>
          <w:rFonts w:hint="cs"/>
          <w:rtl/>
        </w:rPr>
        <w:t xml:space="preserve">. </w:t>
      </w:r>
    </w:p>
    <w:p w:rsidR="00EA09EB" w:rsidRPr="00EA09EB" w:rsidRDefault="00EA09EB" w:rsidP="00887CCF">
      <w:pPr>
        <w:pStyle w:val="Normal84"/>
        <w:rPr>
          <w:rtl/>
        </w:rPr>
      </w:pPr>
      <w:r>
        <w:rPr>
          <w:rFonts w:hint="cs"/>
          <w:rtl/>
        </w:rPr>
        <w:t>كما قام السيد</w:t>
      </w:r>
      <w:r w:rsidRPr="00A32FC0">
        <w:rPr>
          <w:rFonts w:hint="cs"/>
          <w:rtl/>
        </w:rPr>
        <w:t xml:space="preserve"> الخميني في كتاب «البيع» بتحليل ودراسة الأبعاد المختلفة لهذه المجموعة من الروايات بوصفها الدليل الروائيّ الأوّل على ولاية الفقيه، ورأى دلالتها عليها</w:t>
      </w:r>
      <w:r w:rsidRPr="00064619">
        <w:rPr>
          <w:rFonts w:cs="Taher"/>
          <w:vertAlign w:val="superscript"/>
          <w:rtl/>
        </w:rPr>
        <w:t>(</w:t>
      </w:r>
      <w:r w:rsidRPr="00064619">
        <w:rPr>
          <w:rStyle w:val="FootnoteReference"/>
          <w:rFonts w:cs="Taher"/>
          <w:sz w:val="32"/>
          <w:rtl/>
        </w:rPr>
        <w:footnoteReference w:id="550"/>
      </w:r>
      <w:r w:rsidRPr="00064619">
        <w:rPr>
          <w:rFonts w:cs="Taher"/>
          <w:vertAlign w:val="superscript"/>
          <w:rtl/>
        </w:rPr>
        <w:t>)</w:t>
      </w:r>
      <w:r w:rsidRPr="00EA09EB">
        <w:rPr>
          <w:rFonts w:hint="cs"/>
          <w:rtl/>
        </w:rPr>
        <w:t xml:space="preserve">. </w:t>
      </w:r>
    </w:p>
    <w:p w:rsidR="00EA09EB" w:rsidRPr="00A32FC0" w:rsidRDefault="00EA09EB" w:rsidP="00EA09EB">
      <w:pPr>
        <w:rPr>
          <w:rtl/>
        </w:rPr>
      </w:pPr>
      <w:r w:rsidRPr="00A32FC0">
        <w:rPr>
          <w:rFonts w:hint="cs"/>
          <w:rtl/>
        </w:rPr>
        <w:t>إنّ التمسُّك بهذه المجموعة من الأحاديث؛ لإثبات الولاية التعيينيّة المطلقة للفقيه على الناس، متوقِّف على القبول بجميع المقدمات التالية:</w:t>
      </w:r>
    </w:p>
    <w:p w:rsidR="00EA09EB" w:rsidRPr="00EA09EB" w:rsidRDefault="00EA09EB" w:rsidP="00887CCF">
      <w:pPr>
        <w:pStyle w:val="Normal84"/>
        <w:rPr>
          <w:rtl/>
        </w:rPr>
      </w:pPr>
      <w:r w:rsidRPr="007A340E">
        <w:rPr>
          <w:rFonts w:hint="cs"/>
          <w:b/>
          <w:bCs/>
          <w:rtl/>
        </w:rPr>
        <w:t>الأولى</w:t>
      </w:r>
      <w:r w:rsidRPr="00EA09EB">
        <w:rPr>
          <w:rFonts w:hint="cs"/>
          <w:rtl/>
        </w:rPr>
        <w:t xml:space="preserve">: السند. «إنّ الاعتماد على هذه الرواية بسبب كثرة طرقها الذي يوجب الاطمئنان. بل إنها وإنْ كانت مرسلة فهي من مرسَلات الشيخ الصدوق، التي لا تقلّ اعتماداً عن مرسلات ابن عمير </w:t>
      </w:r>
      <w:r w:rsidRPr="00EA09EB">
        <w:rPr>
          <w:rtl/>
        </w:rPr>
        <w:t>ـ</w:t>
      </w:r>
      <w:r w:rsidRPr="00EA09EB">
        <w:rPr>
          <w:rFonts w:hint="cs"/>
          <w:rtl/>
        </w:rPr>
        <w:t xml:space="preserve"> التي تمّ تلقّيها بالقبول </w:t>
      </w:r>
      <w:r w:rsidRPr="00EA09EB">
        <w:rPr>
          <w:rtl/>
        </w:rPr>
        <w:t>ـ</w:t>
      </w:r>
      <w:r w:rsidRPr="00EA09EB">
        <w:rPr>
          <w:rFonts w:hint="cs"/>
          <w:rtl/>
        </w:rPr>
        <w:t xml:space="preserve">. ومرسَلات الشيخ الصدوق على قسمين: </w:t>
      </w:r>
      <w:r w:rsidRPr="007A340E">
        <w:rPr>
          <w:rFonts w:hint="cs"/>
          <w:b/>
          <w:bCs/>
          <w:rtl/>
        </w:rPr>
        <w:t>الأوّل</w:t>
      </w:r>
      <w:r w:rsidRPr="00EA09EB">
        <w:rPr>
          <w:rFonts w:hint="cs"/>
          <w:rtl/>
        </w:rPr>
        <w:t>: المرسلات التي فيها نوع من الجزم بنسبتها إلى المعصوم</w:t>
      </w:r>
      <w:r>
        <w:rPr>
          <w:rFonts w:hint="cs"/>
          <w:rtl/>
        </w:rPr>
        <w:t>×</w:t>
      </w:r>
      <w:r w:rsidRPr="00EA09EB">
        <w:rPr>
          <w:rFonts w:hint="cs"/>
          <w:rtl/>
        </w:rPr>
        <w:t>، من قبيل هذه الرواية التي تقول: قال أمير المؤمنين</w:t>
      </w:r>
      <w:r>
        <w:rPr>
          <w:rFonts w:hint="cs"/>
          <w:rtl/>
        </w:rPr>
        <w:t>×</w:t>
      </w:r>
      <w:r w:rsidRPr="00EA09EB">
        <w:rPr>
          <w:rFonts w:hint="cs"/>
          <w:rtl/>
        </w:rPr>
        <w:t xml:space="preserve">؛ </w:t>
      </w:r>
      <w:r w:rsidRPr="007A340E">
        <w:rPr>
          <w:rFonts w:hint="cs"/>
          <w:b/>
          <w:bCs/>
          <w:rtl/>
        </w:rPr>
        <w:t>والثاني</w:t>
      </w:r>
      <w:r w:rsidRPr="00EA09EB">
        <w:rPr>
          <w:rFonts w:hint="cs"/>
          <w:rtl/>
        </w:rPr>
        <w:t>: الروايات التي تقول: روي عنه</w:t>
      </w:r>
      <w:r>
        <w:rPr>
          <w:rFonts w:hint="cs"/>
          <w:rtl/>
        </w:rPr>
        <w:t>×</w:t>
      </w:r>
      <w:r w:rsidRPr="00EA09EB">
        <w:rPr>
          <w:rFonts w:hint="cs"/>
          <w:rtl/>
        </w:rPr>
        <w:t>. ويعدّ القسم الأوّل من المرسَلات المعتمدة والمقبولة»</w:t>
      </w:r>
      <w:r w:rsidRPr="00064619">
        <w:rPr>
          <w:rFonts w:cs="Taher"/>
          <w:sz w:val="32"/>
          <w:vertAlign w:val="superscript"/>
          <w:rtl/>
        </w:rPr>
        <w:t>(</w:t>
      </w:r>
      <w:r w:rsidRPr="00064619">
        <w:rPr>
          <w:rStyle w:val="FootnoteReference"/>
          <w:rFonts w:cs="Taher"/>
          <w:sz w:val="32"/>
          <w:rtl/>
        </w:rPr>
        <w:footnoteReference w:id="551"/>
      </w:r>
      <w:r w:rsidRPr="00064619">
        <w:rPr>
          <w:rFonts w:cs="Taher"/>
          <w:sz w:val="32"/>
          <w:vertAlign w:val="superscript"/>
          <w:rtl/>
        </w:rPr>
        <w:t>)</w:t>
      </w:r>
      <w:r w:rsidRPr="00EA09EB">
        <w:rPr>
          <w:rFonts w:hint="cs"/>
          <w:rtl/>
        </w:rPr>
        <w:t>. وعلى هذا الأساس فإنه لا إشكال في سند هذه الرواية في الجملة.</w:t>
      </w:r>
    </w:p>
    <w:p w:rsidR="00EA09EB" w:rsidRPr="00EA09EB" w:rsidRDefault="00EA09EB" w:rsidP="00887CCF">
      <w:pPr>
        <w:pStyle w:val="Normal87"/>
        <w:rPr>
          <w:rtl/>
        </w:rPr>
      </w:pPr>
      <w:r w:rsidRPr="007A340E">
        <w:rPr>
          <w:rFonts w:hint="cs"/>
          <w:b/>
          <w:bCs/>
          <w:rtl/>
        </w:rPr>
        <w:t>الثانية</w:t>
      </w:r>
      <w:r w:rsidRPr="00EA09EB">
        <w:rPr>
          <w:rFonts w:hint="cs"/>
          <w:rtl/>
        </w:rPr>
        <w:t>: إنّ خلفاء النبيّ</w:t>
      </w:r>
      <w:r w:rsidRPr="00EA09EB">
        <w:rPr>
          <w:rFonts w:hint="cs"/>
          <w:rtl/>
        </w:rPr>
        <w:sym w:font="Roumouz" w:char="F02D"/>
      </w:r>
      <w:r w:rsidRPr="00EA09EB">
        <w:rPr>
          <w:rFonts w:hint="cs"/>
          <w:rtl/>
        </w:rPr>
        <w:t xml:space="preserve"> لا ينحصرون بالأئمّة</w:t>
      </w:r>
      <w:r w:rsidR="007A340E">
        <w:rPr>
          <w:rFonts w:hint="cs"/>
          <w:rtl/>
        </w:rPr>
        <w:t>^</w:t>
      </w:r>
      <w:r w:rsidRPr="00EA09EB">
        <w:rPr>
          <w:rFonts w:hint="cs"/>
          <w:rtl/>
        </w:rPr>
        <w:t>. وبعبارة أخرى: إنّ «خلفائي» تشمل الخلفاء المباشرين للنبيّ</w:t>
      </w:r>
      <w:r w:rsidRPr="00EA09EB">
        <w:rPr>
          <w:rFonts w:hint="cs"/>
          <w:rtl/>
        </w:rPr>
        <w:sym w:font="Roumouz" w:char="F02D"/>
      </w:r>
      <w:r w:rsidRPr="00EA09EB">
        <w:rPr>
          <w:rFonts w:hint="cs"/>
          <w:rtl/>
        </w:rPr>
        <w:t>، أي الأئمّة</w:t>
      </w:r>
      <w:r w:rsidR="007A340E">
        <w:rPr>
          <w:rFonts w:hint="cs"/>
          <w:rtl/>
        </w:rPr>
        <w:t>^</w:t>
      </w:r>
      <w:r w:rsidRPr="00EA09EB">
        <w:rPr>
          <w:rFonts w:hint="cs"/>
          <w:rtl/>
        </w:rPr>
        <w:t>، كما تشمل الخلفاء غير المباشرين، أي علماء الدين. «وتوهُّم أنّ المراد من الخلفاء خصوص الأئمّة</w:t>
      </w:r>
      <w:r w:rsidR="007A340E">
        <w:rPr>
          <w:rFonts w:hint="cs"/>
          <w:rtl/>
        </w:rPr>
        <w:t>^</w:t>
      </w:r>
      <w:r w:rsidRPr="00EA09EB">
        <w:rPr>
          <w:rFonts w:hint="cs"/>
          <w:rtl/>
        </w:rPr>
        <w:t xml:space="preserve"> في غاية الوهن؛ فإن التعبير عن الأئمّة</w:t>
      </w:r>
      <w:r w:rsidR="007A340E">
        <w:rPr>
          <w:rFonts w:hint="cs"/>
          <w:rtl/>
        </w:rPr>
        <w:t>^</w:t>
      </w:r>
      <w:r w:rsidRPr="00EA09EB">
        <w:rPr>
          <w:rFonts w:hint="cs"/>
          <w:rtl/>
        </w:rPr>
        <w:t xml:space="preserve"> برواة الأحاديث غير معهود، بل هم خزّان علمه تعالى، ولهم صفات جميلة إلى ما شاء الله، لا تناسب الإشارة إلى مقامهم</w:t>
      </w:r>
      <w:r w:rsidR="007A340E">
        <w:rPr>
          <w:rFonts w:hint="cs"/>
          <w:rtl/>
        </w:rPr>
        <w:t>^</w:t>
      </w:r>
      <w:r w:rsidRPr="00EA09EB">
        <w:rPr>
          <w:rFonts w:hint="cs"/>
          <w:rtl/>
        </w:rPr>
        <w:t xml:space="preserve"> بـ «أنّهم رواة الأحاديث»، بل لو كان المقصود من الخلفاء أشخاصهم المعلومين، لقال: عليّ وأولاده المعصومون</w:t>
      </w:r>
      <w:r w:rsidR="007A340E">
        <w:rPr>
          <w:rFonts w:hint="cs"/>
          <w:rtl/>
        </w:rPr>
        <w:t>^</w:t>
      </w:r>
      <w:r w:rsidRPr="00EA09EB">
        <w:rPr>
          <w:rFonts w:hint="cs"/>
          <w:rtl/>
        </w:rPr>
        <w:t>، لا العنوان العامّ الشامل لجميع العلماء»</w:t>
      </w:r>
      <w:r w:rsidRPr="00064619">
        <w:rPr>
          <w:rFonts w:cs="Taher"/>
          <w:sz w:val="32"/>
          <w:vertAlign w:val="superscript"/>
          <w:rtl/>
        </w:rPr>
        <w:t>(</w:t>
      </w:r>
      <w:r w:rsidRPr="00064619">
        <w:rPr>
          <w:rStyle w:val="FootnoteReference"/>
          <w:rFonts w:cs="Taher"/>
          <w:sz w:val="32"/>
          <w:rtl/>
        </w:rPr>
        <w:footnoteReference w:id="552"/>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b/>
          <w:bCs/>
          <w:rtl/>
          <w:lang w:bidi="ar-LB"/>
        </w:rPr>
        <w:t>الثالثة</w:t>
      </w:r>
      <w:r w:rsidRPr="00A32FC0">
        <w:rPr>
          <w:rFonts w:hint="cs"/>
          <w:rtl/>
          <w:lang w:bidi="ar-LB"/>
        </w:rPr>
        <w:t xml:space="preserve">: المراد من عبارة </w:t>
      </w:r>
      <w:r w:rsidRPr="00A32FC0">
        <w:rPr>
          <w:rFonts w:hint="cs"/>
          <w:rtl/>
        </w:rPr>
        <w:t>«</w:t>
      </w:r>
      <w:r w:rsidRPr="00A32FC0">
        <w:rPr>
          <w:rFonts w:hint="cs"/>
          <w:rtl/>
          <w:lang w:bidi="ar-LB"/>
        </w:rPr>
        <w:t>الذين يأتون من بعدي، يروون حديثي وسنتي</w:t>
      </w:r>
      <w:r w:rsidRPr="00A32FC0">
        <w:rPr>
          <w:rFonts w:hint="cs"/>
          <w:rtl/>
        </w:rPr>
        <w:t>»</w:t>
      </w:r>
      <w:r w:rsidRPr="00A32FC0">
        <w:rPr>
          <w:rFonts w:hint="cs"/>
          <w:rtl/>
          <w:lang w:bidi="ar-LB"/>
        </w:rPr>
        <w:t xml:space="preserve"> هو الفقهاء؛ لأنه من الواضح أن مجرّد نقل الحديث وسنّة النبي</w:t>
      </w:r>
      <w:r w:rsidRPr="00A32FC0">
        <w:rPr>
          <w:rFonts w:hint="cs"/>
          <w:rtl/>
        </w:rPr>
        <w:sym w:font="Roumouz" w:char="F02D"/>
      </w:r>
      <w:r w:rsidRPr="00A32FC0">
        <w:rPr>
          <w:rFonts w:hint="cs"/>
          <w:rtl/>
          <w:lang w:bidi="ar-LB"/>
        </w:rPr>
        <w:t xml:space="preserve"> لا يجعل الناقل خليفة. </w:t>
      </w:r>
      <w:r w:rsidRPr="00A32FC0">
        <w:rPr>
          <w:rFonts w:hint="cs"/>
          <w:rtl/>
        </w:rPr>
        <w:t>«</w:t>
      </w:r>
      <w:r w:rsidRPr="00A32FC0">
        <w:rPr>
          <w:rFonts w:hint="cs"/>
          <w:rtl/>
          <w:lang w:bidi="ar-LB"/>
        </w:rPr>
        <w:t>كما أن احتمال الاختصاص بالراوي والمحدِّث، دون الفقيه، أوهن من السابق [الاختصاص بالأئمّة]. أما بالنسبة إلى ما ذكر في ذيله بالطرق الكثيرة، وهو قوله</w:t>
      </w:r>
      <w:r w:rsidRPr="00A32FC0">
        <w:rPr>
          <w:rFonts w:hint="cs"/>
          <w:rtl/>
        </w:rPr>
        <w:sym w:font="Roumouz" w:char="F02D"/>
      </w:r>
      <w:r w:rsidRPr="00A32FC0">
        <w:rPr>
          <w:rFonts w:hint="cs"/>
          <w:rtl/>
          <w:lang w:bidi="ar-LB"/>
        </w:rPr>
        <w:t>: «فيعلِّمونها الناس من بعدي»، فواضحٌ؛ لأنّه ليس شغل المحدِّث والراوي تعليم سنّة رسول الله</w:t>
      </w:r>
      <w:r w:rsidRPr="00A32FC0">
        <w:rPr>
          <w:rFonts w:hint="cs"/>
          <w:rtl/>
        </w:rPr>
        <w:sym w:font="Roumouz" w:char="F02D"/>
      </w:r>
      <w:r w:rsidRPr="00A32FC0">
        <w:rPr>
          <w:rFonts w:hint="cs"/>
          <w:rtl/>
          <w:lang w:bidi="ar-LB"/>
        </w:rPr>
        <w:t>، إلاّ إذا كان فقيهاً، مثل: الكلينيّ والصدوقين، ونظرائهم، فإنّ الراوي ـ قطعاً ـ لا يمكنه العلم بأن ما روي هو سنّة رسول الله</w:t>
      </w:r>
      <w:r w:rsidRPr="00A32FC0">
        <w:rPr>
          <w:rFonts w:hint="cs"/>
          <w:rtl/>
        </w:rPr>
        <w:sym w:font="Roumouz" w:char="F02D"/>
      </w:r>
      <w:r w:rsidRPr="00A32FC0">
        <w:rPr>
          <w:rFonts w:hint="cs"/>
          <w:rtl/>
          <w:lang w:bidi="ar-LB"/>
        </w:rPr>
        <w:t xml:space="preserve"> أو لا؛ إذ إنّ كثيراً من الروايات الواردة عن المعصومين</w:t>
      </w:r>
      <w:r w:rsidR="007A340E">
        <w:rPr>
          <w:rFonts w:hint="cs"/>
          <w:rtl/>
        </w:rPr>
        <w:t>^</w:t>
      </w:r>
      <w:r w:rsidRPr="00A32FC0">
        <w:rPr>
          <w:rFonts w:hint="cs"/>
          <w:rtl/>
          <w:lang w:bidi="ar-LB"/>
        </w:rPr>
        <w:t xml:space="preserve"> لم تصدر لبيان الحكم الواقعيّ؛ لكثرة ابتلائهم بولاة الجور، وليس لنا طريق إلى سنّة رسول الله</w:t>
      </w:r>
      <w:r w:rsidRPr="00A32FC0">
        <w:rPr>
          <w:rFonts w:hint="cs"/>
          <w:rtl/>
        </w:rPr>
        <w:sym w:font="Roumouz" w:char="F02D"/>
      </w:r>
      <w:r w:rsidRPr="00A32FC0">
        <w:rPr>
          <w:rFonts w:hint="cs"/>
          <w:rtl/>
          <w:lang w:bidi="ar-LB"/>
        </w:rPr>
        <w:t xml:space="preserve"> ورواياته إلاّ من قِبَل الأئمّة الهداة</w:t>
      </w:r>
      <w:r w:rsidR="007A340E">
        <w:rPr>
          <w:rFonts w:hint="cs"/>
          <w:rtl/>
        </w:rPr>
        <w:t>^</w:t>
      </w:r>
      <w:r w:rsidRPr="00A32FC0">
        <w:rPr>
          <w:rFonts w:hint="cs"/>
          <w:rtl/>
          <w:lang w:bidi="ar-LB"/>
        </w:rPr>
        <w:t>، والرواية من غير طريقهم في غاية القلّة.</w:t>
      </w:r>
    </w:p>
    <w:p w:rsidR="00EA09EB" w:rsidRPr="00EA09EB" w:rsidRDefault="00EA09EB" w:rsidP="00A06401">
      <w:pPr>
        <w:rPr>
          <w:rtl/>
        </w:rPr>
      </w:pPr>
      <w:r w:rsidRPr="00A32FC0">
        <w:rPr>
          <w:rFonts w:hint="cs"/>
          <w:rtl/>
          <w:lang w:bidi="ar-LB"/>
        </w:rPr>
        <w:t xml:space="preserve">أما بالنسبة للمرسلة التي ليس لها هذا الذيل [فيعلِّمونها الناس من بعدي]، فلأنه </w:t>
      </w:r>
      <w:r w:rsidRPr="00A32FC0">
        <w:rPr>
          <w:rtl/>
          <w:lang w:bidi="ar-LB"/>
        </w:rPr>
        <w:t>ـ</w:t>
      </w:r>
      <w:r w:rsidRPr="00A32FC0">
        <w:rPr>
          <w:rFonts w:hint="cs"/>
          <w:rtl/>
          <w:lang w:bidi="ar-LB"/>
        </w:rPr>
        <w:t xml:space="preserve"> مع إمكان أن يقال: إن هذه الجملة سقطت؛ إمّا من قلم المصنِّف؛ وإمّا من أقلام النسّاخ. وكلّما دار الأمر بين زيادة جملة وسقوطها كان الثاني أَوْلى؛ لبُعْد الأول، وزيادة وقوع الثاني عند الاستنساخ، وإنْ كان هو أيضاً خلاف الأصل في نفسه </w:t>
      </w:r>
      <w:r w:rsidRPr="00A32FC0">
        <w:rPr>
          <w:rtl/>
          <w:lang w:bidi="ar-LB"/>
        </w:rPr>
        <w:t>ـ</w:t>
      </w:r>
      <w:r w:rsidRPr="00A32FC0">
        <w:rPr>
          <w:rFonts w:hint="cs"/>
          <w:rtl/>
          <w:lang w:bidi="ar-LB"/>
        </w:rPr>
        <w:t xml:space="preserve"> لا شكّ أنّ المطلوب من بسط السنّة هو بسط سنّة رسول الله</w:t>
      </w:r>
      <w:r w:rsidRPr="00A32FC0">
        <w:rPr>
          <w:rFonts w:hint="cs"/>
          <w:rtl/>
        </w:rPr>
        <w:sym w:font="Roumouz" w:char="F02D"/>
      </w:r>
      <w:r w:rsidRPr="00A32FC0">
        <w:rPr>
          <w:rFonts w:hint="cs"/>
          <w:rtl/>
          <w:lang w:bidi="ar-LB"/>
        </w:rPr>
        <w:t xml:space="preserve"> وروايتها، لا ما ينسب إليه ولو كان كذباً وعلى خلاف سنّته. والذي يتيسَّر له إحراز السنّة، وعلاج المتعارضين بالموازين التي قرِّرت في محلّها ممّا ورد عنهم</w:t>
      </w:r>
      <w:r w:rsidR="007A340E">
        <w:rPr>
          <w:rFonts w:hint="cs"/>
          <w:rtl/>
        </w:rPr>
        <w:t>^</w:t>
      </w:r>
      <w:r w:rsidRPr="00A32FC0">
        <w:rPr>
          <w:rFonts w:hint="cs"/>
          <w:rtl/>
          <w:lang w:bidi="ar-LB"/>
        </w:rPr>
        <w:t>، وغير ذلك، وتشخيص المخالف للكتاب والسنّة، والموافق لهما، هو المجتهد المتبحِّر، والمحدِّث الفقيه، لا ناقل الحديث كائناً مَن كان. مع أنّ مناسبة الحكم والموضوع ترشدنا إلى ذلك؛ فإنّ منصب خلافة رسول الله</w:t>
      </w:r>
      <w:r w:rsidRPr="00A32FC0">
        <w:rPr>
          <w:rFonts w:hint="cs"/>
          <w:rtl/>
        </w:rPr>
        <w:sym w:font="Roumouz" w:char="F02D"/>
      </w:r>
      <w:r w:rsidRPr="00A32FC0">
        <w:rPr>
          <w:rFonts w:hint="cs"/>
          <w:rtl/>
          <w:lang w:bidi="ar-LB"/>
        </w:rPr>
        <w:t>، والولاية من قِبَله، لا يعقل أن تكون لرجل عامّيّ غير مميِّز لأحكام الله تعالى، بمجرد حكاية أحاديث، فهو كالمستنسخ للأحاديث [لا أكثر]</w:t>
      </w:r>
      <w:r w:rsidRPr="00A32FC0">
        <w:rPr>
          <w:rFonts w:hint="cs"/>
          <w:rtl/>
        </w:rPr>
        <w:t>»</w:t>
      </w:r>
      <w:r w:rsidRPr="00064619">
        <w:rPr>
          <w:rFonts w:cs="Taher"/>
          <w:vertAlign w:val="superscript"/>
          <w:rtl/>
        </w:rPr>
        <w:t>(</w:t>
      </w:r>
      <w:r w:rsidRPr="00064619">
        <w:rPr>
          <w:rStyle w:val="FootnoteReference"/>
          <w:rFonts w:cs="Taher"/>
          <w:sz w:val="32"/>
          <w:rtl/>
        </w:rPr>
        <w:footnoteReference w:id="553"/>
      </w:r>
      <w:r w:rsidRPr="00064619">
        <w:rPr>
          <w:rFonts w:cs="Taher"/>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الرابعة</w:t>
      </w:r>
      <w:r w:rsidRPr="00EA09EB">
        <w:rPr>
          <w:rFonts w:hint="cs"/>
          <w:rtl/>
        </w:rPr>
        <w:t>: إنّ للنبيّ</w:t>
      </w:r>
      <w:r w:rsidRPr="00EA09EB">
        <w:rPr>
          <w:rFonts w:hint="cs"/>
          <w:rtl/>
        </w:rPr>
        <w:sym w:font="Roumouz" w:char="F02D"/>
      </w:r>
      <w:r w:rsidRPr="00EA09EB">
        <w:rPr>
          <w:rFonts w:hint="cs"/>
          <w:rtl/>
        </w:rPr>
        <w:t xml:space="preserve"> ثلاث خصائص، غير الوحي والعصمة وعلم الغيب، قابلة للنقل: </w:t>
      </w:r>
      <w:r w:rsidRPr="007A340E">
        <w:rPr>
          <w:rFonts w:hint="cs"/>
          <w:b/>
          <w:bCs/>
          <w:rtl/>
        </w:rPr>
        <w:t>الأولى</w:t>
      </w:r>
      <w:r w:rsidRPr="00EA09EB">
        <w:rPr>
          <w:rFonts w:hint="cs"/>
          <w:rtl/>
        </w:rPr>
        <w:t xml:space="preserve">: نقل، وتعليم، وترويج تعاليم الدين والقرآن وأحكام الشرع؛ </w:t>
      </w:r>
      <w:r w:rsidRPr="007A340E">
        <w:rPr>
          <w:rFonts w:hint="cs"/>
          <w:b/>
          <w:bCs/>
          <w:rtl/>
        </w:rPr>
        <w:t>الثانية</w:t>
      </w:r>
      <w:r w:rsidRPr="00EA09EB">
        <w:rPr>
          <w:rFonts w:hint="cs"/>
          <w:rtl/>
        </w:rPr>
        <w:t xml:space="preserve">: القضاء، وفصل المنازعات بين الناس؛ </w:t>
      </w:r>
      <w:r w:rsidRPr="007A340E">
        <w:rPr>
          <w:rFonts w:hint="cs"/>
          <w:b/>
          <w:bCs/>
          <w:rtl/>
        </w:rPr>
        <w:t>الثالثة</w:t>
      </w:r>
      <w:r w:rsidRPr="00EA09EB">
        <w:rPr>
          <w:rFonts w:hint="cs"/>
          <w:rtl/>
        </w:rPr>
        <w:t>: الولاية التدبيريّة، والزعامة السياسيّة، والحكم</w:t>
      </w:r>
      <w:r w:rsidRPr="00064619">
        <w:rPr>
          <w:rFonts w:cs="Taher"/>
          <w:sz w:val="32"/>
          <w:vertAlign w:val="superscript"/>
          <w:rtl/>
          <w:lang w:bidi="ar-LB"/>
        </w:rPr>
        <w:t>(</w:t>
      </w:r>
      <w:r w:rsidRPr="00064619">
        <w:rPr>
          <w:rStyle w:val="FootnoteReference"/>
          <w:rFonts w:cs="Taher"/>
          <w:sz w:val="32"/>
          <w:rtl/>
          <w:lang w:bidi="ar-LB"/>
        </w:rPr>
        <w:footnoteReference w:id="554"/>
      </w:r>
      <w:r w:rsidRPr="00064619">
        <w:rPr>
          <w:rFonts w:cs="Taher"/>
          <w:sz w:val="32"/>
          <w:vertAlign w:val="superscript"/>
          <w:rtl/>
          <w:lang w:bidi="ar-LB"/>
        </w:rPr>
        <w:t>)</w:t>
      </w:r>
      <w:r w:rsidRPr="00EA09EB">
        <w:rPr>
          <w:rFonts w:hint="cs"/>
          <w:rtl/>
        </w:rPr>
        <w:t>.</w:t>
      </w:r>
    </w:p>
    <w:p w:rsidR="00EA09EB" w:rsidRPr="00EA09EB" w:rsidRDefault="00EA09EB" w:rsidP="00887CCF">
      <w:pPr>
        <w:pStyle w:val="Normal84"/>
        <w:rPr>
          <w:rtl/>
        </w:rPr>
      </w:pPr>
      <w:r w:rsidRPr="007A340E">
        <w:rPr>
          <w:rFonts w:hint="cs"/>
          <w:b/>
          <w:bCs/>
          <w:rtl/>
        </w:rPr>
        <w:t>الخامسة</w:t>
      </w:r>
      <w:r w:rsidRPr="00EA09EB">
        <w:rPr>
          <w:rFonts w:hint="cs"/>
          <w:rtl/>
        </w:rPr>
        <w:t>: إن كلمة «خلفائي» لها إطلاق يشمل الخلافة في جميع شؤون النبيّ</w:t>
      </w:r>
      <w:r w:rsidRPr="00EA09EB">
        <w:rPr>
          <w:rFonts w:hint="cs"/>
          <w:rtl/>
        </w:rPr>
        <w:sym w:font="Roumouz" w:char="F02D"/>
      </w:r>
      <w:r w:rsidRPr="00EA09EB">
        <w:rPr>
          <w:rFonts w:hint="cs"/>
          <w:rtl/>
        </w:rPr>
        <w:t xml:space="preserve"> القابلة للانتقال. «...كان معنى الخلافة عن رسول الله</w:t>
      </w:r>
      <w:r w:rsidRPr="00EA09EB">
        <w:rPr>
          <w:rFonts w:hint="cs"/>
          <w:rtl/>
        </w:rPr>
        <w:sym w:font="Roumouz" w:char="F02D"/>
      </w:r>
      <w:r w:rsidRPr="00EA09EB">
        <w:rPr>
          <w:rFonts w:hint="cs"/>
          <w:rtl/>
        </w:rPr>
        <w:t xml:space="preserve"> أمراً معهوداً في أوّل الإسلام، ليس فيه إبهام. والخلافة لو لم تكن ظاهرة بالولاية والحكومة فلا أقلّ من أنّها القدر المتيقَّن منها، وقوله</w:t>
      </w:r>
      <w:r w:rsidRPr="00EA09EB">
        <w:rPr>
          <w:rFonts w:hint="cs"/>
          <w:rtl/>
        </w:rPr>
        <w:sym w:font="Roumouz" w:char="F02D"/>
      </w:r>
      <w:r w:rsidRPr="00EA09EB">
        <w:rPr>
          <w:rFonts w:hint="cs"/>
          <w:rtl/>
        </w:rPr>
        <w:t>: «الذين يأتون من بعدي» معرِّفٌ للخلفاء، لا محدِّد لمعناها. وهو واضحٌ. مع أنّ الخلافة لنقل الرواية لا معنى لها؛ فإنّ رسول الله</w:t>
      </w:r>
      <w:r w:rsidRPr="00EA09EB">
        <w:rPr>
          <w:rFonts w:hint="cs"/>
          <w:rtl/>
        </w:rPr>
        <w:sym w:font="Roumouz" w:char="F02D"/>
      </w:r>
      <w:r w:rsidRPr="00EA09EB">
        <w:rPr>
          <w:rFonts w:hint="cs"/>
          <w:rtl/>
        </w:rPr>
        <w:t xml:space="preserve"> لم يكن راوياً لرواياته حتى يكون الخليفة قائماً مقامه في ذلك»</w:t>
      </w:r>
      <w:r w:rsidRPr="00064619">
        <w:rPr>
          <w:rFonts w:cs="Taher"/>
          <w:sz w:val="32"/>
          <w:vertAlign w:val="superscript"/>
          <w:rtl/>
        </w:rPr>
        <w:t>(</w:t>
      </w:r>
      <w:r w:rsidRPr="00064619">
        <w:rPr>
          <w:rStyle w:val="FootnoteReference"/>
          <w:rFonts w:cs="Taher"/>
          <w:sz w:val="32"/>
          <w:rtl/>
        </w:rPr>
        <w:footnoteReference w:id="555"/>
      </w:r>
      <w:r w:rsidRPr="00064619">
        <w:rPr>
          <w:rFonts w:cs="Taher"/>
          <w:sz w:val="32"/>
          <w:vertAlign w:val="superscript"/>
          <w:rtl/>
        </w:rPr>
        <w:t>)</w:t>
      </w:r>
      <w:r w:rsidRPr="00EA09EB">
        <w:rPr>
          <w:rFonts w:hint="cs"/>
          <w:rtl/>
        </w:rPr>
        <w:t>.</w:t>
      </w:r>
    </w:p>
    <w:p w:rsidR="00EA09EB" w:rsidRPr="00A32FC0" w:rsidRDefault="00EA09EB" w:rsidP="00887CCF">
      <w:pPr>
        <w:pStyle w:val="Normal87"/>
        <w:rPr>
          <w:rtl/>
        </w:rPr>
      </w:pPr>
      <w:r w:rsidRPr="00A32FC0">
        <w:rPr>
          <w:rFonts w:hint="cs"/>
          <w:rtl/>
        </w:rPr>
        <w:t xml:space="preserve">ثم إنّ عبارة «فيعلِّمونها الناس من بعدي»، التي وردت في بعض الطرق الروائية كتتمّة لهذه الرواية، لا تقيِّد الرواية التي وردت بطرق مختلفة بدون هذه </w:t>
      </w:r>
      <w:r w:rsidR="00A06401">
        <w:rPr>
          <w:rFonts w:hint="cs"/>
          <w:rtl/>
        </w:rPr>
        <w:t xml:space="preserve">التتمّة. </w:t>
      </w:r>
      <w:r w:rsidRPr="00A32FC0">
        <w:rPr>
          <w:rFonts w:hint="cs"/>
          <w:rtl/>
        </w:rPr>
        <w:t xml:space="preserve">فعبارة «فيعلِّمونها الناس من بعدي» هي تماماً كعبارة «يروون عنّي حديثي وسنَّتي»، بلحاظ أنّهما تشيران إلى مصداق «خلفائي»، وليست في مقام تعيين وظيفة الخليفة، حتى تقيِّد صدر الرواية. </w:t>
      </w:r>
    </w:p>
    <w:p w:rsidR="00EA09EB" w:rsidRPr="00EA09EB" w:rsidRDefault="00EA09EB" w:rsidP="007A340E">
      <w:pPr>
        <w:ind w:firstLine="283"/>
        <w:rPr>
          <w:rtl/>
        </w:rPr>
      </w:pPr>
      <w:r w:rsidRPr="007A340E">
        <w:rPr>
          <w:rFonts w:hint="cs"/>
          <w:b/>
          <w:bCs/>
          <w:rtl/>
        </w:rPr>
        <w:t>السادسة</w:t>
      </w:r>
      <w:r w:rsidRPr="00EA09EB">
        <w:rPr>
          <w:rFonts w:hint="cs"/>
          <w:rtl/>
        </w:rPr>
        <w:t>: إن إضافة الخلفاء إلى نفس النبيّ</w:t>
      </w:r>
      <w:r w:rsidRPr="00EA09EB">
        <w:rPr>
          <w:rFonts w:hint="cs"/>
          <w:rtl/>
        </w:rPr>
        <w:sym w:font="Roumouz" w:char="F02D"/>
      </w:r>
      <w:r w:rsidRPr="00EA09EB">
        <w:rPr>
          <w:rFonts w:hint="cs"/>
          <w:rtl/>
        </w:rPr>
        <w:t xml:space="preserve"> (خلفائي) لا يعدّ قضية خبريّة حاكية عن الخارج، بل هي في مقام إنشاء الخلافة للفقهاء. وبعبارة أخرى: إنّ هناك تلازماً بين «خلفائي» والتعيين لمنصب الولاية. ويعدّ طلب الرحمة للخلفاء الفقهاء ثلاث مرات من قبل النبيّ</w:t>
      </w:r>
      <w:r w:rsidRPr="00EA09EB">
        <w:rPr>
          <w:rFonts w:hint="cs"/>
          <w:rtl/>
        </w:rPr>
        <w:sym w:font="Roumouz" w:char="F02D"/>
      </w:r>
      <w:r w:rsidRPr="00EA09EB">
        <w:rPr>
          <w:rFonts w:hint="cs"/>
          <w:rtl/>
        </w:rPr>
        <w:t xml:space="preserve"> دليلاً آخر على تعيينهم لهذا المنصب. </w:t>
      </w:r>
    </w:p>
    <w:p w:rsidR="00EA09EB" w:rsidRPr="00EA09EB" w:rsidRDefault="00EA09EB" w:rsidP="007A340E">
      <w:pPr>
        <w:ind w:firstLine="283"/>
        <w:rPr>
          <w:rtl/>
        </w:rPr>
      </w:pPr>
      <w:r w:rsidRPr="007A340E">
        <w:rPr>
          <w:rFonts w:hint="cs"/>
          <w:b/>
          <w:bCs/>
          <w:rtl/>
        </w:rPr>
        <w:t>السابعة</w:t>
      </w:r>
      <w:r w:rsidRPr="00EA09EB">
        <w:rPr>
          <w:rFonts w:hint="cs"/>
          <w:rtl/>
        </w:rPr>
        <w:t xml:space="preserve">: ولكلمة «خلفائي» إطلاقٌ من حيثية أخرى، وهو الإطلاق من ناحية جميع وظائف النبيّ كحاكم. وبعبارة أخرى: إن الفائدة الأخرى من هذه الرواية </w:t>
      </w:r>
      <w:r w:rsidRPr="00EA09EB">
        <w:rPr>
          <w:rtl/>
        </w:rPr>
        <w:t>ـ</w:t>
      </w:r>
      <w:r w:rsidRPr="00EA09EB">
        <w:rPr>
          <w:rFonts w:hint="cs"/>
          <w:rtl/>
        </w:rPr>
        <w:t xml:space="preserve"> بعد التسليم بأن كلمة الخلافة ظاهرة في الولايات والحكومة </w:t>
      </w:r>
      <w:r w:rsidRPr="00EA09EB">
        <w:rPr>
          <w:rtl/>
        </w:rPr>
        <w:t>ـ</w:t>
      </w:r>
      <w:r w:rsidRPr="00EA09EB">
        <w:rPr>
          <w:rFonts w:hint="cs"/>
          <w:rtl/>
        </w:rPr>
        <w:t xml:space="preserve"> دلالتها على الولاية المطلقة للفقهاء، «فيظهر من الرواية أنّ للعلماء جميع ما له</w:t>
      </w:r>
      <w:r w:rsidRPr="00EA09EB">
        <w:rPr>
          <w:rFonts w:hint="cs"/>
          <w:rtl/>
        </w:rPr>
        <w:sym w:font="Roumouz" w:char="F02D"/>
      </w:r>
      <w:r w:rsidRPr="00EA09EB">
        <w:rPr>
          <w:rFonts w:hint="cs"/>
          <w:rtl/>
        </w:rPr>
        <w:t>، إلاّ أنّ يدلّ دليل على إخراجه، فيُتَّبَع»</w:t>
      </w:r>
      <w:r w:rsidRPr="00064619">
        <w:rPr>
          <w:rFonts w:cs="Taher"/>
          <w:sz w:val="32"/>
          <w:vertAlign w:val="superscript"/>
          <w:rtl/>
        </w:rPr>
        <w:t>(</w:t>
      </w:r>
      <w:r w:rsidRPr="00064619">
        <w:rPr>
          <w:rStyle w:val="FootnoteReference"/>
          <w:rFonts w:cs="Taher"/>
          <w:sz w:val="32"/>
          <w:rtl/>
        </w:rPr>
        <w:footnoteReference w:id="556"/>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وسوف يتمّ بحث هذه المقدّمات السبع في خمسة محاور، هي: السند (المقدمة الأولى)؛ شرط الفقاهة (المقدمتان: الثانية والثالثة)؛ محور الولاية (المقدمتان: الرابعة والخامسة)؛ محور التعيين (المقدمة السادسة)؛ محور الإطلاق وصلاحيّات الولاية (المقدمة السابعة). وسوف نقوم بدراسة تحليليّة لهذه المقدّمات السبع:</w:t>
      </w:r>
    </w:p>
    <w:p w:rsidR="00EA09EB" w:rsidRPr="00EA09EB" w:rsidRDefault="00EA09EB" w:rsidP="00EA09EB">
      <w:pPr>
        <w:rPr>
          <w:rtl/>
        </w:rPr>
      </w:pPr>
      <w:r w:rsidRPr="00EA09EB">
        <w:rPr>
          <w:rFonts w:hint="cs"/>
          <w:rtl/>
        </w:rPr>
        <w:t>أما من حيث المقدّمة الأولى (سند الرواية) فقد رُويت هذه الرواية بشكلين: مسنَد؛ ومرسَل. وطرق إسنادها في كتابَيْ «معاني الأخبار» و«عيون أخبار الرضا</w:t>
      </w:r>
      <w:r>
        <w:rPr>
          <w:rFonts w:hint="cs"/>
          <w:rtl/>
        </w:rPr>
        <w:t>×</w:t>
      </w:r>
      <w:r w:rsidRPr="00EA09EB">
        <w:rPr>
          <w:rFonts w:hint="cs"/>
          <w:rtl/>
        </w:rPr>
        <w:t>» ضعيفة بأجمعها</w:t>
      </w:r>
      <w:r w:rsidRPr="00064619">
        <w:rPr>
          <w:rFonts w:cs="Taher"/>
          <w:sz w:val="32"/>
          <w:vertAlign w:val="superscript"/>
          <w:rtl/>
          <w:lang w:bidi="ar-LB"/>
        </w:rPr>
        <w:t>(</w:t>
      </w:r>
      <w:r w:rsidRPr="00064619">
        <w:rPr>
          <w:rStyle w:val="FootnoteReference"/>
          <w:rFonts w:cs="Taher"/>
          <w:sz w:val="32"/>
          <w:rtl/>
          <w:lang w:bidi="ar-LB"/>
        </w:rPr>
        <w:footnoteReference w:id="557"/>
      </w:r>
      <w:r w:rsidRPr="00064619">
        <w:rPr>
          <w:rFonts w:cs="Taher"/>
          <w:sz w:val="32"/>
          <w:vertAlign w:val="superscript"/>
          <w:rtl/>
          <w:lang w:bidi="ar-LB"/>
        </w:rPr>
        <w:t>)</w:t>
      </w:r>
      <w:r w:rsidRPr="00EA09EB">
        <w:rPr>
          <w:rFonts w:hint="cs"/>
          <w:rtl/>
        </w:rPr>
        <w:t>، وعلى الرغم من تعدُّد إرسالها فإنّه لا يبعث على الاطمئنان بصحّة السند، طبقاً لضوابط علم الرجال. ونقل الصدوق للرواية بنحو جازم في «مَنْ لا يحضره الفقيه» يدلّ على حجّيّة هذه الرواية واعتبارها عنده، ولا يوجب حجّيّتها عند غيره</w:t>
      </w:r>
      <w:r w:rsidRPr="00064619">
        <w:rPr>
          <w:rFonts w:cs="Taher"/>
          <w:sz w:val="32"/>
          <w:vertAlign w:val="superscript"/>
          <w:rtl/>
          <w:lang w:bidi="ar-LB"/>
        </w:rPr>
        <w:t>(</w:t>
      </w:r>
      <w:r w:rsidRPr="00064619">
        <w:rPr>
          <w:rStyle w:val="FootnoteReference"/>
          <w:rFonts w:cs="Taher"/>
          <w:sz w:val="32"/>
          <w:rtl/>
          <w:lang w:bidi="ar-LB"/>
        </w:rPr>
        <w:footnoteReference w:id="558"/>
      </w:r>
      <w:r w:rsidRPr="00064619">
        <w:rPr>
          <w:rFonts w:cs="Taher"/>
          <w:sz w:val="32"/>
          <w:vertAlign w:val="superscript"/>
          <w:rtl/>
          <w:lang w:bidi="ar-LB"/>
        </w:rPr>
        <w:t>)</w:t>
      </w:r>
      <w:r w:rsidRPr="00EA09EB">
        <w:rPr>
          <w:rFonts w:hint="cs"/>
          <w:rtl/>
        </w:rPr>
        <w:t>. وعلى أيّ حال فإن سند هذه الرواية لا يخلو من مناقشة.</w:t>
      </w:r>
    </w:p>
    <w:p w:rsidR="00EA09EB" w:rsidRPr="00A32FC0" w:rsidRDefault="00EA09EB" w:rsidP="00EA09EB">
      <w:pPr>
        <w:rPr>
          <w:rtl/>
          <w:lang w:bidi="ar-LB"/>
        </w:rPr>
      </w:pPr>
      <w:r w:rsidRPr="00A32FC0">
        <w:rPr>
          <w:rFonts w:hint="cs"/>
          <w:rtl/>
          <w:lang w:bidi="ar-LB"/>
        </w:rPr>
        <w:t>وأمّا المقدّمة الثانية «فإنّ العلماء إنْ كان لهم الخلافة والنيابة فذلك من قِبَل الإمام</w:t>
      </w:r>
      <w:r>
        <w:rPr>
          <w:rFonts w:hint="cs"/>
          <w:rtl/>
        </w:rPr>
        <w:t>×</w:t>
      </w:r>
      <w:r w:rsidRPr="00A32FC0">
        <w:rPr>
          <w:rFonts w:hint="cs"/>
          <w:rtl/>
          <w:lang w:bidi="ar-LB"/>
        </w:rPr>
        <w:t>، فهم خلفاء الأئمّة، لا خلفاء رسول الله</w:t>
      </w:r>
      <w:r w:rsidRPr="00A32FC0">
        <w:rPr>
          <w:rFonts w:hint="cs"/>
          <w:rtl/>
        </w:rPr>
        <w:sym w:font="Roumouz" w:char="F02D"/>
      </w:r>
      <w:r w:rsidRPr="00A32FC0">
        <w:rPr>
          <w:rFonts w:hint="cs"/>
          <w:rtl/>
          <w:lang w:bidi="ar-LB"/>
        </w:rPr>
        <w:t>؛ لبداهة أن خلفاءه إنّما هم الأئمّة</w:t>
      </w:r>
      <w:r w:rsidR="007A340E">
        <w:rPr>
          <w:rFonts w:hint="cs"/>
          <w:rtl/>
        </w:rPr>
        <w:t>^</w:t>
      </w:r>
      <w:r w:rsidRPr="00A32FC0">
        <w:rPr>
          <w:rFonts w:hint="cs"/>
          <w:rtl/>
          <w:lang w:bidi="ar-LB"/>
        </w:rPr>
        <w:t>، والعلماء إنْ كان لهم خلافة فهي من ناحية الإمام، لا عن رسول الله</w:t>
      </w:r>
      <w:r w:rsidRPr="00A32FC0">
        <w:rPr>
          <w:rFonts w:hint="cs"/>
          <w:rtl/>
        </w:rPr>
        <w:sym w:font="Roumouz" w:char="F02D"/>
      </w:r>
      <w:r w:rsidRPr="00A32FC0">
        <w:rPr>
          <w:rFonts w:hint="cs"/>
          <w:rtl/>
          <w:lang w:bidi="ar-LB"/>
        </w:rPr>
        <w:t xml:space="preserve"> مباشرة، وإلاّ لزم أن يكون </w:t>
      </w:r>
      <w:r w:rsidRPr="00A32FC0">
        <w:rPr>
          <w:rtl/>
          <w:lang w:bidi="ar-LB"/>
        </w:rPr>
        <w:t>ـ</w:t>
      </w:r>
      <w:r w:rsidRPr="00A32FC0">
        <w:rPr>
          <w:rFonts w:hint="cs"/>
          <w:rtl/>
          <w:lang w:bidi="ar-LB"/>
        </w:rPr>
        <w:t xml:space="preserve"> والعياذ بالله </w:t>
      </w:r>
      <w:r w:rsidRPr="00A32FC0">
        <w:rPr>
          <w:rtl/>
          <w:lang w:bidi="ar-LB"/>
        </w:rPr>
        <w:t>ـ</w:t>
      </w:r>
      <w:r w:rsidRPr="00A32FC0">
        <w:rPr>
          <w:rFonts w:hint="cs"/>
          <w:rtl/>
          <w:lang w:bidi="ar-LB"/>
        </w:rPr>
        <w:t xml:space="preserve"> في عرض الإمام.</w:t>
      </w:r>
    </w:p>
    <w:p w:rsidR="00EA09EB" w:rsidRPr="00A32FC0" w:rsidRDefault="00EA09EB" w:rsidP="00887CCF">
      <w:pPr>
        <w:pStyle w:val="Normal87"/>
        <w:rPr>
          <w:rtl/>
        </w:rPr>
      </w:pPr>
      <w:r w:rsidRPr="00A32FC0">
        <w:rPr>
          <w:rFonts w:hint="cs"/>
          <w:rtl/>
        </w:rPr>
        <w:t>فالمراد من الحديث هم الأئمّة الذين استخلفهم رسول الله</w:t>
      </w:r>
      <w:r w:rsidRPr="00A32FC0">
        <w:rPr>
          <w:rFonts w:hint="cs"/>
          <w:rtl/>
        </w:rPr>
        <w:sym w:font="Roumouz" w:char="F02D"/>
      </w:r>
      <w:r w:rsidRPr="00A32FC0">
        <w:rPr>
          <w:rFonts w:hint="cs"/>
          <w:rtl/>
        </w:rPr>
        <w:t xml:space="preserve"> لحفظ الشريعة والسنّة وناموس الرسالة. نعم، يتمّ ذلك على مسلك العامّة، حيث يرَوْن شرعيّة خليفة رسول الله ببيعة الناس لمَنْ تصدّى للأمور، أو بتعيين مثله له، أو بقدرته وسطوته. وبطلانه ضروريّ المذهب والعقل السليم.</w:t>
      </w:r>
    </w:p>
    <w:p w:rsidR="00EA09EB" w:rsidRPr="00EA09EB" w:rsidRDefault="00EA09EB" w:rsidP="00887CCF">
      <w:pPr>
        <w:pStyle w:val="Normal84"/>
        <w:rPr>
          <w:rtl/>
        </w:rPr>
      </w:pPr>
      <w:r w:rsidRPr="00EA09EB">
        <w:rPr>
          <w:rFonts w:hint="cs"/>
          <w:rtl/>
        </w:rPr>
        <w:t>لا يقال: إن خليفة الإمام يصدق عليه أنّه خليفة رسول الله</w:t>
      </w:r>
      <w:r w:rsidRPr="00EA09EB">
        <w:rPr>
          <w:rFonts w:hint="cs"/>
          <w:rtl/>
        </w:rPr>
        <w:sym w:font="Roumouz" w:char="F02D"/>
      </w:r>
      <w:r w:rsidRPr="00EA09EB">
        <w:rPr>
          <w:rFonts w:hint="cs"/>
          <w:rtl/>
        </w:rPr>
        <w:t>، فإنّ خليفة الخليفة خليفة؛ لاندفاعه بأنه لا يمكن المصير إليه من دون أن يكون هناك دليل آخر على استخلاف الإمام، فإنه لا يعقل أن يكون هذا الدليل نفسه متكفِّلاً لجعل الخلافة مع الواسطة للفقيه؛ لمكان الدور. ولو فرض دليل آخر على الاستخلاف من ناحية الإمام لكان هو المتَّبع، من دون حاجة إلى ارتكاب التأويل في هذه الرواية»</w:t>
      </w:r>
      <w:r w:rsidRPr="00064619">
        <w:rPr>
          <w:rFonts w:cs="Taher"/>
          <w:sz w:val="32"/>
          <w:vertAlign w:val="superscript"/>
          <w:rtl/>
        </w:rPr>
        <w:t>(</w:t>
      </w:r>
      <w:r w:rsidRPr="00064619">
        <w:rPr>
          <w:rStyle w:val="FootnoteReference"/>
          <w:rFonts w:cs="Taher"/>
          <w:sz w:val="32"/>
          <w:rtl/>
        </w:rPr>
        <w:footnoteReference w:id="559"/>
      </w:r>
      <w:r w:rsidRPr="00064619">
        <w:rPr>
          <w:rFonts w:cs="Taher"/>
          <w:sz w:val="32"/>
          <w:vertAlign w:val="superscript"/>
          <w:rtl/>
        </w:rPr>
        <w:t>)</w:t>
      </w:r>
      <w:r w:rsidRPr="00EA09EB">
        <w:rPr>
          <w:rFonts w:hint="cs"/>
          <w:rtl/>
        </w:rPr>
        <w:t>.</w:t>
      </w:r>
    </w:p>
    <w:p w:rsidR="00EA09EB" w:rsidRPr="00A32FC0" w:rsidRDefault="00EA09EB" w:rsidP="00887CCF">
      <w:pPr>
        <w:pStyle w:val="Normal84"/>
        <w:rPr>
          <w:rtl/>
        </w:rPr>
      </w:pPr>
      <w:r w:rsidRPr="00A32FC0">
        <w:rPr>
          <w:rFonts w:hint="cs"/>
          <w:rtl/>
        </w:rPr>
        <w:t>ومن الواضح أن خلافة أمير المؤمنين والأئمّة</w:t>
      </w:r>
      <w:r w:rsidR="007A340E">
        <w:rPr>
          <w:rFonts w:hint="cs"/>
          <w:rtl/>
        </w:rPr>
        <w:t>^</w:t>
      </w:r>
      <w:r w:rsidRPr="00A32FC0">
        <w:rPr>
          <w:rFonts w:hint="cs"/>
          <w:rtl/>
        </w:rPr>
        <w:t xml:space="preserve"> المباشرة كانت أهمّ من الخلافة غير المباشرة للفقهاء. فقد كانت مسألة خلافة أهل البيت</w:t>
      </w:r>
      <w:r w:rsidR="007A340E">
        <w:rPr>
          <w:rFonts w:hint="cs"/>
          <w:rtl/>
        </w:rPr>
        <w:t>^</w:t>
      </w:r>
      <w:r w:rsidRPr="00A32FC0">
        <w:rPr>
          <w:rFonts w:hint="cs"/>
          <w:rtl/>
        </w:rPr>
        <w:t xml:space="preserve"> في عصر الرسول</w:t>
      </w:r>
      <w:r w:rsidRPr="00A32FC0">
        <w:rPr>
          <w:rFonts w:hint="cs"/>
          <w:rtl/>
        </w:rPr>
        <w:sym w:font="Roumouz" w:char="F02D"/>
      </w:r>
      <w:r w:rsidRPr="00A32FC0">
        <w:rPr>
          <w:rFonts w:hint="cs"/>
          <w:rtl/>
        </w:rPr>
        <w:t xml:space="preserve"> ولمدّة قرنين ونصف بعده تعدّ المسألة الأهمّ في العالم الإسلاميّ. فقد كان الفهم العرفيّ لهذه الرواية، سواء في عصر الصدور أم بعده، أن المقصود بالخلفاء هم الأئمّة المعصومون</w:t>
      </w:r>
      <w:r w:rsidR="007A340E">
        <w:rPr>
          <w:rFonts w:hint="cs"/>
          <w:rtl/>
        </w:rPr>
        <w:t>^</w:t>
      </w:r>
      <w:r w:rsidRPr="00A32FC0">
        <w:rPr>
          <w:rFonts w:hint="cs"/>
          <w:rtl/>
        </w:rPr>
        <w:t>، لا الفقهاء العدول.</w:t>
      </w:r>
    </w:p>
    <w:p w:rsidR="00EA09EB" w:rsidRPr="00A32FC0" w:rsidRDefault="00EA09EB" w:rsidP="00887CCF">
      <w:pPr>
        <w:pStyle w:val="Normal84"/>
        <w:rPr>
          <w:rtl/>
        </w:rPr>
      </w:pPr>
      <w:r w:rsidRPr="00FC6126">
        <w:rPr>
          <w:rFonts w:hint="cs"/>
          <w:rtl/>
        </w:rPr>
        <w:t>ومن المستبعد جدّاً القول بأنّ النبيّ</w:t>
      </w:r>
      <w:r w:rsidRPr="00FC6126">
        <w:rPr>
          <w:rFonts w:hint="cs"/>
          <w:rtl/>
        </w:rPr>
        <w:sym w:font="Roumouz" w:char="F02D"/>
      </w:r>
      <w:r w:rsidRPr="00FC6126">
        <w:rPr>
          <w:rFonts w:hint="cs"/>
          <w:rtl/>
        </w:rPr>
        <w:t xml:space="preserve"> قد أهمل مسألةً هي محلّ ابتلاءٍ في عصره، ولقرون ثلاثة من بعده، ولم يذكرها إلاّ في حديثٍ واحد يبيِّن فيه حاجة المجتمع بعد تلك الفترة، وخاصّة أن هذا الحديث الواحد لا يستطيع التكفُّل ببيان الأمرين معاً، كما تمت</w:t>
      </w:r>
      <w:r w:rsidRPr="00A32FC0">
        <w:rPr>
          <w:rFonts w:hint="cs"/>
          <w:rtl/>
        </w:rPr>
        <w:t xml:space="preserve"> الإشارة إليه في شبهة الدور.</w:t>
      </w:r>
    </w:p>
    <w:p w:rsidR="00EA09EB" w:rsidRPr="00EA09EB" w:rsidRDefault="00EA09EB" w:rsidP="00887CCF">
      <w:pPr>
        <w:rPr>
          <w:rtl/>
        </w:rPr>
      </w:pPr>
      <w:r w:rsidRPr="00EA09EB">
        <w:rPr>
          <w:rFonts w:hint="cs"/>
          <w:rtl/>
        </w:rPr>
        <w:t>والحاصل أن هذه المجموعة من الأحاديث هي في مقام التعريف بالأئمّة، ولا دلالة لها على غيرهم. ومع أن بعض الفقهاء المعاصرين قد خدش في المقدّمة الثالثة، واعتبر أن القول بظاهر الحديث هو تخصيص للأكثر</w:t>
      </w:r>
      <w:r w:rsidRPr="00064619">
        <w:rPr>
          <w:rFonts w:cs="Taher"/>
          <w:sz w:val="32"/>
          <w:vertAlign w:val="superscript"/>
          <w:rtl/>
        </w:rPr>
        <w:t>(</w:t>
      </w:r>
      <w:r w:rsidRPr="00064619">
        <w:rPr>
          <w:rStyle w:val="FootnoteReference"/>
          <w:rFonts w:cs="Taher"/>
          <w:sz w:val="32"/>
          <w:rtl/>
          <w:lang w:bidi="ar-LB"/>
        </w:rPr>
        <w:footnoteReference w:id="560"/>
      </w:r>
      <w:r w:rsidRPr="00064619">
        <w:rPr>
          <w:rFonts w:cs="Taher"/>
          <w:sz w:val="32"/>
          <w:vertAlign w:val="superscript"/>
          <w:rtl/>
        </w:rPr>
        <w:t>)</w:t>
      </w:r>
      <w:r w:rsidRPr="00EA09EB">
        <w:rPr>
          <w:rFonts w:hint="cs"/>
          <w:rtl/>
        </w:rPr>
        <w:t>، إلا أنه يمكن أن يقال أيضاً: إنّه لا يوجد أدنى شكّ في أنّ نقل الرواية من دون دراية وفقاهة واجتهاد لا يتناسب إطلاقاً مع أيّ شأن من شؤون خلافة النبي</w:t>
      </w:r>
      <w:r w:rsidRPr="00EA09EB">
        <w:rPr>
          <w:rFonts w:hint="cs"/>
          <w:rtl/>
        </w:rPr>
        <w:sym w:font="Roumouz" w:char="F02D"/>
      </w:r>
      <w:r w:rsidRPr="00EA09EB">
        <w:rPr>
          <w:rFonts w:hint="cs"/>
          <w:rtl/>
        </w:rPr>
        <w:t>. فلذلك يمكن لنا؛ بمساعدة القرينة العقليّة، والروايات الأخرى في هذا المجال، أن نستظهر شرط الفقاهة والدراية في رواية الحديث. بالإضافة إلى أننا إذا اعتبرنا أنّ نقد المقدمة الثانية كان في محلّه فعندئذٍ لا يمكن أن نعتبر النقل الذي ورد في الحديث سوى نقل المعصومين</w:t>
      </w:r>
      <w:r w:rsidR="007A340E">
        <w:rPr>
          <w:rFonts w:hint="cs"/>
          <w:rtl/>
        </w:rPr>
        <w:t>^</w:t>
      </w:r>
      <w:r w:rsidRPr="00EA09EB">
        <w:rPr>
          <w:rFonts w:hint="cs"/>
          <w:rtl/>
        </w:rPr>
        <w:t xml:space="preserve"> للتعاليم النبويّة.</w:t>
      </w:r>
    </w:p>
    <w:p w:rsidR="00EA09EB" w:rsidRPr="00A32FC0" w:rsidRDefault="00EA09EB" w:rsidP="00887CCF">
      <w:pPr>
        <w:pStyle w:val="Normal84"/>
        <w:rPr>
          <w:rtl/>
        </w:rPr>
      </w:pPr>
      <w:r w:rsidRPr="00A32FC0">
        <w:rPr>
          <w:rFonts w:hint="cs"/>
          <w:rtl/>
        </w:rPr>
        <w:t>وأمّا المقدّمة الرابعة فهي تامّة، ولا إشكال عليها.</w:t>
      </w:r>
    </w:p>
    <w:p w:rsidR="00EA09EB" w:rsidRPr="00A32FC0" w:rsidRDefault="00EA09EB" w:rsidP="00887CCF">
      <w:pPr>
        <w:pStyle w:val="Normal84"/>
        <w:rPr>
          <w:rtl/>
        </w:rPr>
      </w:pPr>
      <w:r w:rsidRPr="00EA09EB">
        <w:rPr>
          <w:rFonts w:hint="cs"/>
          <w:rtl/>
        </w:rPr>
        <w:t>وأمّا المقدّمة الخامسة فإنّ مضمونها كان محلّ نقاش عند جمع كبير من الفقهاء</w:t>
      </w:r>
      <w:r w:rsidRPr="00064619">
        <w:rPr>
          <w:rFonts w:cs="Taher"/>
          <w:vertAlign w:val="superscript"/>
          <w:rtl/>
        </w:rPr>
        <w:t>(</w:t>
      </w:r>
      <w:r w:rsidRPr="00064619">
        <w:rPr>
          <w:rStyle w:val="FootnoteReference"/>
          <w:rFonts w:cs="Taher"/>
          <w:sz w:val="32"/>
          <w:rtl/>
        </w:rPr>
        <w:footnoteReference w:id="561"/>
      </w:r>
      <w:r w:rsidRPr="00064619">
        <w:rPr>
          <w:rFonts w:cs="Taher"/>
          <w:vertAlign w:val="superscript"/>
          <w:rtl/>
        </w:rPr>
        <w:t>)</w:t>
      </w:r>
      <w:r w:rsidRPr="00A32FC0">
        <w:rPr>
          <w:rFonts w:hint="cs"/>
          <w:rtl/>
        </w:rPr>
        <w:t>. فإن تتمّة الحديث: «ويعلِّمونها الناس»، وما شابههما، تُعدّ قرينة قطعيّة على الاستخلاف في الوظيفة الأساسيّة للنبيّ</w:t>
      </w:r>
      <w:r w:rsidRPr="00A32FC0">
        <w:rPr>
          <w:rFonts w:hint="cs"/>
          <w:rtl/>
        </w:rPr>
        <w:sym w:font="Roumouz" w:char="F02D"/>
      </w:r>
      <w:r w:rsidRPr="00A32FC0">
        <w:rPr>
          <w:rFonts w:hint="cs"/>
          <w:rtl/>
        </w:rPr>
        <w:t>، أي هداية الناس إلى الله وتبليغ أحكام الدين ومعارفه. ومع وجود قرينة صارفة كهذه فإن المعنى النيابة لا يصل إلى الخلافة المفهومة من الولاية والحكومة، ولا تصل حتّى إلى الأخذ بالقدر المتيقَّن.</w:t>
      </w:r>
    </w:p>
    <w:p w:rsidR="00EA09EB" w:rsidRPr="00A32FC0" w:rsidRDefault="00EA09EB" w:rsidP="00887CCF">
      <w:pPr>
        <w:pStyle w:val="Normal87"/>
        <w:rPr>
          <w:rtl/>
        </w:rPr>
      </w:pPr>
      <w:r w:rsidRPr="00A32FC0">
        <w:rPr>
          <w:rFonts w:hint="cs"/>
          <w:rtl/>
        </w:rPr>
        <w:t>لا يوجد هناك أيَّ دليل على أن عبارة: «فيعلِّمونها الناس من بعدي»، أو العبارة التي قبلها: «يروون عنّي حديثي وسنّتي»، تشيران إلى مصداق الخلفاء، بل هناك احتمال قويّ أن هذه الرواية هي في مقام بيان الوظيفة الهامّة لخلفاء النبيّ</w:t>
      </w:r>
      <w:r w:rsidRPr="00A32FC0">
        <w:rPr>
          <w:rFonts w:hint="cs"/>
          <w:rtl/>
        </w:rPr>
        <w:sym w:font="Roumouz" w:char="F02D"/>
      </w:r>
      <w:r w:rsidRPr="00A32FC0">
        <w:rPr>
          <w:rFonts w:hint="cs"/>
          <w:rtl/>
        </w:rPr>
        <w:t>، والتي هي نشر الدين، وتعليم أحكامه. وعلى الأقلّ فإنّ ورود هذا الاحتمال سوف يبطل الاستدلال. بالإضافة إلى أن هذه الرواية ليست في مقام البيان حتّى نتمسَّك بإطلاق الخلافة؛ لأن هناك فرقاً بين أن يقال: «هؤلاء خلفائي» أو يقال: «اللّهمّ ارحم خلفائي». فالعبارة الأولى يمكن أن تكون في مقام البيان من جهة تحديد الخلفاء، وأما العبارة الثانية فهي في مقام الدعاء للخلفاء بعد الفراغ من خلافتهم، لذلك فهو ليس في مقام البيان حتّى يُتمسَّك بالإطلاق</w:t>
      </w:r>
      <w:r w:rsidRPr="00064619">
        <w:rPr>
          <w:rFonts w:cs="Taher"/>
          <w:vertAlign w:val="superscript"/>
          <w:rtl/>
        </w:rPr>
        <w:t>(</w:t>
      </w:r>
      <w:r w:rsidRPr="00064619">
        <w:rPr>
          <w:rStyle w:val="FootnoteReference"/>
          <w:rFonts w:cs="Taher"/>
          <w:sz w:val="32"/>
          <w:rtl/>
        </w:rPr>
        <w:footnoteReference w:id="562"/>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lang w:bidi="ar-LB"/>
        </w:rPr>
        <w:t xml:space="preserve">أما المقدّمة السادسة فإن كلمة </w:t>
      </w:r>
      <w:r w:rsidRPr="00A32FC0">
        <w:rPr>
          <w:rFonts w:hint="cs"/>
          <w:rtl/>
        </w:rPr>
        <w:t>«</w:t>
      </w:r>
      <w:r w:rsidRPr="00A32FC0">
        <w:rPr>
          <w:rFonts w:hint="cs"/>
          <w:rtl/>
          <w:lang w:bidi="ar-LB"/>
        </w:rPr>
        <w:t>خلفائي</w:t>
      </w:r>
      <w:r w:rsidRPr="00A32FC0">
        <w:rPr>
          <w:rFonts w:hint="cs"/>
          <w:rtl/>
        </w:rPr>
        <w:t>»</w:t>
      </w:r>
      <w:r w:rsidRPr="00A32FC0">
        <w:rPr>
          <w:rFonts w:hint="cs"/>
          <w:rtl/>
          <w:lang w:bidi="ar-LB"/>
        </w:rPr>
        <w:t xml:space="preserve"> وإنْ كان يحتمل أن تكون قضية خبريّة حاكية عن الخارج</w:t>
      </w:r>
      <w:r w:rsidRPr="00064619">
        <w:rPr>
          <w:rFonts w:cs="Taher"/>
          <w:vertAlign w:val="superscript"/>
          <w:rtl/>
          <w:lang w:bidi="ar-LB"/>
        </w:rPr>
        <w:t>(</w:t>
      </w:r>
      <w:r w:rsidRPr="00064619">
        <w:rPr>
          <w:rStyle w:val="FootnoteReference"/>
          <w:rFonts w:cs="Taher"/>
          <w:sz w:val="32"/>
          <w:rtl/>
          <w:lang w:bidi="ar-LB"/>
        </w:rPr>
        <w:footnoteReference w:id="563"/>
      </w:r>
      <w:r w:rsidRPr="00064619">
        <w:rPr>
          <w:rFonts w:cs="Taher"/>
          <w:vertAlign w:val="superscript"/>
          <w:rtl/>
          <w:lang w:bidi="ar-LB"/>
        </w:rPr>
        <w:t>)</w:t>
      </w:r>
      <w:r w:rsidRPr="00EA09EB">
        <w:rPr>
          <w:rFonts w:hint="cs"/>
          <w:rtl/>
        </w:rPr>
        <w:t>، إلاّ أنّ حملها على الإنشاء أقوى. ومع هذا كلّه فإنّ كلمة «خلفائي» أعمّ من التعيين؛ لأنّ الأمين والوارث والوكيل والوصيّ المأذون والمعيّن للولاية يمكن أن يكونوا جميعاً خلفاء للنبيّ</w:t>
      </w:r>
      <w:r w:rsidRPr="00EA09EB">
        <w:rPr>
          <w:rFonts w:hint="cs"/>
          <w:rtl/>
        </w:rPr>
        <w:sym w:font="Roumouz" w:char="F02D"/>
      </w:r>
      <w:r w:rsidRPr="00EA09EB">
        <w:rPr>
          <w:rFonts w:hint="cs"/>
          <w:rtl/>
        </w:rPr>
        <w:t>. وبعبارة أخرى: إنّ الخلافة مجملة بالنسبة إلى كيفية انتقال الولاية من النبيّ</w:t>
      </w:r>
      <w:r w:rsidRPr="00EA09EB">
        <w:rPr>
          <w:rFonts w:hint="cs"/>
          <w:rtl/>
        </w:rPr>
        <w:sym w:font="Roumouz" w:char="F02D"/>
      </w:r>
      <w:r w:rsidRPr="00EA09EB">
        <w:rPr>
          <w:rFonts w:hint="cs"/>
          <w:rtl/>
        </w:rPr>
        <w:t xml:space="preserve"> إلى رواة الحديث، ولا يمكن أن نتوصَّل إلى التعيين لمنصب الولاية من خلال الخلافة. ثم إنّ طلب الرحمة لرواة الحديث من قبل النبيّ</w:t>
      </w:r>
      <w:r w:rsidRPr="00EA09EB">
        <w:rPr>
          <w:rFonts w:hint="cs"/>
          <w:rtl/>
        </w:rPr>
        <w:sym w:font="Roumouz" w:char="F02D"/>
      </w:r>
      <w:r w:rsidRPr="00EA09EB">
        <w:rPr>
          <w:rFonts w:hint="cs"/>
          <w:rtl/>
        </w:rPr>
        <w:t xml:space="preserve"> يحكي عن جلالة شأن هؤلاء، إلاّ أنّه لا دلالة له على التعيين للولاية، فليس كلّ مَنْ شملته الرحمة معيّناً لهذا المنصب.</w:t>
      </w:r>
    </w:p>
    <w:p w:rsidR="00EA09EB" w:rsidRDefault="00EA09EB" w:rsidP="00EA09EB">
      <w:pPr>
        <w:rPr>
          <w:rtl/>
          <w:lang w:bidi="ar-LB"/>
        </w:rPr>
      </w:pPr>
      <w:r w:rsidRPr="00A32FC0">
        <w:rPr>
          <w:rFonts w:hint="cs"/>
          <w:rtl/>
          <w:lang w:bidi="ar-LB"/>
        </w:rPr>
        <w:t>وبملاحظة النقد الوارد على المقدّمة الخامسة يتضح أنّ المقدّمة السابعة أيضاً مخدوشة. والرواية ليست في مقام البيان من هذه الجهة أيضاً، حتّى يمكن التمسُّك بإطلاقها.</w:t>
      </w:r>
    </w:p>
    <w:p w:rsidR="007A340E" w:rsidRPr="00A32FC0" w:rsidRDefault="007A340E" w:rsidP="00EA09EB">
      <w:pPr>
        <w:rPr>
          <w:rtl/>
          <w:lang w:bidi="ar-LB"/>
        </w:rPr>
      </w:pPr>
    </w:p>
    <w:p w:rsidR="00EA09EB" w:rsidRPr="00402769" w:rsidRDefault="00EA09EB" w:rsidP="007A340E">
      <w:pPr>
        <w:pStyle w:val="Heading4"/>
        <w:rPr>
          <w:rtl/>
        </w:rPr>
      </w:pPr>
      <w:r w:rsidRPr="007A340E">
        <w:rPr>
          <w:rFonts w:hint="cs"/>
          <w:rtl/>
        </w:rPr>
        <w:t>نتيجة</w:t>
      </w:r>
      <w:r w:rsidRPr="00402769">
        <w:rPr>
          <w:rFonts w:hint="cs"/>
          <w:rtl/>
        </w:rPr>
        <w:t xml:space="preserve"> البحث</w:t>
      </w:r>
    </w:p>
    <w:p w:rsidR="00EA09EB" w:rsidRDefault="00EA09EB" w:rsidP="007A340E">
      <w:pPr>
        <w:ind w:firstLine="283"/>
        <w:rPr>
          <w:rtl/>
        </w:rPr>
      </w:pPr>
      <w:r w:rsidRPr="00EA09EB">
        <w:rPr>
          <w:rFonts w:hint="cs"/>
          <w:rtl/>
        </w:rPr>
        <w:t xml:space="preserve">إنّ رواية «اللّهم ارحم خلفائي» </w:t>
      </w:r>
      <w:r w:rsidRPr="007A340E">
        <w:rPr>
          <w:rFonts w:hint="cs"/>
          <w:b/>
          <w:bCs/>
          <w:rtl/>
        </w:rPr>
        <w:t>أولاً</w:t>
      </w:r>
      <w:r w:rsidRPr="00EA09EB">
        <w:rPr>
          <w:rFonts w:hint="cs"/>
          <w:rtl/>
        </w:rPr>
        <w:t xml:space="preserve">: لا تخلو من المناقشة السنديّة؛ </w:t>
      </w:r>
      <w:r w:rsidRPr="007A340E">
        <w:rPr>
          <w:rFonts w:hint="cs"/>
          <w:b/>
          <w:bCs/>
          <w:rtl/>
        </w:rPr>
        <w:t>وثانياً</w:t>
      </w:r>
      <w:r w:rsidRPr="00EA09EB">
        <w:rPr>
          <w:rFonts w:hint="cs"/>
          <w:rtl/>
        </w:rPr>
        <w:t>: إنّها في مقام الإشارة إلى الخلفاء والمباشرين للنبيّ</w:t>
      </w:r>
      <w:r w:rsidRPr="00EA09EB">
        <w:rPr>
          <w:rFonts w:hint="cs"/>
          <w:rtl/>
        </w:rPr>
        <w:sym w:font="Roumouz" w:char="F02D"/>
      </w:r>
      <w:r w:rsidRPr="00EA09EB">
        <w:rPr>
          <w:rFonts w:hint="cs"/>
          <w:rtl/>
        </w:rPr>
        <w:t>، أي الأئمّة</w:t>
      </w:r>
      <w:r w:rsidR="007A340E">
        <w:rPr>
          <w:rFonts w:hint="cs"/>
          <w:rtl/>
        </w:rPr>
        <w:t>^</w:t>
      </w:r>
      <w:r w:rsidRPr="00EA09EB">
        <w:rPr>
          <w:rFonts w:hint="cs"/>
          <w:rtl/>
        </w:rPr>
        <w:t xml:space="preserve">، وأمّا بالنسبة إلى خلفاء الأئمّة، أي الفقهاء، فهي ساكتة عنهم؛ </w:t>
      </w:r>
      <w:r w:rsidRPr="007A340E">
        <w:rPr>
          <w:rFonts w:hint="cs"/>
          <w:b/>
          <w:bCs/>
          <w:rtl/>
        </w:rPr>
        <w:t>وثالثاً</w:t>
      </w:r>
      <w:r w:rsidRPr="00EA09EB">
        <w:rPr>
          <w:rFonts w:hint="cs"/>
          <w:rtl/>
        </w:rPr>
        <w:t>: إنّ هذه الرواية هي في مقام بيان الخلافة في مسألة تعليم وتبليغ أحكام النبيّ</w:t>
      </w:r>
      <w:r w:rsidRPr="00EA09EB">
        <w:rPr>
          <w:rFonts w:hint="cs"/>
          <w:rtl/>
        </w:rPr>
        <w:sym w:font="Roumouz" w:char="F02D"/>
      </w:r>
      <w:r w:rsidRPr="00EA09EB">
        <w:rPr>
          <w:rFonts w:hint="cs"/>
          <w:rtl/>
        </w:rPr>
        <w:t>، وهناك قرينة لفظيّة قطعيّة صرفة في هذه الرواية تدلّ على عدم إرادة شؤون النبيّ</w:t>
      </w:r>
      <w:r w:rsidRPr="00EA09EB">
        <w:rPr>
          <w:rFonts w:hint="cs"/>
          <w:rtl/>
        </w:rPr>
        <w:sym w:font="Roumouz" w:char="F02D"/>
      </w:r>
      <w:r w:rsidRPr="00EA09EB">
        <w:rPr>
          <w:rFonts w:hint="cs"/>
          <w:rtl/>
        </w:rPr>
        <w:t xml:space="preserve"> الأخرى، التي تشمل الولاية؛ </w:t>
      </w:r>
      <w:r w:rsidRPr="007A340E">
        <w:rPr>
          <w:rFonts w:hint="cs"/>
          <w:b/>
          <w:bCs/>
          <w:rtl/>
        </w:rPr>
        <w:t>ورابعاً</w:t>
      </w:r>
      <w:r w:rsidRPr="00EA09EB">
        <w:rPr>
          <w:rFonts w:hint="cs"/>
          <w:rtl/>
        </w:rPr>
        <w:t xml:space="preserve">: ليس هناك أيّ ملازمة بين الخلافة والتعيين؛ </w:t>
      </w:r>
      <w:r w:rsidRPr="007A340E">
        <w:rPr>
          <w:rFonts w:hint="cs"/>
          <w:b/>
          <w:bCs/>
          <w:rtl/>
        </w:rPr>
        <w:t>وخامساً</w:t>
      </w:r>
      <w:r w:rsidRPr="00EA09EB">
        <w:rPr>
          <w:rFonts w:hint="cs"/>
          <w:rtl/>
        </w:rPr>
        <w:t>: إنّ الرواية ليست في مقام البيان، فلا يمكن التمسُّك بإطلاقها لإثبات الولاية المطلقة.</w:t>
      </w:r>
    </w:p>
    <w:p w:rsidR="007A340E" w:rsidRPr="00EA09EB" w:rsidRDefault="007A340E" w:rsidP="007A340E">
      <w:pPr>
        <w:ind w:firstLine="283"/>
        <w:rPr>
          <w:rtl/>
        </w:rPr>
      </w:pPr>
    </w:p>
    <w:p w:rsidR="00EA09EB" w:rsidRPr="00402769" w:rsidRDefault="00EA09EB" w:rsidP="007A340E">
      <w:pPr>
        <w:pStyle w:val="Heading3"/>
        <w:rPr>
          <w:rtl/>
        </w:rPr>
      </w:pPr>
      <w:r w:rsidRPr="00402769">
        <w:rPr>
          <w:rFonts w:hint="cs"/>
          <w:rtl/>
        </w:rPr>
        <w:t>الرواية الثالثة: «</w:t>
      </w:r>
      <w:r w:rsidRPr="007A340E">
        <w:rPr>
          <w:rFonts w:hint="cs"/>
          <w:rtl/>
        </w:rPr>
        <w:t>الفقهاء أمناء الرسل</w:t>
      </w:r>
      <w:r w:rsidRPr="00402769">
        <w:rPr>
          <w:rFonts w:hint="cs"/>
          <w:rtl/>
        </w:rPr>
        <w:t>»</w:t>
      </w:r>
    </w:p>
    <w:p w:rsidR="00EA09EB" w:rsidRPr="00EA09EB" w:rsidRDefault="00EA09EB" w:rsidP="00EA09EB">
      <w:pPr>
        <w:rPr>
          <w:rtl/>
        </w:rPr>
      </w:pPr>
      <w:r w:rsidRPr="00EA09EB">
        <w:rPr>
          <w:rFonts w:hint="cs"/>
          <w:rtl/>
        </w:rPr>
        <w:t>محمّد بن يعقوب الكليني بسنده عن أبي عبد الله</w:t>
      </w:r>
      <w:r>
        <w:rPr>
          <w:rFonts w:hint="cs"/>
          <w:rtl/>
        </w:rPr>
        <w:t>×</w:t>
      </w:r>
      <w:r w:rsidRPr="00EA09EB">
        <w:rPr>
          <w:rFonts w:hint="cs"/>
          <w:rtl/>
        </w:rPr>
        <w:t>: قال رسول الله</w:t>
      </w:r>
      <w:r w:rsidRPr="00EA09EB">
        <w:rPr>
          <w:rFonts w:hint="cs"/>
          <w:rtl/>
        </w:rPr>
        <w:sym w:font="Roumouz" w:char="F02D"/>
      </w:r>
      <w:r w:rsidRPr="00EA09EB">
        <w:rPr>
          <w:rFonts w:hint="cs"/>
          <w:rtl/>
        </w:rPr>
        <w:t>: الفقهاء أمناء الرسل ما لم يدخلوا في الدنيا، قيل: يا رسول الله</w:t>
      </w:r>
      <w:r w:rsidRPr="00EA09EB">
        <w:rPr>
          <w:rFonts w:hint="cs"/>
          <w:rtl/>
        </w:rPr>
        <w:sym w:font="Roumouz" w:char="F02D"/>
      </w:r>
      <w:r w:rsidRPr="00EA09EB">
        <w:rPr>
          <w:rFonts w:hint="cs"/>
          <w:rtl/>
        </w:rPr>
        <w:t>، وما دخولهم في الدنيا؟ قال: اتّباع السلاطين، فإذا فعلوا ذلك فاحذروهم على دينكم»</w:t>
      </w:r>
      <w:r w:rsidRPr="00064619">
        <w:rPr>
          <w:rFonts w:cs="Taher"/>
          <w:sz w:val="32"/>
          <w:vertAlign w:val="superscript"/>
          <w:rtl/>
        </w:rPr>
        <w:t>(</w:t>
      </w:r>
      <w:r w:rsidRPr="00064619">
        <w:rPr>
          <w:rStyle w:val="FootnoteReference"/>
          <w:rFonts w:cs="Taher"/>
          <w:sz w:val="32"/>
          <w:rtl/>
        </w:rPr>
        <w:footnoteReference w:id="564"/>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وبغضّ النظر عن النقاط الفنّيّة في هذا الحديث، التي سوف نبحثها لاحقاً، يوجد هناك نقاط هامّة سنتعرَّض لها في هذا السياق، وهي:</w:t>
      </w:r>
    </w:p>
    <w:p w:rsidR="00EA09EB" w:rsidRPr="00EA09EB" w:rsidRDefault="00EA09EB" w:rsidP="00887CCF">
      <w:pPr>
        <w:pStyle w:val="Normal93"/>
        <w:rPr>
          <w:rtl/>
        </w:rPr>
      </w:pPr>
      <w:r w:rsidRPr="007A340E">
        <w:rPr>
          <w:rFonts w:hint="cs"/>
          <w:b/>
          <w:bCs/>
          <w:rtl/>
        </w:rPr>
        <w:t>الأولى</w:t>
      </w:r>
      <w:r w:rsidRPr="00EA09EB">
        <w:rPr>
          <w:rFonts w:hint="cs"/>
          <w:rtl/>
        </w:rPr>
        <w:t xml:space="preserve">: هذا الحديث هو أحد حديثين من الأدلّة الروائيّة على ولاية الفقيه، الذي استعمل فيه كلمة </w:t>
      </w:r>
      <w:r w:rsidR="00A06401">
        <w:rPr>
          <w:rFonts w:ascii="Mosawi" w:hAnsi="Mosawi"/>
          <w:rtl/>
        </w:rPr>
        <w:t>«</w:t>
      </w:r>
      <w:r w:rsidR="00A06401">
        <w:rPr>
          <w:rFonts w:hint="cs"/>
          <w:rtl/>
        </w:rPr>
        <w:t>الفقهاء</w:t>
      </w:r>
      <w:r w:rsidR="00A06401">
        <w:rPr>
          <w:rFonts w:ascii="Mosawi" w:hAnsi="Mosawi"/>
          <w:rtl/>
        </w:rPr>
        <w:t>»</w:t>
      </w:r>
      <w:r w:rsidRPr="00064619">
        <w:rPr>
          <w:rFonts w:cs="Taher"/>
          <w:sz w:val="32"/>
          <w:vertAlign w:val="superscript"/>
          <w:rtl/>
        </w:rPr>
        <w:t>(</w:t>
      </w:r>
      <w:r w:rsidRPr="00064619">
        <w:rPr>
          <w:rStyle w:val="FootnoteReference"/>
          <w:rFonts w:cs="Taher"/>
          <w:sz w:val="32"/>
          <w:rtl/>
        </w:rPr>
        <w:footnoteReference w:id="565"/>
      </w:r>
      <w:r w:rsidRPr="00064619">
        <w:rPr>
          <w:rFonts w:cs="Taher"/>
          <w:sz w:val="32"/>
          <w:vertAlign w:val="superscript"/>
          <w:rtl/>
        </w:rPr>
        <w:t>)</w:t>
      </w:r>
      <w:r w:rsidRPr="00EA09EB">
        <w:rPr>
          <w:rFonts w:hint="cs"/>
          <w:rtl/>
        </w:rPr>
        <w:t>، ولا يحتاج إلى تأويل وتوجيه لإثبات شرط الفقاهة.</w:t>
      </w:r>
    </w:p>
    <w:p w:rsidR="00EA09EB" w:rsidRPr="00EA09EB" w:rsidRDefault="00EA09EB" w:rsidP="007A340E">
      <w:pPr>
        <w:ind w:firstLine="283"/>
        <w:rPr>
          <w:rtl/>
        </w:rPr>
      </w:pPr>
      <w:r w:rsidRPr="007A340E">
        <w:rPr>
          <w:rFonts w:hint="cs"/>
          <w:b/>
          <w:bCs/>
          <w:rtl/>
        </w:rPr>
        <w:t>الثانية</w:t>
      </w:r>
      <w:r w:rsidRPr="00EA09EB">
        <w:rPr>
          <w:rFonts w:hint="cs"/>
          <w:rtl/>
        </w:rPr>
        <w:t>: إنّ الرسول</w:t>
      </w:r>
      <w:r w:rsidRPr="00EA09EB">
        <w:rPr>
          <w:rFonts w:hint="cs"/>
          <w:rtl/>
        </w:rPr>
        <w:sym w:font="Roumouz" w:char="F02D"/>
      </w:r>
      <w:r w:rsidRPr="00EA09EB">
        <w:rPr>
          <w:rFonts w:hint="cs"/>
          <w:rtl/>
        </w:rPr>
        <w:t xml:space="preserve"> عرّف الفقهاء على أنّهم أمناء الرسل. وهذا يُعَدّ فخراً كبيراً لهم.</w:t>
      </w:r>
    </w:p>
    <w:p w:rsidR="00EA09EB" w:rsidRPr="00A32FC0" w:rsidRDefault="00EA09EB" w:rsidP="00887CCF">
      <w:pPr>
        <w:pStyle w:val="Normal93"/>
        <w:rPr>
          <w:rtl/>
        </w:rPr>
      </w:pPr>
      <w:r w:rsidRPr="00A32FC0">
        <w:rPr>
          <w:rFonts w:hint="cs"/>
          <w:b/>
          <w:bCs/>
          <w:rtl/>
        </w:rPr>
        <w:t>الثالثة</w:t>
      </w:r>
      <w:r w:rsidRPr="00EA09EB">
        <w:rPr>
          <w:rFonts w:hint="cs"/>
          <w:rtl/>
        </w:rPr>
        <w:t>: إنّ شرط هذه الأمانة هو عدم دخولهم في الدنيا، أي أن لا يتَّبعوا السلاطين. وبعبارة أخرى: أن لا يكون الدين تابعاً للسلطة السياسيّة. وإذا اتَّبع هؤلاء الفقهاء السلطة وجب الحذر منهم على الدين، والابتعاد عنهم</w:t>
      </w:r>
      <w:r w:rsidRPr="00064619">
        <w:rPr>
          <w:rFonts w:cs="Taher"/>
          <w:vertAlign w:val="superscript"/>
          <w:rtl/>
        </w:rPr>
        <w:t>(</w:t>
      </w:r>
      <w:r w:rsidRPr="00064619">
        <w:rPr>
          <w:rStyle w:val="FootnoteReference"/>
          <w:rFonts w:cs="Taher"/>
          <w:sz w:val="32"/>
          <w:rtl/>
        </w:rPr>
        <w:footnoteReference w:id="566"/>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lang w:bidi="ar-LB"/>
        </w:rPr>
        <w:t xml:space="preserve">وذكر المحقِّق النراقي في </w:t>
      </w:r>
      <w:r w:rsidRPr="00A32FC0">
        <w:rPr>
          <w:rFonts w:hint="cs"/>
          <w:rtl/>
        </w:rPr>
        <w:t>«</w:t>
      </w:r>
      <w:r w:rsidRPr="00A32FC0">
        <w:rPr>
          <w:rFonts w:hint="cs"/>
          <w:rtl/>
          <w:lang w:bidi="ar-LB"/>
        </w:rPr>
        <w:t>العوائد</w:t>
      </w:r>
      <w:r w:rsidRPr="00A32FC0">
        <w:rPr>
          <w:rFonts w:hint="cs"/>
          <w:rtl/>
        </w:rPr>
        <w:t>»</w:t>
      </w:r>
      <w:r w:rsidRPr="00A32FC0">
        <w:rPr>
          <w:rFonts w:hint="cs"/>
          <w:rtl/>
          <w:lang w:bidi="ar-LB"/>
        </w:rPr>
        <w:t xml:space="preserve"> هذا الحديث من جملة مستندات ولاية الفقيه</w:t>
      </w:r>
      <w:r w:rsidRPr="00064619">
        <w:rPr>
          <w:rFonts w:cs="Taher"/>
          <w:vertAlign w:val="superscript"/>
          <w:rtl/>
          <w:lang w:bidi="ar-LB"/>
        </w:rPr>
        <w:t>(</w:t>
      </w:r>
      <w:r w:rsidRPr="00064619">
        <w:rPr>
          <w:rStyle w:val="FootnoteReference"/>
          <w:rFonts w:cs="Taher"/>
          <w:sz w:val="32"/>
          <w:rtl/>
          <w:lang w:bidi="ar-LB"/>
        </w:rPr>
        <w:footnoteReference w:id="567"/>
      </w:r>
      <w:r w:rsidRPr="00064619">
        <w:rPr>
          <w:rFonts w:cs="Taher"/>
          <w:vertAlign w:val="superscript"/>
          <w:rtl/>
          <w:lang w:bidi="ar-LB"/>
        </w:rPr>
        <w:t>)</w:t>
      </w:r>
      <w:r w:rsidRPr="00EA09EB">
        <w:rPr>
          <w:rFonts w:hint="cs"/>
          <w:rtl/>
        </w:rPr>
        <w:t>. كما استدل به جمع الفقهاء، ومنهم: السيد الخميني، على الولاية التعيينيّة للفقهاء على الناس</w:t>
      </w:r>
      <w:r w:rsidRPr="00064619">
        <w:rPr>
          <w:rFonts w:cs="Taher"/>
          <w:vertAlign w:val="superscript"/>
          <w:rtl/>
          <w:lang w:bidi="ar-LB"/>
        </w:rPr>
        <w:t>(</w:t>
      </w:r>
      <w:r w:rsidRPr="00064619">
        <w:rPr>
          <w:rStyle w:val="FootnoteReference"/>
          <w:rFonts w:cs="Taher"/>
          <w:sz w:val="32"/>
          <w:rtl/>
          <w:lang w:bidi="ar-LB"/>
        </w:rPr>
        <w:footnoteReference w:id="568"/>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إنّ التمسُّك بهذا الحديث للدلالة على الولاية التعيينيّة المطلقة للفقيه متوقِّف على تحقُّق جميع المقدّمات التالية:</w:t>
      </w:r>
    </w:p>
    <w:p w:rsidR="00EA09EB" w:rsidRPr="00EA09EB" w:rsidRDefault="00EA09EB" w:rsidP="007A340E">
      <w:pPr>
        <w:ind w:firstLine="283"/>
        <w:rPr>
          <w:rtl/>
        </w:rPr>
      </w:pPr>
      <w:r w:rsidRPr="007A340E">
        <w:rPr>
          <w:rFonts w:hint="cs"/>
          <w:b/>
          <w:bCs/>
          <w:rtl/>
        </w:rPr>
        <w:t>الأولى</w:t>
      </w:r>
      <w:r w:rsidRPr="00EA09EB">
        <w:rPr>
          <w:rFonts w:hint="cs"/>
          <w:rtl/>
        </w:rPr>
        <w:t>: الرواية من حيث السند موثَّقة ومعتبرة. وهذا النوع من السند كثيراً ما يستند إليها الفقهاء في الأبواب الفقهيّة المختلفة.</w:t>
      </w:r>
    </w:p>
    <w:p w:rsidR="00EA09EB" w:rsidRPr="00EA09EB" w:rsidRDefault="00EA09EB" w:rsidP="00887CCF">
      <w:pPr>
        <w:pStyle w:val="Normal93"/>
        <w:rPr>
          <w:rtl/>
        </w:rPr>
      </w:pPr>
      <w:r w:rsidRPr="007A340E">
        <w:rPr>
          <w:rFonts w:hint="cs"/>
          <w:b/>
          <w:bCs/>
          <w:rtl/>
        </w:rPr>
        <w:t>الثانية</w:t>
      </w:r>
      <w:r w:rsidRPr="00EA09EB">
        <w:rPr>
          <w:rFonts w:hint="cs"/>
          <w:rtl/>
        </w:rPr>
        <w:t xml:space="preserve">: بغضّ النظر عن الشؤون المختصّة بالأنبياء، كالوحي، وعلم الغيب، والعصمة، والولاية التكوينيّة، فإنّ هناك شؤوناً ثلاثة قابلة للانتقال إلى غيرهم: </w:t>
      </w:r>
      <w:r w:rsidRPr="007A340E">
        <w:rPr>
          <w:rFonts w:hint="cs"/>
          <w:b/>
          <w:bCs/>
          <w:rtl/>
        </w:rPr>
        <w:t>الأوّل</w:t>
      </w:r>
      <w:r w:rsidRPr="00EA09EB">
        <w:rPr>
          <w:rFonts w:hint="cs"/>
          <w:rtl/>
        </w:rPr>
        <w:t xml:space="preserve">: الدعوة ونشر الأحكام الإلهيّة وتعليمها؛ </w:t>
      </w:r>
      <w:r w:rsidRPr="007A340E">
        <w:rPr>
          <w:rFonts w:hint="cs"/>
          <w:b/>
          <w:bCs/>
          <w:rtl/>
        </w:rPr>
        <w:t>الثاني</w:t>
      </w:r>
      <w:r w:rsidRPr="00EA09EB">
        <w:rPr>
          <w:rFonts w:hint="cs"/>
          <w:rtl/>
        </w:rPr>
        <w:t xml:space="preserve">: القضاء في المنازعات والمرافعات؛ </w:t>
      </w:r>
      <w:r w:rsidRPr="007A340E">
        <w:rPr>
          <w:rFonts w:hint="cs"/>
          <w:b/>
          <w:bCs/>
          <w:rtl/>
        </w:rPr>
        <w:t>الثالث</w:t>
      </w:r>
      <w:r w:rsidRPr="00EA09EB">
        <w:rPr>
          <w:rFonts w:hint="cs"/>
          <w:rtl/>
        </w:rPr>
        <w:t>: الولاية التدبيريّة، والزعامة السياسيّة، والحكم.</w:t>
      </w:r>
    </w:p>
    <w:p w:rsidR="00EA09EB" w:rsidRPr="00EA09EB" w:rsidRDefault="00EA09EB" w:rsidP="00887CCF">
      <w:pPr>
        <w:pStyle w:val="Normal93"/>
        <w:rPr>
          <w:rtl/>
        </w:rPr>
      </w:pPr>
      <w:r w:rsidRPr="007A340E">
        <w:rPr>
          <w:rFonts w:hint="cs"/>
          <w:b/>
          <w:bCs/>
          <w:rtl/>
        </w:rPr>
        <w:t>الثالثة</w:t>
      </w:r>
      <w:r w:rsidRPr="00EA09EB">
        <w:rPr>
          <w:rFonts w:hint="cs"/>
          <w:rtl/>
        </w:rPr>
        <w:t>: إن عبارة «أمناء الرسل» مطلقة، تشمل جميع شؤون النبيّ</w:t>
      </w:r>
      <w:r w:rsidRPr="00EA09EB">
        <w:rPr>
          <w:rFonts w:hint="cs"/>
          <w:rtl/>
        </w:rPr>
        <w:sym w:font="Roumouz" w:char="F02D"/>
      </w:r>
      <w:r w:rsidRPr="00EA09EB">
        <w:rPr>
          <w:rFonts w:hint="cs"/>
          <w:rtl/>
        </w:rPr>
        <w:t xml:space="preserve"> ووظائفه، بما فيها الولاية التدبيريّة على الناس، وليس في هذا الحديث عبارة تقيّد هذا الإطلاق.</w:t>
      </w:r>
    </w:p>
    <w:p w:rsidR="00EA09EB" w:rsidRPr="00A32FC0" w:rsidRDefault="00EA09EB" w:rsidP="00EA09EB">
      <w:pPr>
        <w:rPr>
          <w:rtl/>
          <w:lang w:bidi="ar-LB"/>
        </w:rPr>
      </w:pPr>
      <w:r w:rsidRPr="00A32FC0">
        <w:rPr>
          <w:rFonts w:hint="cs"/>
          <w:rtl/>
          <w:lang w:bidi="ar-LB"/>
        </w:rPr>
        <w:t>يفيد</w:t>
      </w:r>
      <w:r w:rsidRPr="00A32FC0">
        <w:rPr>
          <w:rFonts w:hint="cs"/>
          <w:rtl/>
        </w:rPr>
        <w:t xml:space="preserve"> قوله: «</w:t>
      </w:r>
      <w:r w:rsidRPr="00A32FC0">
        <w:rPr>
          <w:rFonts w:hint="cs"/>
          <w:rtl/>
          <w:lang w:bidi="ar-LB"/>
        </w:rPr>
        <w:t>أمناء الرسل</w:t>
      </w:r>
      <w:r w:rsidRPr="00A32FC0">
        <w:rPr>
          <w:rFonts w:hint="cs"/>
          <w:rtl/>
        </w:rPr>
        <w:t>»</w:t>
      </w:r>
      <w:r w:rsidRPr="00A32FC0">
        <w:rPr>
          <w:rFonts w:hint="cs"/>
          <w:rtl/>
          <w:lang w:bidi="ar-LB"/>
        </w:rPr>
        <w:t xml:space="preserve"> ـ بالتقريب المتقدِّم </w:t>
      </w:r>
      <w:r w:rsidR="00A06401">
        <w:rPr>
          <w:rFonts w:hint="cs"/>
          <w:rtl/>
          <w:lang w:bidi="ar-LB"/>
        </w:rPr>
        <w:t>ـ كونهم أمناءً</w:t>
      </w:r>
      <w:r w:rsidRPr="00A32FC0">
        <w:rPr>
          <w:rFonts w:hint="cs"/>
          <w:rtl/>
          <w:lang w:bidi="ar-LB"/>
        </w:rPr>
        <w:t xml:space="preserve"> لرسول الله</w:t>
      </w:r>
      <w:r w:rsidRPr="00A32FC0">
        <w:rPr>
          <w:rFonts w:hint="cs"/>
          <w:rtl/>
        </w:rPr>
        <w:sym w:font="Roumouz" w:char="F02D"/>
      </w:r>
      <w:r w:rsidRPr="00A32FC0">
        <w:rPr>
          <w:rFonts w:hint="cs"/>
          <w:rtl/>
          <w:lang w:bidi="ar-LB"/>
        </w:rPr>
        <w:t xml:space="preserve"> في جميع الشؤون المتعلِّقة برسالته، وأوضحها زعامة الأمة، وبسْط العدالة الاجتماعيّة، وما لها من المقدّمات والأسباب واللوازم، فأمين الرسول أمين في جميع شؤونه، وليس شأن رسول الله</w:t>
      </w:r>
      <w:r w:rsidRPr="00A32FC0">
        <w:rPr>
          <w:rFonts w:hint="cs"/>
          <w:rtl/>
        </w:rPr>
        <w:sym w:font="Roumouz" w:char="F02D"/>
      </w:r>
      <w:r w:rsidRPr="00A32FC0">
        <w:rPr>
          <w:rFonts w:hint="cs"/>
          <w:rtl/>
          <w:lang w:bidi="ar-LB"/>
        </w:rPr>
        <w:t xml:space="preserve"> ذِكْر الأحكام فقط، حتى يكون الفقيه أميناً فيه. والأمانة فيها أن يجريها على ما هي عليه.</w:t>
      </w:r>
    </w:p>
    <w:p w:rsidR="00EA09EB" w:rsidRPr="00EA09EB" w:rsidRDefault="00EA09EB" w:rsidP="007A340E">
      <w:pPr>
        <w:ind w:firstLine="283"/>
        <w:rPr>
          <w:rtl/>
        </w:rPr>
      </w:pPr>
      <w:r w:rsidRPr="00EA09EB">
        <w:rPr>
          <w:rFonts w:hint="cs"/>
          <w:rtl/>
        </w:rPr>
        <w:t xml:space="preserve">ويؤكِّد ذلك ما في رواية «علل الشرائع»، حيث قال، في علل الإمامة والأمر بطاعتهم: «إن الخلق لمّا وقفوا على حدٍّ محدود </w:t>
      </w:r>
      <w:r w:rsidRPr="00EA09EB">
        <w:rPr>
          <w:rtl/>
        </w:rPr>
        <w:t>ـ</w:t>
      </w:r>
      <w:r w:rsidRPr="00EA09EB">
        <w:rPr>
          <w:rFonts w:hint="cs"/>
          <w:rtl/>
        </w:rPr>
        <w:t xml:space="preserve"> إلى أن قال </w:t>
      </w:r>
      <w:r w:rsidRPr="00EA09EB">
        <w:rPr>
          <w:rtl/>
        </w:rPr>
        <w:t>ـ</w:t>
      </w:r>
      <w:r w:rsidRPr="00EA09EB">
        <w:rPr>
          <w:rFonts w:hint="cs"/>
          <w:rtl/>
        </w:rPr>
        <w:t xml:space="preserve">: ولا يقوم إلاّ أن يجعل عليهم قيِّماً يمنعهم من التعدّي، والدخول في ما حظر عليهم </w:t>
      </w:r>
      <w:r w:rsidRPr="00EA09EB">
        <w:rPr>
          <w:rtl/>
        </w:rPr>
        <w:t>ـ</w:t>
      </w:r>
      <w:r w:rsidRPr="00EA09EB">
        <w:rPr>
          <w:rFonts w:hint="cs"/>
          <w:rtl/>
        </w:rPr>
        <w:t xml:space="preserve"> إلى أن قال </w:t>
      </w:r>
      <w:r w:rsidRPr="00EA09EB">
        <w:rPr>
          <w:rtl/>
        </w:rPr>
        <w:t>ـ</w:t>
      </w:r>
      <w:r w:rsidRPr="00EA09EB">
        <w:rPr>
          <w:rFonts w:hint="cs"/>
          <w:rtl/>
        </w:rPr>
        <w:t>: فجعل عليهم قيِّماً يمنعهم من الفساد، ويقيم فيهم الحدود، فإذا ضمّ إلى ذلك قوله</w:t>
      </w:r>
      <w:r w:rsidRPr="00EA09EB">
        <w:rPr>
          <w:rFonts w:hint="cs"/>
          <w:rtl/>
        </w:rPr>
        <w:sym w:font="Roumouz" w:char="F02D"/>
      </w:r>
      <w:r w:rsidRPr="00EA09EB">
        <w:rPr>
          <w:rFonts w:hint="cs"/>
          <w:rtl/>
        </w:rPr>
        <w:t>: «الفقهاء أمناء الرسل» عُلم منه أنّهم أمناء الرسل؛ لأجل ما ذكره من إجراء الحدود، والمنع من التعدّي، والمنع من اندراس الإسلام، وتغيير السنّة والأحكام. فالفقهاء أمناء الرسل، وحُصُون الإسلام؛ لهذه الخصوصية وغيرها. وهذا تعبيرٌ آخر عن الولاية المطلقة</w:t>
      </w:r>
      <w:r w:rsidRPr="00064619">
        <w:rPr>
          <w:rFonts w:cs="Taher"/>
          <w:sz w:val="32"/>
          <w:vertAlign w:val="superscript"/>
          <w:rtl/>
          <w:lang w:bidi="ar-LB"/>
        </w:rPr>
        <w:t>(</w:t>
      </w:r>
      <w:r w:rsidRPr="00064619">
        <w:rPr>
          <w:rStyle w:val="FootnoteReference"/>
          <w:rFonts w:cs="Taher"/>
          <w:sz w:val="32"/>
          <w:rtl/>
          <w:lang w:bidi="ar-LB"/>
        </w:rPr>
        <w:footnoteReference w:id="569"/>
      </w:r>
      <w:r w:rsidRPr="00064619">
        <w:rPr>
          <w:rFonts w:cs="Taher"/>
          <w:sz w:val="32"/>
          <w:vertAlign w:val="superscript"/>
          <w:rtl/>
          <w:lang w:bidi="ar-LB"/>
        </w:rPr>
        <w:t>)</w:t>
      </w:r>
      <w:r w:rsidRPr="00EA09EB">
        <w:rPr>
          <w:rFonts w:hint="cs"/>
          <w:rtl/>
        </w:rPr>
        <w:t xml:space="preserve">. </w:t>
      </w:r>
    </w:p>
    <w:p w:rsidR="00EA09EB" w:rsidRPr="00EA09EB" w:rsidRDefault="00EA09EB" w:rsidP="007A340E">
      <w:pPr>
        <w:ind w:firstLine="283"/>
        <w:rPr>
          <w:rtl/>
        </w:rPr>
      </w:pPr>
      <w:r w:rsidRPr="007A340E">
        <w:rPr>
          <w:rFonts w:hint="cs"/>
          <w:b/>
          <w:bCs/>
          <w:rtl/>
        </w:rPr>
        <w:t>الرابعة</w:t>
      </w:r>
      <w:r w:rsidRPr="00EA09EB">
        <w:rPr>
          <w:rFonts w:hint="cs"/>
          <w:rtl/>
        </w:rPr>
        <w:t>: إنّ عبارة «الفقهاء أمناء الرسل» هي جملة خبريّة، لها مضمون إنشائيّ، وتؤدّي معنى تعيين الفقهاء لمنصب الولاية. وبعبارة أخرى: أن يكون هناك ملازمة بين أمانة الرسل ومنصب الولاية.</w:t>
      </w:r>
    </w:p>
    <w:p w:rsidR="00EA09EB" w:rsidRPr="00EA09EB" w:rsidRDefault="00EA09EB" w:rsidP="007A340E">
      <w:pPr>
        <w:ind w:firstLine="283"/>
        <w:rPr>
          <w:rtl/>
        </w:rPr>
      </w:pPr>
      <w:r w:rsidRPr="007A340E">
        <w:rPr>
          <w:rFonts w:hint="cs"/>
          <w:b/>
          <w:bCs/>
          <w:rtl/>
        </w:rPr>
        <w:t>الخامسة</w:t>
      </w:r>
      <w:r w:rsidRPr="00EA09EB">
        <w:rPr>
          <w:rFonts w:hint="cs"/>
          <w:rtl/>
        </w:rPr>
        <w:t>: إن عبارة «الفقهاء أمناء الرسل» مطلقة من حيثية أخرى أيضاً، أي إن جميع صلاحيّات الرسل في الولاية التدبيريّة والزعامة السياسيّة والحكم تمّ تفويض الفقهاء بها، إلاّ ما قام الدليل على اختصاصه بالأنبياء. لذلك فولاية الفقهاء مطلقة.</w:t>
      </w:r>
    </w:p>
    <w:p w:rsidR="00EA09EB" w:rsidRPr="00A32FC0" w:rsidRDefault="00EA09EB" w:rsidP="00887CCF">
      <w:pPr>
        <w:pStyle w:val="Normal87"/>
        <w:rPr>
          <w:rtl/>
        </w:rPr>
      </w:pPr>
      <w:r w:rsidRPr="00A32FC0">
        <w:rPr>
          <w:rFonts w:hint="cs"/>
          <w:rtl/>
        </w:rPr>
        <w:t xml:space="preserve">ويتحصَّل من هذه المقدمات النقاط الثلاث: البحث السنديّ (المقدمة الأولى)؛ محور الولاية (المقدمتان: الثانية والثالثة)؛ محور التعيين (المقدمة الرابعة)؛ محور إطلاق الصلاحيّات وحدودها (المقدمة الخامسة). وأمّا شرط الفقاهة فهو واضحٌ جدّاً في هذه الرواية. لذلك لم يكن محلَّ بحث. </w:t>
      </w:r>
    </w:p>
    <w:p w:rsidR="00EA09EB" w:rsidRPr="00A32FC0" w:rsidRDefault="00EA09EB" w:rsidP="00887CCF">
      <w:pPr>
        <w:pStyle w:val="Normal87"/>
        <w:rPr>
          <w:rtl/>
        </w:rPr>
      </w:pPr>
      <w:r w:rsidRPr="00A32FC0">
        <w:rPr>
          <w:rFonts w:hint="cs"/>
          <w:rtl/>
        </w:rPr>
        <w:t>وسوف نبدأ بدراسة وتحليل هذه المقدّمات الخمس طبقاً لترتيبها:</w:t>
      </w:r>
    </w:p>
    <w:p w:rsidR="00EA09EB" w:rsidRPr="00A32FC0" w:rsidRDefault="00EA09EB" w:rsidP="00EA09EB">
      <w:pPr>
        <w:rPr>
          <w:rtl/>
          <w:lang w:bidi="ar-LB"/>
        </w:rPr>
      </w:pPr>
      <w:r w:rsidRPr="00EA09EB">
        <w:rPr>
          <w:rFonts w:hint="cs"/>
          <w:rtl/>
        </w:rPr>
        <w:t>المقدّمة الأولى (البحث السنديّ): إن سند هذا الحديث يتضمَّن النوفليّ والسكونيّ. وهناك بحث مشهور في كتب «الرجال» حول عقائد هذين الراويين، ومدى صحّتها</w:t>
      </w:r>
      <w:r w:rsidRPr="00064619">
        <w:rPr>
          <w:rFonts w:cs="Taher"/>
          <w:vertAlign w:val="superscript"/>
          <w:rtl/>
          <w:lang w:bidi="ar-LB"/>
        </w:rPr>
        <w:t>(</w:t>
      </w:r>
      <w:r w:rsidRPr="00064619">
        <w:rPr>
          <w:rStyle w:val="FootnoteReference"/>
          <w:rFonts w:cs="Taher"/>
          <w:sz w:val="32"/>
          <w:rtl/>
          <w:lang w:bidi="ar-LB"/>
        </w:rPr>
        <w:footnoteReference w:id="570"/>
      </w:r>
      <w:r w:rsidRPr="00064619">
        <w:rPr>
          <w:rFonts w:cs="Taher"/>
          <w:vertAlign w:val="superscript"/>
          <w:rtl/>
          <w:lang w:bidi="ar-LB"/>
        </w:rPr>
        <w:t>)</w:t>
      </w:r>
      <w:r w:rsidRPr="00EA09EB">
        <w:rPr>
          <w:rFonts w:hint="cs"/>
          <w:rtl/>
        </w:rPr>
        <w:t>. ولذلك فقد خدش بعض الفقهاء في سند هذه الرواية</w:t>
      </w:r>
      <w:r w:rsidRPr="00064619">
        <w:rPr>
          <w:rFonts w:cs="Taher"/>
          <w:vertAlign w:val="superscript"/>
          <w:rtl/>
          <w:lang w:bidi="ar-LB"/>
        </w:rPr>
        <w:t>(</w:t>
      </w:r>
      <w:r w:rsidRPr="00064619">
        <w:rPr>
          <w:rStyle w:val="FootnoteReference"/>
          <w:rFonts w:cs="Taher"/>
          <w:sz w:val="32"/>
          <w:rtl/>
          <w:lang w:bidi="ar-LB"/>
        </w:rPr>
        <w:footnoteReference w:id="571"/>
      </w:r>
      <w:r w:rsidRPr="00064619">
        <w:rPr>
          <w:rFonts w:cs="Taher"/>
          <w:vertAlign w:val="superscript"/>
          <w:rtl/>
          <w:lang w:bidi="ar-LB"/>
        </w:rPr>
        <w:t>)</w:t>
      </w:r>
      <w:r w:rsidRPr="00EA09EB">
        <w:rPr>
          <w:rFonts w:hint="cs"/>
          <w:rtl/>
        </w:rPr>
        <w:t>. ولكن بما أن هناك اطمئنان إلى وثاقة السكونيّ، وكذلك النوفليّ ـ بحسب الظاهر ـ، وبما أنّ الفقهاء قد عملوا بروايات لها هذا السند في شتّى أبواب الفقه، فإنّه من الممكن تجاوز الإشكال السنديّ</w:t>
      </w:r>
      <w:r w:rsidRPr="00064619">
        <w:rPr>
          <w:rFonts w:cs="Taher"/>
          <w:vertAlign w:val="superscript"/>
          <w:rtl/>
          <w:lang w:bidi="ar-LB"/>
        </w:rPr>
        <w:t>(</w:t>
      </w:r>
      <w:r w:rsidRPr="00064619">
        <w:rPr>
          <w:rStyle w:val="FootnoteReference"/>
          <w:rFonts w:cs="Taher"/>
          <w:sz w:val="32"/>
          <w:rtl/>
          <w:lang w:bidi="ar-LB"/>
        </w:rPr>
        <w:footnoteReference w:id="572"/>
      </w:r>
      <w:r w:rsidRPr="00064619">
        <w:rPr>
          <w:rFonts w:cs="Taher"/>
          <w:vertAlign w:val="superscript"/>
          <w:rtl/>
          <w:lang w:bidi="ar-LB"/>
        </w:rPr>
        <w:t>)</w:t>
      </w:r>
      <w:r w:rsidRPr="00A32FC0">
        <w:rPr>
          <w:rFonts w:hint="cs"/>
          <w:rtl/>
          <w:lang w:bidi="ar-LB"/>
        </w:rPr>
        <w:t>.</w:t>
      </w:r>
    </w:p>
    <w:p w:rsidR="00EA09EB" w:rsidRPr="00A32FC0" w:rsidRDefault="00EA09EB" w:rsidP="00887CCF">
      <w:pPr>
        <w:pStyle w:val="Normal84"/>
        <w:rPr>
          <w:rtl/>
        </w:rPr>
      </w:pPr>
      <w:r w:rsidRPr="00A32FC0">
        <w:rPr>
          <w:rFonts w:hint="cs"/>
          <w:rtl/>
        </w:rPr>
        <w:t>وأمّا المقدّمة الثانية فبما يخصّ بعض الأنبياء من قبيل: النبيّ محمد</w:t>
      </w:r>
      <w:r w:rsidRPr="00A32FC0">
        <w:rPr>
          <w:rFonts w:hint="cs"/>
          <w:rtl/>
        </w:rPr>
        <w:sym w:font="Roumouz" w:char="F02D"/>
      </w:r>
      <w:r w:rsidRPr="00A32FC0">
        <w:rPr>
          <w:rFonts w:hint="cs"/>
          <w:rtl/>
        </w:rPr>
        <w:t>، وداوود، وسليمان، ويوسف</w:t>
      </w:r>
      <w:r w:rsidR="007A340E">
        <w:rPr>
          <w:rFonts w:hint="cs"/>
          <w:rtl/>
        </w:rPr>
        <w:t>^</w:t>
      </w:r>
      <w:r w:rsidRPr="00A32FC0">
        <w:rPr>
          <w:rFonts w:hint="cs"/>
          <w:rtl/>
        </w:rPr>
        <w:t>، كان لهم مميِّزات متعدِّدة، ومن جملتها: الولاية التدبيرية والزعامة السياسية</w:t>
      </w:r>
      <w:r w:rsidRPr="00064619">
        <w:rPr>
          <w:rFonts w:cs="Taher"/>
          <w:vertAlign w:val="superscript"/>
          <w:rtl/>
        </w:rPr>
        <w:t>(</w:t>
      </w:r>
      <w:r w:rsidRPr="00064619">
        <w:rPr>
          <w:rStyle w:val="FootnoteReference"/>
          <w:rFonts w:cs="Taher"/>
          <w:sz w:val="32"/>
          <w:rtl/>
        </w:rPr>
        <w:footnoteReference w:id="573"/>
      </w:r>
      <w:r w:rsidRPr="00064619">
        <w:rPr>
          <w:rFonts w:cs="Taher"/>
          <w:vertAlign w:val="superscript"/>
          <w:rtl/>
        </w:rPr>
        <w:t>)</w:t>
      </w:r>
      <w:r w:rsidRPr="00EA09EB">
        <w:rPr>
          <w:rFonts w:hint="cs"/>
          <w:rtl/>
        </w:rPr>
        <w:t>. وهذا مما لا شكّ فيه. ولكن لم تثبت جميع هذه المميِّزات لجميع الأنبياء من جهة، والرسل من جهة ثانية. وبعبارة أخرى: لا يوجد ملازمة بين الزعامة السياسية والولاية التدبيرية والحاكمية وبين الرسالة</w:t>
      </w:r>
      <w:r w:rsidRPr="00064619">
        <w:rPr>
          <w:rFonts w:cs="Taher"/>
          <w:vertAlign w:val="superscript"/>
          <w:rtl/>
        </w:rPr>
        <w:t>(</w:t>
      </w:r>
      <w:r w:rsidRPr="00064619">
        <w:rPr>
          <w:rStyle w:val="FootnoteReference"/>
          <w:rFonts w:cs="Taher"/>
          <w:sz w:val="32"/>
          <w:rtl/>
        </w:rPr>
        <w:footnoteReference w:id="574"/>
      </w:r>
      <w:r w:rsidRPr="00064619">
        <w:rPr>
          <w:rFonts w:cs="Taher"/>
          <w:vertAlign w:val="superscript"/>
          <w:rtl/>
        </w:rPr>
        <w:t>)</w:t>
      </w:r>
      <w:r w:rsidRPr="00EA09EB">
        <w:rPr>
          <w:rFonts w:hint="cs"/>
          <w:rtl/>
        </w:rPr>
        <w:t xml:space="preserve">؛ فإنه من الممكن أن يكون هناك نبيٌّ لا يتمتَّع بالزعامة والولاية السياسية، كما صرّح القرآن الكريم بانفكاك الحكومة والرسالة في عصر طالوت، وقد نصّب الله شخصين: </w:t>
      </w:r>
      <w:r w:rsidRPr="0032254A">
        <w:rPr>
          <w:rFonts w:hint="cs"/>
          <w:b/>
          <w:bCs/>
          <w:rtl/>
        </w:rPr>
        <w:t>أحدهما</w:t>
      </w:r>
      <w:r w:rsidRPr="00EA09EB">
        <w:rPr>
          <w:rFonts w:hint="cs"/>
          <w:rtl/>
        </w:rPr>
        <w:t xml:space="preserve">: بمنصب النبوّة والرسالة، </w:t>
      </w:r>
      <w:r w:rsidRPr="0032254A">
        <w:rPr>
          <w:rFonts w:hint="cs"/>
          <w:b/>
          <w:bCs/>
          <w:rtl/>
        </w:rPr>
        <w:t>والآخر</w:t>
      </w:r>
      <w:r w:rsidRPr="00EA09EB">
        <w:rPr>
          <w:rFonts w:hint="cs"/>
          <w:rtl/>
        </w:rPr>
        <w:t>، أي طالوت، بمنصب الزعامة والقيادة</w:t>
      </w:r>
      <w:r w:rsidRPr="00064619">
        <w:rPr>
          <w:rFonts w:cs="Taher"/>
          <w:vertAlign w:val="superscript"/>
          <w:rtl/>
        </w:rPr>
        <w:t>(</w:t>
      </w:r>
      <w:r w:rsidRPr="00064619">
        <w:rPr>
          <w:rStyle w:val="FootnoteReference"/>
          <w:rFonts w:cs="Taher"/>
          <w:sz w:val="32"/>
          <w:rtl/>
        </w:rPr>
        <w:footnoteReference w:id="575"/>
      </w:r>
      <w:r w:rsidRPr="00064619">
        <w:rPr>
          <w:rFonts w:cs="Taher"/>
          <w:vertAlign w:val="superscript"/>
          <w:rtl/>
        </w:rPr>
        <w:t>)</w:t>
      </w:r>
      <w:r w:rsidRPr="0032254A">
        <w:rPr>
          <w:rFonts w:hint="cs"/>
          <w:rtl/>
        </w:rPr>
        <w:t xml:space="preserve">. وكذلك أنبياء بني إسرائيل، فقد كانت وظيفتهم الدعوة ونشر الأحكام، ولم يكن لهم </w:t>
      </w:r>
      <w:r>
        <w:rPr>
          <w:rFonts w:hint="cs"/>
          <w:rtl/>
        </w:rPr>
        <w:t>أيّ</w:t>
      </w:r>
      <w:r w:rsidRPr="00A32FC0">
        <w:rPr>
          <w:rFonts w:hint="cs"/>
          <w:rtl/>
        </w:rPr>
        <w:t xml:space="preserve"> مسؤوليّة سياسيّة أو ولاية تدبيريّة. وإذا أردنا أن نبحث حول فقهاء جميع الأديان والمذاهب السماوية فإنه من الواضح أننا يجب أن نكتفي بالقدر المشترك بين جميع هؤلاء. والقدر المشترك في وظائف الرسل والأنبياء هو الدعوة ونشر الأحكام الإلهيّة وتبيينها. ومن المؤكَّد أن منصب الولاية التدبيريّة والقضاء لم يكن من وظائف جميع الأنبياء. وعلى هذا فإنّ المقدمة الثانية غير تامّة.</w:t>
      </w:r>
    </w:p>
    <w:p w:rsidR="00EA09EB" w:rsidRPr="00EA09EB" w:rsidRDefault="00EA09EB" w:rsidP="00887CCF">
      <w:pPr>
        <w:pStyle w:val="Normal84"/>
        <w:rPr>
          <w:rtl/>
        </w:rPr>
      </w:pPr>
      <w:r w:rsidRPr="00A32FC0">
        <w:rPr>
          <w:rFonts w:hint="cs"/>
          <w:rtl/>
        </w:rPr>
        <w:t>وأمّا المقدّمة الثالثة فهي أيضاً غير تامّة؛ وذلك أولاً: تعتبر عبارة «فاحذروهم على دينكم»</w:t>
      </w:r>
      <w:r>
        <w:rPr>
          <w:rFonts w:hint="cs"/>
          <w:rtl/>
        </w:rPr>
        <w:t>،</w:t>
      </w:r>
      <w:r w:rsidRPr="00A32FC0">
        <w:rPr>
          <w:rFonts w:hint="cs"/>
          <w:rtl/>
        </w:rPr>
        <w:t xml:space="preserve"> التي جاءت في آخر الرواية، قرينة قطعية على أنّ المقصود من الأمانة في بيان الأحكام ونشر الدين. ومع وجود قرينة صارفة كهذه لا يمكن التمسُّك بإطلاق. لذلك فإن الرواية ناظرة إلى وظيفة الدعوة ونشر أحكام الشريعة وتعليمها، التي هي من أهمّ وظائف الأنبياء والرسل</w:t>
      </w:r>
      <w:r w:rsidRPr="00064619">
        <w:rPr>
          <w:rFonts w:cs="Taher"/>
          <w:vertAlign w:val="superscript"/>
          <w:rtl/>
        </w:rPr>
        <w:t>(</w:t>
      </w:r>
      <w:r w:rsidRPr="00064619">
        <w:rPr>
          <w:rStyle w:val="FootnoteReference"/>
          <w:rFonts w:cs="Taher"/>
          <w:sz w:val="32"/>
          <w:rtl/>
        </w:rPr>
        <w:footnoteReference w:id="576"/>
      </w:r>
      <w:r w:rsidRPr="00064619">
        <w:rPr>
          <w:rFonts w:cs="Taher"/>
          <w:vertAlign w:val="superscript"/>
          <w:rtl/>
        </w:rPr>
        <w:t>)</w:t>
      </w:r>
      <w:r w:rsidRPr="00EA09EB">
        <w:rPr>
          <w:rFonts w:hint="cs"/>
          <w:rtl/>
        </w:rPr>
        <w:t>. وعلى الأقلّ فإنّ احتمال انحصار المعنى في الدعوة ونشر الأحكام يُعَدّ مُبْطِلاً للاستدلال.</w:t>
      </w:r>
    </w:p>
    <w:p w:rsidR="00EA09EB" w:rsidRPr="00EA09EB" w:rsidRDefault="00EA09EB" w:rsidP="00EA09EB">
      <w:pPr>
        <w:rPr>
          <w:rtl/>
        </w:rPr>
      </w:pPr>
      <w:r w:rsidRPr="007A340E">
        <w:rPr>
          <w:rFonts w:hint="cs"/>
          <w:b/>
          <w:bCs/>
          <w:rtl/>
        </w:rPr>
        <w:t>وثانياً</w:t>
      </w:r>
      <w:r w:rsidRPr="00EA09EB">
        <w:rPr>
          <w:rFonts w:hint="cs"/>
          <w:rtl/>
        </w:rPr>
        <w:t>: كانت وظيفة فقهاء الأديان الأخرى، الذين كانوا بحسب القاعدة أمناءَ لرسلهم، مقتصرةً على الدعوة ونشر الأحكام وتعليمها، مثل: حواريّي المسيح</w:t>
      </w:r>
      <w:r>
        <w:rPr>
          <w:rFonts w:hint="cs"/>
          <w:rtl/>
        </w:rPr>
        <w:t>×</w:t>
      </w:r>
      <w:r w:rsidRPr="00EA09EB">
        <w:rPr>
          <w:rFonts w:hint="cs"/>
          <w:rtl/>
        </w:rPr>
        <w:t>. فإنّ إثبات وظيفة أخرى لجميع فقهاء الأديان بحاجة إلى دليل.</w:t>
      </w:r>
    </w:p>
    <w:p w:rsidR="00EA09EB" w:rsidRPr="00A32FC0" w:rsidRDefault="00EA09EB" w:rsidP="00887CCF">
      <w:pPr>
        <w:pStyle w:val="Normal84"/>
        <w:rPr>
          <w:rtl/>
        </w:rPr>
      </w:pPr>
      <w:r w:rsidRPr="00A32FC0">
        <w:rPr>
          <w:rFonts w:hint="cs"/>
          <w:b/>
          <w:bCs/>
          <w:rtl/>
        </w:rPr>
        <w:t>وثالثاً</w:t>
      </w:r>
      <w:r w:rsidRPr="00EA09EB">
        <w:rPr>
          <w:rFonts w:hint="cs"/>
          <w:rtl/>
        </w:rPr>
        <w:t>: إنّ حفظ المجتمع من خطر المجرمين وأمثالهم، وبسط العدالة الاجتماعية، يعدّان من واجب جميع المسلمين، ولا يختصّان بفئة محدَّدة</w:t>
      </w:r>
      <w:r w:rsidRPr="00064619">
        <w:rPr>
          <w:rFonts w:cs="Taher"/>
          <w:vertAlign w:val="superscript"/>
          <w:rtl/>
        </w:rPr>
        <w:t>(</w:t>
      </w:r>
      <w:r w:rsidRPr="00064619">
        <w:rPr>
          <w:rStyle w:val="FootnoteReference"/>
          <w:rFonts w:cs="Taher"/>
          <w:sz w:val="32"/>
          <w:rtl/>
        </w:rPr>
        <w:footnoteReference w:id="577"/>
      </w:r>
      <w:r w:rsidRPr="00064619">
        <w:rPr>
          <w:rFonts w:cs="Taher"/>
          <w:vertAlign w:val="superscript"/>
          <w:rtl/>
        </w:rPr>
        <w:t>)</w:t>
      </w:r>
      <w:r w:rsidRPr="00A32FC0">
        <w:rPr>
          <w:rFonts w:hint="cs"/>
          <w:rtl/>
        </w:rPr>
        <w:t>.</w:t>
      </w:r>
    </w:p>
    <w:p w:rsidR="00EA09EB" w:rsidRPr="00A32FC0" w:rsidRDefault="00EA09EB" w:rsidP="00887CCF">
      <w:pPr>
        <w:pStyle w:val="Normal84"/>
        <w:rPr>
          <w:rtl/>
        </w:rPr>
      </w:pPr>
      <w:r w:rsidRPr="00A32FC0">
        <w:rPr>
          <w:rFonts w:hint="cs"/>
          <w:rtl/>
        </w:rPr>
        <w:t>وأمّا المقدّمة الرابعة (محور التعيين) فإنّ ظهور عبارة «الفقهاء أمناء الرسل» في الإنشاء ضعيفٌ جدّاً</w:t>
      </w:r>
      <w:r w:rsidRPr="00064619">
        <w:rPr>
          <w:rFonts w:cs="Taher"/>
          <w:vertAlign w:val="superscript"/>
          <w:rtl/>
        </w:rPr>
        <w:t>(</w:t>
      </w:r>
      <w:r w:rsidRPr="00064619">
        <w:rPr>
          <w:rStyle w:val="FootnoteReference"/>
          <w:rFonts w:cs="Taher"/>
          <w:sz w:val="32"/>
          <w:rtl/>
        </w:rPr>
        <w:footnoteReference w:id="578"/>
      </w:r>
      <w:r w:rsidRPr="00064619">
        <w:rPr>
          <w:rFonts w:cs="Taher"/>
          <w:vertAlign w:val="superscript"/>
          <w:rtl/>
        </w:rPr>
        <w:t>)</w:t>
      </w:r>
      <w:r w:rsidRPr="00EA09EB">
        <w:rPr>
          <w:rFonts w:hint="cs"/>
          <w:rtl/>
        </w:rPr>
        <w:t xml:space="preserve">. فهي؛ بالفهم العرفيّ، جملة خبريّة تحكي عن واقع، هذا </w:t>
      </w:r>
      <w:r w:rsidRPr="00A32FC0">
        <w:rPr>
          <w:rFonts w:hint="cs"/>
          <w:b/>
          <w:bCs/>
          <w:rtl/>
        </w:rPr>
        <w:t>أولاً</w:t>
      </w:r>
      <w:r w:rsidRPr="00A32FC0">
        <w:rPr>
          <w:rFonts w:hint="cs"/>
          <w:rtl/>
        </w:rPr>
        <w:t xml:space="preserve">. </w:t>
      </w:r>
    </w:p>
    <w:p w:rsidR="00EA09EB" w:rsidRPr="00EA09EB" w:rsidRDefault="00EA09EB" w:rsidP="00887CCF">
      <w:pPr>
        <w:pStyle w:val="Normal84"/>
        <w:rPr>
          <w:rtl/>
        </w:rPr>
      </w:pPr>
      <w:r w:rsidRPr="00A32FC0">
        <w:rPr>
          <w:rFonts w:hint="cs"/>
          <w:rtl/>
        </w:rPr>
        <w:t xml:space="preserve">وأما </w:t>
      </w:r>
      <w:r w:rsidRPr="00A32FC0">
        <w:rPr>
          <w:rFonts w:hint="cs"/>
          <w:b/>
          <w:bCs/>
          <w:rtl/>
        </w:rPr>
        <w:t>ثانياً</w:t>
      </w:r>
      <w:r w:rsidRPr="00EA09EB">
        <w:rPr>
          <w:rFonts w:hint="cs"/>
          <w:rtl/>
        </w:rPr>
        <w:t xml:space="preserve"> فلا ملازمة بين كون الشخص أميناً للرسول</w:t>
      </w:r>
      <w:r w:rsidRPr="00EA09EB">
        <w:rPr>
          <w:rFonts w:hint="cs"/>
          <w:rtl/>
        </w:rPr>
        <w:sym w:font="Roumouz" w:char="F02D"/>
      </w:r>
      <w:r w:rsidRPr="00EA09EB">
        <w:rPr>
          <w:rFonts w:hint="cs"/>
          <w:rtl/>
        </w:rPr>
        <w:t xml:space="preserve"> وبين تعيينه للولاية. بالإضافة إلى أنّ المسألة ليست بديهيّة، لكي لا يحتاج إثباتها إلى دليل.</w:t>
      </w:r>
    </w:p>
    <w:p w:rsidR="00EA09EB" w:rsidRDefault="00EA09EB" w:rsidP="00EA09EB">
      <w:pPr>
        <w:rPr>
          <w:rtl/>
          <w:lang w:bidi="ar-LB"/>
        </w:rPr>
      </w:pPr>
      <w:r w:rsidRPr="00A32FC0">
        <w:rPr>
          <w:rFonts w:hint="cs"/>
          <w:rtl/>
          <w:lang w:bidi="ar-LB"/>
        </w:rPr>
        <w:t>وبملاحظة المناقشات التي أوردناها على المقدّمة الثالثة فإنّ الإطلاق المدَّعى في المقدّمة الخامسة لا يتمّ من الأصل، ولا دلالة لهذه الرواية على الولاية المطلقة.</w:t>
      </w:r>
    </w:p>
    <w:p w:rsidR="007A340E" w:rsidRPr="00887CCF" w:rsidRDefault="007A340E" w:rsidP="00887CCF">
      <w:pPr>
        <w:pStyle w:val="Normal84"/>
        <w:rPr>
          <w:sz w:val="16"/>
          <w:szCs w:val="18"/>
          <w:rtl/>
        </w:rPr>
      </w:pPr>
    </w:p>
    <w:p w:rsidR="00EA09EB" w:rsidRPr="00D91745" w:rsidRDefault="00EA09EB" w:rsidP="007A340E">
      <w:pPr>
        <w:pStyle w:val="Heading4"/>
        <w:rPr>
          <w:rtl/>
        </w:rPr>
      </w:pPr>
      <w:r w:rsidRPr="007A340E">
        <w:rPr>
          <w:rFonts w:hint="cs"/>
          <w:rtl/>
        </w:rPr>
        <w:t>نتيجة</w:t>
      </w:r>
      <w:r w:rsidRPr="00D91745">
        <w:rPr>
          <w:rFonts w:hint="cs"/>
          <w:rtl/>
        </w:rPr>
        <w:t xml:space="preserve"> البحث</w:t>
      </w:r>
    </w:p>
    <w:p w:rsidR="00EA09EB" w:rsidRDefault="00EA09EB" w:rsidP="00887CCF">
      <w:pPr>
        <w:pStyle w:val="Normal84"/>
        <w:rPr>
          <w:rtl/>
        </w:rPr>
      </w:pPr>
      <w:r w:rsidRPr="00EA09EB">
        <w:rPr>
          <w:rFonts w:hint="cs"/>
          <w:rtl/>
        </w:rPr>
        <w:t xml:space="preserve">تحصّل لدينا في هذا الحديث الشريف: «الفقهاء أمناء الرسل»: </w:t>
      </w:r>
      <w:r w:rsidRPr="007A340E">
        <w:rPr>
          <w:rFonts w:hint="cs"/>
          <w:b/>
          <w:bCs/>
          <w:rtl/>
        </w:rPr>
        <w:t>أولاً</w:t>
      </w:r>
      <w:r w:rsidRPr="00EA09EB">
        <w:rPr>
          <w:rFonts w:hint="cs"/>
          <w:rtl/>
        </w:rPr>
        <w:t xml:space="preserve">: لا يوجد ملازمة بين الرسالة والولاية التدبيريّة على المجتمع؛ </w:t>
      </w:r>
      <w:r w:rsidRPr="007A340E">
        <w:rPr>
          <w:rFonts w:hint="cs"/>
          <w:b/>
          <w:bCs/>
          <w:rtl/>
        </w:rPr>
        <w:t>وثانياً</w:t>
      </w:r>
      <w:r w:rsidRPr="00EA09EB">
        <w:rPr>
          <w:rFonts w:hint="cs"/>
          <w:rtl/>
        </w:rPr>
        <w:t xml:space="preserve">: تدلّ القرينة القطعيّة التي جاءت في آخر الرواية على أنّ الفقهاء أمناء الرسل في الدعوة ونشر الأحكام وتعليمها فقط؛ </w:t>
      </w:r>
      <w:r w:rsidRPr="007A340E">
        <w:rPr>
          <w:rFonts w:hint="cs"/>
          <w:b/>
          <w:bCs/>
          <w:rtl/>
        </w:rPr>
        <w:t>وثالثاً</w:t>
      </w:r>
      <w:r w:rsidRPr="00EA09EB">
        <w:rPr>
          <w:rFonts w:hint="cs"/>
          <w:rtl/>
        </w:rPr>
        <w:t xml:space="preserve">: ليس هناك ملازمة بين كون الشخص أميناً للرسل وبين تعيينه للولاية؛ </w:t>
      </w:r>
      <w:r w:rsidRPr="007A340E">
        <w:rPr>
          <w:rFonts w:hint="cs"/>
          <w:b/>
          <w:bCs/>
          <w:rtl/>
        </w:rPr>
        <w:t>رابعاً</w:t>
      </w:r>
      <w:r w:rsidRPr="00EA09EB">
        <w:rPr>
          <w:rFonts w:hint="cs"/>
          <w:rtl/>
        </w:rPr>
        <w:t>: لا دلالة لهذه الرواية على الولاية المطلقة، وإنّما تدلّ على المكانة الرفيعة للفقهاء في دعوتهم، وتعليمهم لأحكام الشرع.</w:t>
      </w:r>
    </w:p>
    <w:p w:rsidR="007A340E" w:rsidRPr="00887CCF" w:rsidRDefault="007A340E" w:rsidP="007A340E">
      <w:pPr>
        <w:ind w:firstLine="283"/>
        <w:rPr>
          <w:sz w:val="20"/>
          <w:szCs w:val="22"/>
          <w:rtl/>
        </w:rPr>
      </w:pPr>
    </w:p>
    <w:p w:rsidR="00EA09EB" w:rsidRPr="00D91745" w:rsidRDefault="00EA09EB" w:rsidP="007A340E">
      <w:pPr>
        <w:pStyle w:val="Heading3"/>
        <w:rPr>
          <w:rtl/>
        </w:rPr>
      </w:pPr>
      <w:r w:rsidRPr="00D91745">
        <w:rPr>
          <w:rFonts w:hint="cs"/>
          <w:rtl/>
        </w:rPr>
        <w:t xml:space="preserve">الرواية </w:t>
      </w:r>
      <w:r w:rsidRPr="007A340E">
        <w:rPr>
          <w:rFonts w:hint="cs"/>
          <w:rtl/>
        </w:rPr>
        <w:t>الرابعة</w:t>
      </w:r>
      <w:r w:rsidRPr="00D91745">
        <w:rPr>
          <w:rFonts w:hint="cs"/>
          <w:rtl/>
        </w:rPr>
        <w:t>: أحاديث «العلماء ورثة الأنبياء»</w:t>
      </w:r>
    </w:p>
    <w:p w:rsidR="00EA09EB" w:rsidRPr="00A32FC0" w:rsidRDefault="00EA09EB" w:rsidP="00EA09EB">
      <w:pPr>
        <w:rPr>
          <w:rtl/>
          <w:lang w:bidi="ar-LB"/>
        </w:rPr>
      </w:pPr>
      <w:r w:rsidRPr="00A32FC0">
        <w:rPr>
          <w:rFonts w:hint="cs"/>
          <w:b/>
          <w:bCs/>
          <w:rtl/>
          <w:lang w:bidi="ar-LB"/>
        </w:rPr>
        <w:t>الحديث الأوّل</w:t>
      </w:r>
      <w:r w:rsidRPr="00EA09EB">
        <w:rPr>
          <w:rFonts w:hint="cs"/>
          <w:rtl/>
        </w:rPr>
        <w:t>: في الكافي بسنده عن القدّاح، عن أبي عبد الله</w:t>
      </w:r>
      <w:r>
        <w:rPr>
          <w:rFonts w:hint="cs"/>
          <w:rtl/>
        </w:rPr>
        <w:t>×</w:t>
      </w:r>
      <w:r w:rsidRPr="00EA09EB">
        <w:rPr>
          <w:rFonts w:hint="cs"/>
          <w:rtl/>
        </w:rPr>
        <w:t>، قال: قال رسول الله</w:t>
      </w:r>
      <w:r w:rsidRPr="00EA09EB">
        <w:rPr>
          <w:rFonts w:hint="cs"/>
          <w:rtl/>
        </w:rPr>
        <w:sym w:font="Roumouz" w:char="F02D"/>
      </w:r>
      <w:r w:rsidRPr="00EA09EB">
        <w:rPr>
          <w:rFonts w:hint="cs"/>
          <w:rtl/>
        </w:rPr>
        <w:t>: «مَنْ سَلَك طريقاً يطلب فيه علماً سلك الله به طريقاً إلى الجنة. وإنّ الملائكة لتضع أجنحتها لطالب العلم رضاً به. وإنّه يستغفر لطالب العلم مَنْ في السماء ومَنْ في الأرض، حتى الحوت في البحر. وفضل العالم على العابد كفضل القمر على سائر النجوم ليلة البدر. وإنّ العلماء ورثة الأنبياء. إنّ الأنبياء لم يورِّثوا ديناراً ولا درهماً، ولكنّهم ورَّثوا العلم، فمَنْ أخذ منه أخذ بحظٍّ وافر»</w:t>
      </w:r>
      <w:r w:rsidRPr="00064619">
        <w:rPr>
          <w:rFonts w:cs="Taher"/>
          <w:vertAlign w:val="superscript"/>
          <w:rtl/>
        </w:rPr>
        <w:t>(</w:t>
      </w:r>
      <w:r w:rsidRPr="00064619">
        <w:rPr>
          <w:rStyle w:val="FootnoteReference"/>
          <w:rFonts w:cs="Taher"/>
          <w:sz w:val="32"/>
          <w:rtl/>
        </w:rPr>
        <w:footnoteReference w:id="579"/>
      </w:r>
      <w:r w:rsidRPr="00064619">
        <w:rPr>
          <w:rFonts w:cs="Taher"/>
          <w:vertAlign w:val="superscript"/>
          <w:rtl/>
        </w:rPr>
        <w:t>)</w:t>
      </w:r>
      <w:r w:rsidRPr="00A32FC0">
        <w:rPr>
          <w:rFonts w:hint="cs"/>
          <w:rtl/>
          <w:lang w:bidi="ar-LB"/>
        </w:rPr>
        <w:t>.</w:t>
      </w:r>
    </w:p>
    <w:p w:rsidR="00EA09EB" w:rsidRPr="00EA09EB" w:rsidRDefault="00EA09EB" w:rsidP="00887CCF">
      <w:pPr>
        <w:pStyle w:val="Normal93"/>
        <w:rPr>
          <w:rtl/>
        </w:rPr>
      </w:pPr>
      <w:r w:rsidRPr="00A32FC0">
        <w:rPr>
          <w:rFonts w:hint="cs"/>
          <w:rtl/>
        </w:rPr>
        <w:t>كما رواه الشيخ الصدوق أيضاً بسندين مختلفين في كتاب «الأمالي»</w:t>
      </w:r>
      <w:r w:rsidRPr="00064619">
        <w:rPr>
          <w:rFonts w:cs="Taher"/>
          <w:vertAlign w:val="superscript"/>
          <w:rtl/>
        </w:rPr>
        <w:t>(</w:t>
      </w:r>
      <w:r w:rsidRPr="00064619">
        <w:rPr>
          <w:rStyle w:val="FootnoteReference"/>
          <w:rFonts w:cs="Taher"/>
          <w:sz w:val="32"/>
          <w:rtl/>
        </w:rPr>
        <w:footnoteReference w:id="580"/>
      </w:r>
      <w:r w:rsidRPr="00064619">
        <w:rPr>
          <w:rFonts w:cs="Taher"/>
          <w:vertAlign w:val="superscript"/>
          <w:rtl/>
        </w:rPr>
        <w:t>)</w:t>
      </w:r>
      <w:r w:rsidRPr="00EA09EB">
        <w:rPr>
          <w:rFonts w:hint="cs"/>
          <w:rtl/>
        </w:rPr>
        <w:t xml:space="preserve"> وكتاب «ثواب الأعمال»</w:t>
      </w:r>
      <w:r w:rsidRPr="00064619">
        <w:rPr>
          <w:rFonts w:cs="Taher"/>
          <w:vertAlign w:val="superscript"/>
          <w:rtl/>
        </w:rPr>
        <w:t>(</w:t>
      </w:r>
      <w:r w:rsidRPr="00064619">
        <w:rPr>
          <w:rStyle w:val="FootnoteReference"/>
          <w:rFonts w:cs="Taher"/>
          <w:sz w:val="32"/>
          <w:rtl/>
        </w:rPr>
        <w:footnoteReference w:id="581"/>
      </w:r>
      <w:r w:rsidRPr="00064619">
        <w:rPr>
          <w:rFonts w:cs="Taher"/>
          <w:vertAlign w:val="superscript"/>
          <w:rtl/>
        </w:rPr>
        <w:t>)</w:t>
      </w:r>
      <w:r w:rsidRPr="00EA09EB">
        <w:rPr>
          <w:rFonts w:hint="cs"/>
          <w:rtl/>
        </w:rPr>
        <w:t>. وكذلك رواه أبو جعفر الصفّار في «بصائر الدرجات»</w:t>
      </w:r>
      <w:r w:rsidRPr="00064619">
        <w:rPr>
          <w:rFonts w:cs="Taher"/>
          <w:vertAlign w:val="superscript"/>
          <w:rtl/>
        </w:rPr>
        <w:t>(</w:t>
      </w:r>
      <w:r w:rsidRPr="00064619">
        <w:rPr>
          <w:rStyle w:val="FootnoteReference"/>
          <w:rFonts w:cs="Taher"/>
          <w:sz w:val="32"/>
          <w:rtl/>
        </w:rPr>
        <w:footnoteReference w:id="582"/>
      </w:r>
      <w:r w:rsidRPr="00064619">
        <w:rPr>
          <w:rFonts w:cs="Taher"/>
          <w:vertAlign w:val="superscript"/>
          <w:rtl/>
        </w:rPr>
        <w:t>)</w:t>
      </w:r>
      <w:r w:rsidRPr="00EA09EB">
        <w:rPr>
          <w:rFonts w:hint="cs"/>
          <w:rtl/>
        </w:rPr>
        <w:t xml:space="preserve"> بسند آخر عن القدّاح، عن الإمام الصادق</w:t>
      </w:r>
      <w:r>
        <w:rPr>
          <w:rFonts w:hint="cs"/>
          <w:rtl/>
        </w:rPr>
        <w:t>×</w:t>
      </w:r>
      <w:r w:rsidRPr="00EA09EB">
        <w:rPr>
          <w:rFonts w:hint="cs"/>
          <w:rtl/>
        </w:rPr>
        <w:t>، عن رسول الله</w:t>
      </w:r>
      <w:r w:rsidRPr="00EA09EB">
        <w:rPr>
          <w:rFonts w:hint="cs"/>
          <w:rtl/>
        </w:rPr>
        <w:sym w:font="Roumouz" w:char="F02D"/>
      </w:r>
      <w:r w:rsidRPr="00EA09EB">
        <w:rPr>
          <w:rFonts w:hint="cs"/>
          <w:rtl/>
        </w:rPr>
        <w:t>. ومن أهل السنة نقله ابن ماجة وابن داوود أيضاً، في سننهما، عن النبيّ</w:t>
      </w:r>
      <w:r w:rsidRPr="00EA09EB">
        <w:rPr>
          <w:rFonts w:hint="cs"/>
          <w:rtl/>
        </w:rPr>
        <w:sym w:font="Roumouz" w:char="F02D"/>
      </w:r>
      <w:r w:rsidRPr="00064619">
        <w:rPr>
          <w:rFonts w:cs="Taher"/>
          <w:vertAlign w:val="superscript"/>
          <w:rtl/>
        </w:rPr>
        <w:t>(</w:t>
      </w:r>
      <w:r w:rsidRPr="00064619">
        <w:rPr>
          <w:rStyle w:val="FootnoteReference"/>
          <w:rFonts w:cs="Taher"/>
          <w:sz w:val="32"/>
          <w:rtl/>
        </w:rPr>
        <w:footnoteReference w:id="583"/>
      </w:r>
      <w:r w:rsidRPr="00064619">
        <w:rPr>
          <w:rFonts w:cs="Taher"/>
          <w:vertAlign w:val="superscript"/>
          <w:rtl/>
        </w:rPr>
        <w:t>)</w:t>
      </w:r>
      <w:r w:rsidRPr="00EA09EB">
        <w:rPr>
          <w:rFonts w:hint="cs"/>
          <w:rtl/>
        </w:rPr>
        <w:t>.</w:t>
      </w:r>
    </w:p>
    <w:p w:rsidR="00EA09EB" w:rsidRPr="00A32FC0" w:rsidRDefault="00EA09EB" w:rsidP="00887CCF">
      <w:pPr>
        <w:pStyle w:val="Normal84"/>
        <w:rPr>
          <w:rtl/>
        </w:rPr>
      </w:pPr>
      <w:r w:rsidRPr="00A32FC0">
        <w:rPr>
          <w:rFonts w:hint="cs"/>
          <w:b/>
          <w:bCs/>
          <w:rtl/>
        </w:rPr>
        <w:t>الحديث الثاني</w:t>
      </w:r>
      <w:r w:rsidRPr="00EA09EB">
        <w:rPr>
          <w:rFonts w:hint="cs"/>
          <w:rtl/>
        </w:rPr>
        <w:t>: في الكافي بسنده عن ابن البحتري، عن أبي عبد الله</w:t>
      </w:r>
      <w:r w:rsidRPr="00EA09EB">
        <w:rPr>
          <w:rFonts w:hint="cs"/>
          <w:rtl/>
        </w:rPr>
        <w:sym w:font="Roumouz" w:char="F02D"/>
      </w:r>
      <w:r w:rsidRPr="00EA09EB">
        <w:rPr>
          <w:rFonts w:hint="cs"/>
          <w:rtl/>
        </w:rPr>
        <w:t>، قال: «إن العلماء ورثة الأنبياء؛ وذلك أن الأنبياء لم يورِّثوا درهماً ولا ديناراً، وإنّما أورثوا أحاديث من أحاديثهم. فمَنْ أخذ شيئاً منها فقد أخذ حظّاً وافراً. فانظروا علمكم هذا عمَّن تأخذونه؛ فإنّ فينا أهل البيت من كلّ خَلَفٍ عدولاً ينفون عنه تحريف الغالين، وانتحال المبطلين، وتأويل الجاهلين»</w:t>
      </w:r>
      <w:r w:rsidRPr="00064619">
        <w:rPr>
          <w:rFonts w:cs="Taher"/>
          <w:vertAlign w:val="superscript"/>
          <w:rtl/>
        </w:rPr>
        <w:t>(</w:t>
      </w:r>
      <w:r w:rsidRPr="00064619">
        <w:rPr>
          <w:rStyle w:val="FootnoteReference"/>
          <w:rFonts w:cs="Taher"/>
          <w:sz w:val="32"/>
          <w:rtl/>
        </w:rPr>
        <w:footnoteReference w:id="584"/>
      </w:r>
      <w:r w:rsidRPr="00064619">
        <w:rPr>
          <w:rFonts w:cs="Taher"/>
          <w:vertAlign w:val="superscript"/>
          <w:rtl/>
        </w:rPr>
        <w:t>)</w:t>
      </w:r>
      <w:r w:rsidRPr="00A32FC0">
        <w:rPr>
          <w:rFonts w:hint="cs"/>
          <w:rtl/>
        </w:rPr>
        <w:t>.</w:t>
      </w:r>
    </w:p>
    <w:p w:rsidR="00EA09EB" w:rsidRPr="00EA09EB" w:rsidRDefault="00EA09EB" w:rsidP="00887CCF">
      <w:pPr>
        <w:pStyle w:val="Normal84"/>
        <w:rPr>
          <w:rtl/>
        </w:rPr>
      </w:pPr>
      <w:r w:rsidRPr="00A32FC0">
        <w:rPr>
          <w:rFonts w:hint="cs"/>
          <w:rtl/>
        </w:rPr>
        <w:t>وقد نقله أيضاً أبو جعفر الصفار في «بصائر الدرجات» بسندَيْن آخرين. كما نقله الشيخ المفيد في «الاختصاص»</w:t>
      </w:r>
      <w:r w:rsidRPr="00064619">
        <w:rPr>
          <w:rFonts w:cs="Taher"/>
          <w:vertAlign w:val="superscript"/>
          <w:rtl/>
        </w:rPr>
        <w:t>(</w:t>
      </w:r>
      <w:r w:rsidRPr="00064619">
        <w:rPr>
          <w:rStyle w:val="FootnoteReference"/>
          <w:rFonts w:cs="Taher"/>
          <w:sz w:val="32"/>
          <w:rtl/>
        </w:rPr>
        <w:footnoteReference w:id="585"/>
      </w:r>
      <w:r w:rsidRPr="00064619">
        <w:rPr>
          <w:rFonts w:cs="Taher"/>
          <w:vertAlign w:val="superscript"/>
          <w:rtl/>
        </w:rPr>
        <w:t>)</w:t>
      </w:r>
      <w:r w:rsidRPr="00EA09EB">
        <w:rPr>
          <w:rFonts w:hint="cs"/>
          <w:rtl/>
        </w:rPr>
        <w:t>.</w:t>
      </w:r>
    </w:p>
    <w:p w:rsidR="00EA09EB" w:rsidRPr="00EA09EB" w:rsidRDefault="00EA09EB" w:rsidP="00887CCF">
      <w:pPr>
        <w:pStyle w:val="Normal84"/>
        <w:rPr>
          <w:rtl/>
        </w:rPr>
      </w:pPr>
      <w:r w:rsidRPr="007A340E">
        <w:rPr>
          <w:rFonts w:hint="cs"/>
          <w:b/>
          <w:bCs/>
          <w:rtl/>
        </w:rPr>
        <w:t>الحديث الثالث</w:t>
      </w:r>
      <w:r w:rsidRPr="00EA09EB">
        <w:rPr>
          <w:rFonts w:hint="cs"/>
          <w:rtl/>
        </w:rPr>
        <w:t>: في «نهج البلاغة»: قال أمير المؤمنين</w:t>
      </w:r>
      <w:r>
        <w:rPr>
          <w:rFonts w:hint="cs"/>
          <w:rtl/>
        </w:rPr>
        <w:t>×</w:t>
      </w:r>
      <w:r w:rsidRPr="00EA09EB">
        <w:rPr>
          <w:rFonts w:hint="cs"/>
          <w:rtl/>
        </w:rPr>
        <w:t>: «إن أولى الناس بالأنبياء أعلمهم بما جاؤوا به»</w:t>
      </w:r>
      <w:r w:rsidRPr="00064619">
        <w:rPr>
          <w:rFonts w:cs="Taher"/>
          <w:sz w:val="32"/>
          <w:vertAlign w:val="superscript"/>
          <w:rtl/>
        </w:rPr>
        <w:t>(</w:t>
      </w:r>
      <w:r w:rsidRPr="00064619">
        <w:rPr>
          <w:rStyle w:val="FootnoteReference"/>
          <w:rFonts w:cs="Taher"/>
          <w:sz w:val="32"/>
          <w:rtl/>
        </w:rPr>
        <w:footnoteReference w:id="586"/>
      </w:r>
      <w:r w:rsidRPr="00064619">
        <w:rPr>
          <w:rFonts w:cs="Taher"/>
          <w:sz w:val="32"/>
          <w:vertAlign w:val="superscript"/>
          <w:rtl/>
        </w:rPr>
        <w:t>)</w:t>
      </w:r>
      <w:r w:rsidRPr="00EA09EB">
        <w:rPr>
          <w:rFonts w:hint="cs"/>
          <w:rtl/>
        </w:rPr>
        <w:t>. وقد نقل الآمدي هذا الحديث في «غرر الحكم ودرر الكلم»</w:t>
      </w:r>
      <w:r w:rsidRPr="00064619">
        <w:rPr>
          <w:rFonts w:cs="Taher"/>
          <w:sz w:val="32"/>
          <w:vertAlign w:val="superscript"/>
          <w:rtl/>
        </w:rPr>
        <w:t>(</w:t>
      </w:r>
      <w:r w:rsidRPr="00064619">
        <w:rPr>
          <w:rStyle w:val="FootnoteReference"/>
          <w:rFonts w:cs="Taher"/>
          <w:sz w:val="32"/>
          <w:rtl/>
        </w:rPr>
        <w:footnoteReference w:id="587"/>
      </w:r>
      <w:r w:rsidRPr="00064619">
        <w:rPr>
          <w:rFonts w:cs="Taher"/>
          <w:sz w:val="32"/>
          <w:vertAlign w:val="superscript"/>
          <w:rtl/>
        </w:rPr>
        <w:t>)</w:t>
      </w:r>
      <w:r w:rsidRPr="00EA09EB">
        <w:rPr>
          <w:rFonts w:hint="cs"/>
          <w:rtl/>
        </w:rPr>
        <w:t>، والطبرسي في «مجمع البيان»</w:t>
      </w:r>
      <w:r w:rsidRPr="00064619">
        <w:rPr>
          <w:rFonts w:cs="Taher"/>
          <w:sz w:val="32"/>
          <w:vertAlign w:val="superscript"/>
          <w:rtl/>
        </w:rPr>
        <w:t>(</w:t>
      </w:r>
      <w:r w:rsidRPr="00064619">
        <w:rPr>
          <w:rStyle w:val="FootnoteReference"/>
          <w:rFonts w:cs="Taher"/>
          <w:sz w:val="32"/>
          <w:rtl/>
        </w:rPr>
        <w:footnoteReference w:id="588"/>
      </w:r>
      <w:r w:rsidRPr="00064619">
        <w:rPr>
          <w:rFonts w:cs="Taher"/>
          <w:sz w:val="32"/>
          <w:vertAlign w:val="superscript"/>
          <w:rtl/>
        </w:rPr>
        <w:t>)</w:t>
      </w:r>
      <w:r w:rsidRPr="00EA09EB">
        <w:rPr>
          <w:rFonts w:hint="cs"/>
          <w:rtl/>
        </w:rPr>
        <w:t>، وورّام بن أبي فراس في «تنبيه الخواطر ونزهة النواظر»</w:t>
      </w:r>
      <w:r w:rsidRPr="00064619">
        <w:rPr>
          <w:rFonts w:cs="Taher"/>
          <w:sz w:val="32"/>
          <w:vertAlign w:val="superscript"/>
          <w:rtl/>
        </w:rPr>
        <w:t>(</w:t>
      </w:r>
      <w:r w:rsidRPr="00064619">
        <w:rPr>
          <w:rStyle w:val="FootnoteReference"/>
          <w:rFonts w:cs="Taher"/>
          <w:sz w:val="32"/>
          <w:rtl/>
        </w:rPr>
        <w:footnoteReference w:id="589"/>
      </w:r>
      <w:r w:rsidRPr="00064619">
        <w:rPr>
          <w:rFonts w:cs="Taher"/>
          <w:sz w:val="32"/>
          <w:vertAlign w:val="superscript"/>
          <w:rtl/>
        </w:rPr>
        <w:t>)</w:t>
      </w:r>
      <w:r w:rsidRPr="00EA09EB">
        <w:rPr>
          <w:rFonts w:hint="cs"/>
          <w:rtl/>
        </w:rPr>
        <w:t>، والزمخشريّ في «ربيع الأبرار»</w:t>
      </w:r>
      <w:r w:rsidRPr="00064619">
        <w:rPr>
          <w:rFonts w:cs="Taher"/>
          <w:sz w:val="32"/>
          <w:vertAlign w:val="superscript"/>
          <w:rtl/>
        </w:rPr>
        <w:t>(</w:t>
      </w:r>
      <w:r w:rsidRPr="00064619">
        <w:rPr>
          <w:rStyle w:val="FootnoteReference"/>
          <w:rFonts w:cs="Taher"/>
          <w:sz w:val="32"/>
          <w:rtl/>
        </w:rPr>
        <w:footnoteReference w:id="590"/>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الحديث الرابع</w:t>
      </w:r>
      <w:r w:rsidRPr="00EA09EB">
        <w:rPr>
          <w:rFonts w:hint="cs"/>
          <w:rtl/>
        </w:rPr>
        <w:t>: في «عوالي اللآلي»: قال النبيّ</w:t>
      </w:r>
      <w:r w:rsidRPr="00EA09EB">
        <w:rPr>
          <w:rFonts w:hint="cs"/>
          <w:rtl/>
        </w:rPr>
        <w:sym w:font="Roumouz" w:char="F02D"/>
      </w:r>
      <w:r w:rsidRPr="00EA09EB">
        <w:rPr>
          <w:rFonts w:hint="cs"/>
          <w:rtl/>
        </w:rPr>
        <w:t>: «علماء أمتي كأنبياء بني إسرائيل».</w:t>
      </w:r>
    </w:p>
    <w:p w:rsidR="00EA09EB" w:rsidRPr="00EA09EB" w:rsidRDefault="00EA09EB" w:rsidP="00EA09EB">
      <w:pPr>
        <w:rPr>
          <w:rtl/>
        </w:rPr>
      </w:pPr>
      <w:r w:rsidRPr="007A340E">
        <w:rPr>
          <w:rFonts w:hint="cs"/>
          <w:b/>
          <w:bCs/>
          <w:rtl/>
        </w:rPr>
        <w:t>الحديث الخامس</w:t>
      </w:r>
      <w:r w:rsidRPr="00EA09EB">
        <w:rPr>
          <w:rFonts w:hint="cs"/>
          <w:rtl/>
        </w:rPr>
        <w:t>: في «فقه الرضا</w:t>
      </w:r>
      <w:r>
        <w:rPr>
          <w:rFonts w:hint="cs"/>
          <w:rtl/>
        </w:rPr>
        <w:t>×</w:t>
      </w:r>
      <w:r w:rsidRPr="00EA09EB">
        <w:rPr>
          <w:rFonts w:hint="cs"/>
          <w:rtl/>
        </w:rPr>
        <w:t>»</w:t>
      </w:r>
      <w:r w:rsidRPr="00064619">
        <w:rPr>
          <w:rFonts w:cs="Taher"/>
          <w:sz w:val="32"/>
          <w:vertAlign w:val="superscript"/>
          <w:rtl/>
        </w:rPr>
        <w:t>(</w:t>
      </w:r>
      <w:r w:rsidRPr="00064619">
        <w:rPr>
          <w:rStyle w:val="FootnoteReference"/>
          <w:rFonts w:cs="Taher"/>
          <w:sz w:val="32"/>
          <w:rtl/>
        </w:rPr>
        <w:footnoteReference w:id="591"/>
      </w:r>
      <w:r w:rsidRPr="00064619">
        <w:rPr>
          <w:rFonts w:cs="Taher"/>
          <w:sz w:val="32"/>
          <w:vertAlign w:val="superscript"/>
          <w:rtl/>
        </w:rPr>
        <w:t>)</w:t>
      </w:r>
      <w:r w:rsidRPr="00EA09EB">
        <w:rPr>
          <w:rFonts w:hint="cs"/>
          <w:rtl/>
        </w:rPr>
        <w:t>: وروي أنه [العالم] قال: «منزلة الفقيه في هذا الوقت كمنزلة الأنبياء في بني إسرائيل»</w:t>
      </w:r>
      <w:r w:rsidRPr="00064619">
        <w:rPr>
          <w:rFonts w:cs="Taher"/>
          <w:sz w:val="32"/>
          <w:vertAlign w:val="superscript"/>
          <w:rtl/>
        </w:rPr>
        <w:t>(</w:t>
      </w:r>
      <w:r w:rsidRPr="00064619">
        <w:rPr>
          <w:rStyle w:val="FootnoteReference"/>
          <w:rFonts w:cs="Taher"/>
          <w:sz w:val="32"/>
          <w:rtl/>
        </w:rPr>
        <w:footnoteReference w:id="592"/>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b/>
          <w:bCs/>
          <w:rtl/>
          <w:lang w:bidi="ar-LB"/>
        </w:rPr>
        <w:t>الحديث السادس</w:t>
      </w:r>
      <w:r w:rsidRPr="00EA09EB">
        <w:rPr>
          <w:rFonts w:hint="cs"/>
          <w:rtl/>
        </w:rPr>
        <w:t>: في «جامع الأخبار»</w:t>
      </w:r>
      <w:r w:rsidRPr="00064619">
        <w:rPr>
          <w:rFonts w:cs="Taher"/>
          <w:vertAlign w:val="superscript"/>
          <w:rtl/>
          <w:lang w:bidi="ar-LB"/>
        </w:rPr>
        <w:t>(</w:t>
      </w:r>
      <w:r w:rsidRPr="00064619">
        <w:rPr>
          <w:rStyle w:val="FootnoteReference"/>
          <w:rFonts w:cs="Taher"/>
          <w:sz w:val="32"/>
          <w:rtl/>
          <w:lang w:bidi="ar-LB"/>
        </w:rPr>
        <w:footnoteReference w:id="593"/>
      </w:r>
      <w:r w:rsidRPr="00064619">
        <w:rPr>
          <w:rFonts w:cs="Taher"/>
          <w:vertAlign w:val="superscript"/>
          <w:rtl/>
          <w:lang w:bidi="ar-LB"/>
        </w:rPr>
        <w:t>)</w:t>
      </w:r>
      <w:r w:rsidRPr="00A32FC0">
        <w:rPr>
          <w:rFonts w:hint="cs"/>
          <w:rtl/>
          <w:lang w:bidi="ar-LB"/>
        </w:rPr>
        <w:t>: عن النبي</w:t>
      </w:r>
      <w:r w:rsidRPr="00A32FC0">
        <w:rPr>
          <w:rFonts w:hint="cs"/>
          <w:rtl/>
        </w:rPr>
        <w:sym w:font="Roumouz" w:char="F02D"/>
      </w:r>
      <w:r w:rsidRPr="00A32FC0">
        <w:rPr>
          <w:rFonts w:hint="cs"/>
          <w:rtl/>
          <w:lang w:bidi="ar-LB"/>
        </w:rPr>
        <w:t xml:space="preserve"> أنّه قال: «أفتخر يوم القيامة بعلماء أمّتي، فأقول: علماء أمّتي كسائر الأنبياء قبلي</w:t>
      </w:r>
      <w:r w:rsidRPr="00A32FC0">
        <w:rPr>
          <w:rFonts w:hint="cs"/>
          <w:rtl/>
        </w:rPr>
        <w:t>»</w:t>
      </w:r>
      <w:r w:rsidRPr="00A32FC0">
        <w:rPr>
          <w:rFonts w:hint="cs"/>
          <w:rtl/>
          <w:lang w:bidi="ar-LB"/>
        </w:rPr>
        <w:t>.</w:t>
      </w:r>
    </w:p>
    <w:p w:rsidR="00EA09EB" w:rsidRPr="00EA09EB" w:rsidRDefault="00EA09EB" w:rsidP="00EA09EB">
      <w:pPr>
        <w:rPr>
          <w:rtl/>
        </w:rPr>
      </w:pPr>
      <w:r w:rsidRPr="00A32FC0">
        <w:rPr>
          <w:rFonts w:hint="cs"/>
          <w:rtl/>
          <w:lang w:bidi="ar-LB"/>
        </w:rPr>
        <w:t>وقد استدل جمع من الفقهاء</w:t>
      </w:r>
      <w:r>
        <w:rPr>
          <w:rFonts w:hint="cs"/>
          <w:rtl/>
          <w:lang w:bidi="ar-LB"/>
        </w:rPr>
        <w:t>، ومنهم: المحقق النراقي، والسيد</w:t>
      </w:r>
      <w:r w:rsidRPr="00A32FC0">
        <w:rPr>
          <w:rFonts w:hint="cs"/>
          <w:rtl/>
          <w:lang w:bidi="ar-LB"/>
        </w:rPr>
        <w:t xml:space="preserve"> الخميني، على ولاية الفقيه على الناس بهذه المجموعة من الروايات</w:t>
      </w:r>
      <w:r w:rsidRPr="00064619">
        <w:rPr>
          <w:rFonts w:cs="Taher"/>
          <w:vertAlign w:val="superscript"/>
          <w:rtl/>
          <w:lang w:bidi="ar-LB"/>
        </w:rPr>
        <w:t>(</w:t>
      </w:r>
      <w:r w:rsidRPr="00064619">
        <w:rPr>
          <w:rStyle w:val="FootnoteReference"/>
          <w:rFonts w:cs="Taher"/>
          <w:sz w:val="32"/>
          <w:rtl/>
          <w:lang w:bidi="ar-LB"/>
        </w:rPr>
        <w:footnoteReference w:id="594"/>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وبغضّ النظر عن المباحث الفنّيّة، التي سوف نتعرَّض لها، فإنّ هذه المجموعة من الأحاديث تعدّ من أهمّ الأحاديث التي تبيّن أهمّيّة ومنزلة علماء الدين السامية. إنّه لشرف عظيم لعلماء الدين أن يكونوا ورثة للأنبياء.</w:t>
      </w:r>
    </w:p>
    <w:p w:rsidR="00EA09EB" w:rsidRPr="00A32FC0" w:rsidRDefault="00EA09EB" w:rsidP="00EA09EB">
      <w:pPr>
        <w:rPr>
          <w:rtl/>
          <w:lang w:bidi="ar-LB"/>
        </w:rPr>
      </w:pPr>
      <w:r w:rsidRPr="00A32FC0">
        <w:rPr>
          <w:rFonts w:hint="cs"/>
          <w:rtl/>
          <w:lang w:bidi="ar-LB"/>
        </w:rPr>
        <w:t xml:space="preserve">والاستدلال بهذه المجموعة من الروايات على الولاية التعيينيّة المطلقة للفقيه متوقِّف على صحّة جميع المقدمات التالية: </w:t>
      </w:r>
    </w:p>
    <w:p w:rsidR="00EA09EB" w:rsidRPr="00EA09EB" w:rsidRDefault="00EA09EB" w:rsidP="007A340E">
      <w:pPr>
        <w:ind w:firstLine="283"/>
        <w:rPr>
          <w:rtl/>
        </w:rPr>
      </w:pPr>
      <w:r w:rsidRPr="007A340E">
        <w:rPr>
          <w:rFonts w:hint="cs"/>
          <w:b/>
          <w:bCs/>
          <w:rtl/>
        </w:rPr>
        <w:t>الأولى</w:t>
      </w:r>
      <w:r w:rsidRPr="00EA09EB">
        <w:rPr>
          <w:rFonts w:hint="cs"/>
          <w:rtl/>
        </w:rPr>
        <w:t>: هذه الروايات مستفيضة. والروايتان الأولى والثانية منها صحيحة (صحيحة القدّاح؛ وصحيحة أبي البختري).</w:t>
      </w:r>
    </w:p>
    <w:p w:rsidR="00EA09EB" w:rsidRPr="00EA09EB" w:rsidRDefault="00EA09EB" w:rsidP="007A340E">
      <w:pPr>
        <w:ind w:firstLine="283"/>
        <w:rPr>
          <w:rtl/>
        </w:rPr>
      </w:pPr>
      <w:r w:rsidRPr="007A340E">
        <w:rPr>
          <w:rFonts w:hint="cs"/>
          <w:b/>
          <w:bCs/>
          <w:rtl/>
        </w:rPr>
        <w:t>الثانية</w:t>
      </w:r>
      <w:r w:rsidRPr="00EA09EB">
        <w:rPr>
          <w:rFonts w:hint="cs"/>
          <w:rtl/>
        </w:rPr>
        <w:t>: إنّ المراد من العلماء هو الأعمّ من الأئمّة</w:t>
      </w:r>
      <w:r w:rsidR="007A340E">
        <w:rPr>
          <w:rFonts w:hint="cs"/>
          <w:rtl/>
        </w:rPr>
        <w:t>^</w:t>
      </w:r>
      <w:r w:rsidRPr="00EA09EB">
        <w:rPr>
          <w:rFonts w:hint="cs"/>
          <w:rtl/>
        </w:rPr>
        <w:t>، وبالتالي يشمل علماء الدين في عصر الغيبة، أو أنّ المقصود غير الأئمّة</w:t>
      </w:r>
      <w:r w:rsidR="007A340E">
        <w:rPr>
          <w:rFonts w:hint="cs"/>
          <w:rtl/>
        </w:rPr>
        <w:t>^</w:t>
      </w:r>
      <w:r w:rsidRPr="00EA09EB">
        <w:rPr>
          <w:rFonts w:hint="cs"/>
          <w:rtl/>
        </w:rPr>
        <w:t xml:space="preserve"> فقط؛ بقرينة ذيل الحديث مثل: «مَنْ سلك طريقاً يطلب فيه علماً»، أو «فمَنْ أخذ بشيءٍ منها فقد أخذ حظّاً وافراً». وبعبارة أخرى: المراد من الوراثة هو الأعمّ من الوراثة بلا واسطة أو الوراثة مع الواسطة فقط. «والحديث نفسه يدلّ على أنّه ليس المراد منهم الأئمّة</w:t>
      </w:r>
      <w:r w:rsidR="007A340E">
        <w:rPr>
          <w:rFonts w:hint="cs"/>
          <w:rtl/>
        </w:rPr>
        <w:t>^</w:t>
      </w:r>
      <w:r w:rsidRPr="00EA09EB">
        <w:rPr>
          <w:rFonts w:hint="cs"/>
          <w:rtl/>
        </w:rPr>
        <w:t>؛ إذ إنّ نمط المناقب الواردة للأئمّة</w:t>
      </w:r>
      <w:r w:rsidR="007A340E">
        <w:rPr>
          <w:rFonts w:hint="cs"/>
          <w:rtl/>
        </w:rPr>
        <w:t>^</w:t>
      </w:r>
      <w:r w:rsidRPr="00EA09EB">
        <w:rPr>
          <w:rFonts w:hint="cs"/>
          <w:rtl/>
        </w:rPr>
        <w:t xml:space="preserve"> يختلف، فالقول بأنّ المراد هو أنّ الأئمة ورثة الأنبياء، وأنّ الناس يجب أن يأخذوا علمهم من الأئمّة، خلافٌ للظاهر. وكلّ مَنْ لاحظ الروايات الواردة حول الأئمة</w:t>
      </w:r>
      <w:r w:rsidR="007A340E">
        <w:rPr>
          <w:rFonts w:hint="cs"/>
          <w:rtl/>
        </w:rPr>
        <w:t>^</w:t>
      </w:r>
      <w:r w:rsidRPr="00EA09EB">
        <w:rPr>
          <w:rFonts w:hint="cs"/>
          <w:rtl/>
        </w:rPr>
        <w:t>، وعرف موقعهم عند رسول الله</w:t>
      </w:r>
      <w:r w:rsidRPr="00EA09EB">
        <w:rPr>
          <w:rFonts w:hint="cs"/>
          <w:rtl/>
        </w:rPr>
        <w:sym w:font="Roumouz" w:char="F02D"/>
      </w:r>
      <w:r w:rsidRPr="00EA09EB">
        <w:rPr>
          <w:rFonts w:hint="cs"/>
          <w:rtl/>
        </w:rPr>
        <w:t>، يلتفت إلى أنّه ليس المراد في هذه الرواية الأئمّة</w:t>
      </w:r>
      <w:r w:rsidR="007A340E">
        <w:rPr>
          <w:rFonts w:hint="cs"/>
          <w:rtl/>
        </w:rPr>
        <w:t>^</w:t>
      </w:r>
      <w:r w:rsidRPr="00EA09EB">
        <w:rPr>
          <w:rFonts w:hint="cs"/>
          <w:rtl/>
        </w:rPr>
        <w:t>، بل علماء الأمّة»</w:t>
      </w:r>
      <w:r w:rsidRPr="00064619">
        <w:rPr>
          <w:rFonts w:cs="Taher"/>
          <w:sz w:val="32"/>
          <w:vertAlign w:val="superscript"/>
          <w:rtl/>
        </w:rPr>
        <w:t>(</w:t>
      </w:r>
      <w:r w:rsidRPr="00064619">
        <w:rPr>
          <w:rStyle w:val="FootnoteReference"/>
          <w:rFonts w:cs="Taher"/>
          <w:sz w:val="32"/>
          <w:rtl/>
        </w:rPr>
        <w:footnoteReference w:id="595"/>
      </w:r>
      <w:r w:rsidRPr="00064619">
        <w:rPr>
          <w:rFonts w:cs="Taher"/>
          <w:sz w:val="32"/>
          <w:vertAlign w:val="superscript"/>
          <w:rtl/>
        </w:rPr>
        <w:t>)</w:t>
      </w:r>
      <w:r w:rsidRPr="00EA09EB">
        <w:rPr>
          <w:rFonts w:hint="cs"/>
          <w:rtl/>
        </w:rPr>
        <w:t>.</w:t>
      </w:r>
    </w:p>
    <w:p w:rsidR="00EA09EB" w:rsidRPr="00A32FC0" w:rsidRDefault="00EA09EB" w:rsidP="00887CCF">
      <w:pPr>
        <w:pStyle w:val="Normal93"/>
        <w:rPr>
          <w:rtl/>
        </w:rPr>
      </w:pPr>
      <w:r w:rsidRPr="00A32FC0">
        <w:rPr>
          <w:rFonts w:hint="cs"/>
          <w:b/>
          <w:bCs/>
          <w:rtl/>
        </w:rPr>
        <w:t>الثالثة</w:t>
      </w:r>
      <w:r w:rsidRPr="00A32FC0">
        <w:rPr>
          <w:rFonts w:hint="cs"/>
          <w:rtl/>
        </w:rPr>
        <w:t>: إن القدر المتيقَّن من العلماء الذين يرثون الأنبياء هو الفقهاء، فلا يعدّ القرّاء والمفسِّرون والمحدِّثون والمتكلِّمون والحكماء وعلماء الأخلاق و... ورثة للأنبياء.</w:t>
      </w:r>
    </w:p>
    <w:p w:rsidR="00EA09EB" w:rsidRPr="00EA09EB" w:rsidRDefault="00EA09EB" w:rsidP="00EA09EB">
      <w:pPr>
        <w:rPr>
          <w:rtl/>
        </w:rPr>
      </w:pPr>
      <w:r w:rsidRPr="00A32FC0">
        <w:rPr>
          <w:rFonts w:hint="cs"/>
          <w:rtl/>
        </w:rPr>
        <w:t>«</w:t>
      </w:r>
      <w:r w:rsidRPr="00A32FC0">
        <w:rPr>
          <w:rFonts w:hint="cs"/>
          <w:rtl/>
          <w:lang w:bidi="ar-LB"/>
        </w:rPr>
        <w:t>...ومع عدم القرينة يكون لفظ (العلماء) ظاهراً في الفقهاء، غير الأئمّة</w:t>
      </w:r>
      <w:r w:rsidR="007A340E">
        <w:rPr>
          <w:rFonts w:hint="cs"/>
          <w:rtl/>
        </w:rPr>
        <w:t>^</w:t>
      </w:r>
      <w:r w:rsidRPr="00A32FC0">
        <w:rPr>
          <w:rFonts w:hint="cs"/>
          <w:rtl/>
          <w:lang w:bidi="ar-LB"/>
        </w:rPr>
        <w:t>... وكيف كان فإنه لا شبهة في أنّ المراد بهم [العلماء] فقهاؤنا رضوان الله عليهم، وأعلى الله كلمتهم</w:t>
      </w:r>
      <w:r w:rsidRPr="00A32FC0">
        <w:rPr>
          <w:rFonts w:hint="cs"/>
          <w:rtl/>
        </w:rPr>
        <w:t>»</w:t>
      </w:r>
      <w:r w:rsidRPr="00064619">
        <w:rPr>
          <w:rFonts w:cs="Taher"/>
          <w:vertAlign w:val="superscript"/>
          <w:rtl/>
        </w:rPr>
        <w:t>(</w:t>
      </w:r>
      <w:r w:rsidRPr="00064619">
        <w:rPr>
          <w:rStyle w:val="FootnoteReference"/>
          <w:rFonts w:cs="Taher"/>
          <w:sz w:val="32"/>
          <w:rtl/>
        </w:rPr>
        <w:footnoteReference w:id="596"/>
      </w:r>
      <w:r w:rsidRPr="00064619">
        <w:rPr>
          <w:rFonts w:cs="Taher"/>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الرابعة</w:t>
      </w:r>
      <w:r w:rsidRPr="00EA09EB">
        <w:rPr>
          <w:rFonts w:hint="cs"/>
          <w:rtl/>
        </w:rPr>
        <w:t>: مع أنّ هناك فرقاً بين الرسول والنبيّ ـ فالنبيّ يرى رسول الوحي «جبرائيل» في المنام، ويسمع صوته، ولكنّ الرسول، بالإضافة إلى ذلك، يراه عياناً</w:t>
      </w:r>
      <w:r w:rsidRPr="00064619">
        <w:rPr>
          <w:rFonts w:cs="Taher"/>
          <w:sz w:val="32"/>
          <w:vertAlign w:val="superscript"/>
          <w:rtl/>
          <w:lang w:bidi="ar-LB"/>
        </w:rPr>
        <w:t>(</w:t>
      </w:r>
      <w:r w:rsidRPr="00064619">
        <w:rPr>
          <w:rStyle w:val="FootnoteReference"/>
          <w:rFonts w:cs="Taher"/>
          <w:sz w:val="32"/>
          <w:rtl/>
          <w:lang w:bidi="ar-LB"/>
        </w:rPr>
        <w:footnoteReference w:id="597"/>
      </w:r>
      <w:r w:rsidRPr="00064619">
        <w:rPr>
          <w:rFonts w:cs="Taher"/>
          <w:sz w:val="32"/>
          <w:vertAlign w:val="superscript"/>
          <w:rtl/>
          <w:lang w:bidi="ar-LB"/>
        </w:rPr>
        <w:t>)</w:t>
      </w:r>
      <w:r w:rsidRPr="00EA09EB">
        <w:rPr>
          <w:rFonts w:hint="cs"/>
          <w:rtl/>
        </w:rPr>
        <w:t xml:space="preserve"> ـ، مع هذا كلّه فإنه من حيث كون الميزان في فهم الروايات وظاهر الألفاظ هو العرف العامّ، لا التحليل العلميّ الدقيق، فإنّ العرف لا يرى فرقاً بين النبيّ والرسول</w:t>
      </w:r>
      <w:r w:rsidRPr="00064619">
        <w:rPr>
          <w:rFonts w:cs="Taher"/>
          <w:sz w:val="32"/>
          <w:vertAlign w:val="superscript"/>
          <w:rtl/>
          <w:lang w:bidi="ar-LB"/>
        </w:rPr>
        <w:t>(</w:t>
      </w:r>
      <w:r w:rsidRPr="00064619">
        <w:rPr>
          <w:rStyle w:val="FootnoteReference"/>
          <w:rFonts w:cs="Taher"/>
          <w:sz w:val="32"/>
          <w:rtl/>
          <w:lang w:bidi="ar-LB"/>
        </w:rPr>
        <w:footnoteReference w:id="598"/>
      </w:r>
      <w:r w:rsidRPr="00064619">
        <w:rPr>
          <w:rFonts w:cs="Taher"/>
          <w:sz w:val="32"/>
          <w:vertAlign w:val="superscript"/>
          <w:rtl/>
          <w:lang w:bidi="ar-LB"/>
        </w:rPr>
        <w:t>)</w:t>
      </w:r>
      <w:r w:rsidRPr="00EA09EB">
        <w:rPr>
          <w:rFonts w:hint="cs"/>
          <w:rtl/>
        </w:rPr>
        <w:t>. بالإضافة إلى أنّ المراد من الآية الشريفة: ﴿</w:t>
      </w:r>
      <w:r w:rsidRPr="007A340E">
        <w:rPr>
          <w:b/>
          <w:bCs/>
          <w:rtl/>
        </w:rPr>
        <w:t>النَّبِيُّ أَوْلَى بِالْمُؤْمِنِينَ مِنْ أَنْفُسِهِمْ</w:t>
      </w:r>
      <w:r w:rsidRPr="00EA09EB">
        <w:rPr>
          <w:rFonts w:hint="cs"/>
          <w:rtl/>
        </w:rPr>
        <w:t>﴾(الأحزاب: 6) هو هذا المعنى المتعارف للنبيّ.</w:t>
      </w:r>
    </w:p>
    <w:p w:rsidR="00EA09EB" w:rsidRPr="00EA09EB" w:rsidRDefault="00EA09EB" w:rsidP="007A340E">
      <w:pPr>
        <w:ind w:firstLine="283"/>
        <w:rPr>
          <w:rtl/>
        </w:rPr>
      </w:pPr>
      <w:r w:rsidRPr="007A340E">
        <w:rPr>
          <w:rFonts w:hint="cs"/>
          <w:b/>
          <w:bCs/>
          <w:rtl/>
        </w:rPr>
        <w:t>الخامسة</w:t>
      </w:r>
      <w:r w:rsidRPr="00EA09EB">
        <w:rPr>
          <w:rFonts w:hint="cs"/>
          <w:rtl/>
        </w:rPr>
        <w:t>: مع العلم بأنّ حيثيّة النبوّة تختلف عن حيثيّة الولاية، إلا أنّ عبارة «العلماء ورثة الأنبياء» ليست وصفاً عنوانيّاً للأنبياء، حتّى لا تشمل الولاية. ولكنّ الفهم العرفيّ لهذه العبارة يرى أنّ المراد من الأنبياء هنا هو «العنوان المشير» إلى أفراد أنبياءٍ، كموسى وعيسى ومحمّد</w:t>
      </w:r>
      <w:r w:rsidRPr="00EA09EB">
        <w:rPr>
          <w:rFonts w:hint="cs"/>
          <w:rtl/>
        </w:rPr>
        <w:sym w:font="Roumouz" w:char="F02D"/>
      </w:r>
      <w:r w:rsidRPr="00EA09EB">
        <w:rPr>
          <w:rFonts w:hint="cs"/>
          <w:rtl/>
        </w:rPr>
        <w:t>، لا إلى عنوان النبوّة العامّ. ومن الواضح أن إحدى وظائف الأنبياء المذكورين هي الولاية التدبيريّة العامّة على الناس</w:t>
      </w:r>
      <w:r w:rsidRPr="00064619">
        <w:rPr>
          <w:rFonts w:cs="Taher"/>
          <w:sz w:val="32"/>
          <w:vertAlign w:val="superscript"/>
          <w:rtl/>
          <w:lang w:bidi="ar-LB"/>
        </w:rPr>
        <w:t>(</w:t>
      </w:r>
      <w:r w:rsidRPr="00064619">
        <w:rPr>
          <w:rStyle w:val="FootnoteReference"/>
          <w:rFonts w:cs="Taher"/>
          <w:sz w:val="32"/>
          <w:rtl/>
          <w:lang w:bidi="ar-LB"/>
        </w:rPr>
        <w:footnoteReference w:id="599"/>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السادسة</w:t>
      </w:r>
      <w:r w:rsidRPr="00EA09EB">
        <w:rPr>
          <w:rFonts w:hint="cs"/>
          <w:rtl/>
        </w:rPr>
        <w:t>: إن الولاية هي من الأمور الجعليّة الاعتباريّة. وهي، مثل: الملكية العرفيّة وسائر المناصب العقلائية، تقبل الانتقال والتوريث. وعلى هذا الأساس فلا شكّ في أنّ الولاية قابلة للنقل، كما هو الحال في النظام المَلَكيّ الجائر الذي يورَّث فيه مقام الملك جيلاً بعد جيل. وعبارة «أرى تراثي نهباً» في «نهج البلاغة» شاهدٌ على هذا الأمر</w:t>
      </w:r>
      <w:r w:rsidRPr="00064619">
        <w:rPr>
          <w:rFonts w:cs="Taher"/>
          <w:sz w:val="32"/>
          <w:vertAlign w:val="superscript"/>
          <w:rtl/>
          <w:lang w:bidi="ar-LB"/>
        </w:rPr>
        <w:t>(</w:t>
      </w:r>
      <w:r w:rsidRPr="00064619">
        <w:rPr>
          <w:rStyle w:val="FootnoteReference"/>
          <w:rFonts w:cs="Taher"/>
          <w:sz w:val="32"/>
          <w:rtl/>
          <w:lang w:bidi="ar-LB"/>
        </w:rPr>
        <w:footnoteReference w:id="600"/>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السابعة</w:t>
      </w:r>
      <w:r w:rsidRPr="00EA09EB">
        <w:rPr>
          <w:rFonts w:hint="cs"/>
          <w:rtl/>
        </w:rPr>
        <w:t>: إنّ وراثة الأنبياء لها إطلاق يشمل ولايتهم. ولا يوجد في هذه الروايات عبارة تصلح لتقييد هذا الإطلاق، حتى ينحصر إرث الأنبياء بالعلم والرواية. وأما الحصر في عبارة «الأنبياء لم يورّثوا درهماً ولا ديناراً، ولكن ورّثوا العلم» فهو حصرٌ إضافيّ، لا حقيقيّ؛ لأن هناك جهات متعدِّدة أخرى غير العلم كانت ثابتة للرسول</w:t>
      </w:r>
      <w:r w:rsidRPr="00EA09EB">
        <w:rPr>
          <w:rFonts w:hint="cs"/>
          <w:rtl/>
        </w:rPr>
        <w:sym w:font="Roumouz" w:char="F02D"/>
      </w:r>
      <w:r w:rsidRPr="00EA09EB">
        <w:rPr>
          <w:rFonts w:hint="cs"/>
          <w:rtl/>
        </w:rPr>
        <w:t>، وورثها عنه الأئمّة</w:t>
      </w:r>
      <w:r w:rsidR="007A340E">
        <w:rPr>
          <w:rFonts w:hint="cs"/>
          <w:rtl/>
        </w:rPr>
        <w:t>^</w:t>
      </w:r>
      <w:r w:rsidRPr="00064619">
        <w:rPr>
          <w:rFonts w:cs="Taher"/>
          <w:sz w:val="32"/>
          <w:vertAlign w:val="superscript"/>
          <w:rtl/>
          <w:lang w:bidi="ar-LB"/>
        </w:rPr>
        <w:t>(</w:t>
      </w:r>
      <w:r w:rsidRPr="00064619">
        <w:rPr>
          <w:rStyle w:val="FootnoteReference"/>
          <w:rFonts w:cs="Taher"/>
          <w:sz w:val="32"/>
          <w:rtl/>
          <w:lang w:bidi="ar-LB"/>
        </w:rPr>
        <w:footnoteReference w:id="601"/>
      </w:r>
      <w:r w:rsidRPr="00064619">
        <w:rPr>
          <w:rFonts w:cs="Taher"/>
          <w:sz w:val="32"/>
          <w:vertAlign w:val="superscript"/>
          <w:rtl/>
          <w:lang w:bidi="ar-LB"/>
        </w:rPr>
        <w:t>)</w:t>
      </w:r>
      <w:r w:rsidRPr="00EA09EB">
        <w:rPr>
          <w:rFonts w:hint="cs"/>
          <w:rtl/>
        </w:rPr>
        <w:t>.</w:t>
      </w:r>
    </w:p>
    <w:p w:rsidR="00EA09EB" w:rsidRPr="00EA09EB" w:rsidRDefault="00EA09EB" w:rsidP="00887CCF">
      <w:pPr>
        <w:pStyle w:val="Normal87"/>
        <w:rPr>
          <w:rtl/>
        </w:rPr>
      </w:pPr>
      <w:r w:rsidRPr="007A340E">
        <w:rPr>
          <w:rFonts w:hint="cs"/>
          <w:b/>
          <w:bCs/>
          <w:rtl/>
        </w:rPr>
        <w:t>الثامنة</w:t>
      </w:r>
      <w:r w:rsidRPr="00EA09EB">
        <w:rPr>
          <w:rFonts w:hint="cs"/>
          <w:rtl/>
        </w:rPr>
        <w:t>: إنّ عبارة «إنّ العلماء ورثة الأنبياء» إنشائيّة. وهناك ملازمة بينها وبين تعيين الفقهاء لمنصب الولاية. «كما أنه جعل الأئمة</w:t>
      </w:r>
      <w:r w:rsidR="007A340E">
        <w:rPr>
          <w:rFonts w:hint="cs"/>
          <w:rtl/>
        </w:rPr>
        <w:t>^</w:t>
      </w:r>
      <w:r w:rsidRPr="00EA09EB">
        <w:rPr>
          <w:rFonts w:hint="cs"/>
          <w:rtl/>
        </w:rPr>
        <w:t xml:space="preserve"> خلفاء، ونصّبهم للخلافة على الخلق أجمعين، وجعل الفقهاء خلفاء، ونصّبهم للخلافة الجزئيّة، والفرق بينهم</w:t>
      </w:r>
      <w:r w:rsidR="007A340E">
        <w:rPr>
          <w:rFonts w:hint="cs"/>
          <w:rtl/>
        </w:rPr>
        <w:t>^</w:t>
      </w:r>
      <w:r w:rsidRPr="00EA09EB">
        <w:rPr>
          <w:rFonts w:hint="cs"/>
          <w:rtl/>
        </w:rPr>
        <w:t xml:space="preserve"> وبين الفقهاء في هذه الجهة هو الفرق بين السلطان وبين الأمراء المنصَّبين من قبله في الأمصار»</w:t>
      </w:r>
      <w:r w:rsidRPr="00064619">
        <w:rPr>
          <w:rFonts w:cs="Taher"/>
          <w:sz w:val="32"/>
          <w:vertAlign w:val="superscript"/>
          <w:rtl/>
        </w:rPr>
        <w:t>(</w:t>
      </w:r>
      <w:r w:rsidRPr="00064619">
        <w:rPr>
          <w:rStyle w:val="FootnoteReference"/>
          <w:rFonts w:cs="Taher"/>
          <w:sz w:val="32"/>
          <w:rtl/>
        </w:rPr>
        <w:footnoteReference w:id="602"/>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b/>
          <w:bCs/>
          <w:rtl/>
          <w:lang w:bidi="ar-LB"/>
        </w:rPr>
        <w:t>التاسعة</w:t>
      </w:r>
      <w:r w:rsidRPr="00A32FC0">
        <w:rPr>
          <w:rFonts w:hint="cs"/>
          <w:rtl/>
          <w:lang w:bidi="ar-LB"/>
        </w:rPr>
        <w:t>: إن لوراثة الأنبياء إطلاقاً من حيثية أخرى. لذلك لا يمكن تقييدها بمورد خاصّ. فالولاية المطلقة الثابتة للرسول</w:t>
      </w:r>
      <w:r w:rsidRPr="00A32FC0">
        <w:rPr>
          <w:rFonts w:hint="cs"/>
          <w:rtl/>
        </w:rPr>
        <w:sym w:font="Roumouz" w:char="F02D"/>
      </w:r>
      <w:r w:rsidRPr="00A32FC0">
        <w:rPr>
          <w:rFonts w:hint="cs"/>
          <w:rtl/>
          <w:lang w:bidi="ar-LB"/>
        </w:rPr>
        <w:t xml:space="preserve"> هي التي ورثها الفقهاء. فهي ثابتة لهم أيضاً. وعلى هذا الأساس تثبت الولاية المطلقة بهذا الحديث.</w:t>
      </w:r>
    </w:p>
    <w:p w:rsidR="00EA09EB" w:rsidRPr="00A32FC0" w:rsidRDefault="00EA09EB" w:rsidP="00887CCF">
      <w:pPr>
        <w:pStyle w:val="Normal87"/>
        <w:rPr>
          <w:rtl/>
        </w:rPr>
      </w:pPr>
      <w:r w:rsidRPr="00A32FC0">
        <w:rPr>
          <w:rFonts w:hint="cs"/>
          <w:rtl/>
        </w:rPr>
        <w:t>إن هذه المجموعة من الروايات كانت محلّ بحث ونقد ومناقشة جمع كبير من الفقهاء، من حيث دلالتها على الولاية التعيينيّة المطلقة للفقيه</w:t>
      </w:r>
      <w:r w:rsidRPr="00064619">
        <w:rPr>
          <w:rFonts w:cs="Taher"/>
          <w:vertAlign w:val="superscript"/>
          <w:rtl/>
        </w:rPr>
        <w:t>(</w:t>
      </w:r>
      <w:r w:rsidRPr="00064619">
        <w:rPr>
          <w:rStyle w:val="FootnoteReference"/>
          <w:rFonts w:cs="Taher"/>
          <w:sz w:val="32"/>
          <w:rtl/>
        </w:rPr>
        <w:footnoteReference w:id="603"/>
      </w:r>
      <w:r w:rsidRPr="00064619">
        <w:rPr>
          <w:rFonts w:cs="Taher"/>
          <w:vertAlign w:val="superscript"/>
          <w:rtl/>
        </w:rPr>
        <w:t>)</w:t>
      </w:r>
      <w:r w:rsidRPr="00A32FC0">
        <w:rPr>
          <w:rFonts w:hint="cs"/>
          <w:rtl/>
        </w:rPr>
        <w:t>. والإشكالات الواردة على كلّ واحدة من هذه المقدّمات هي كالتالي:</w:t>
      </w:r>
    </w:p>
    <w:p w:rsidR="00EA09EB" w:rsidRPr="00A32FC0" w:rsidRDefault="00EA09EB" w:rsidP="00887CCF">
      <w:pPr>
        <w:pStyle w:val="Normal87"/>
        <w:rPr>
          <w:rtl/>
        </w:rPr>
      </w:pPr>
      <w:r w:rsidRPr="00A32FC0">
        <w:rPr>
          <w:rFonts w:hint="cs"/>
          <w:rtl/>
        </w:rPr>
        <w:t>أمّا المقدّمة الأولى (سند الروايات) فعلى الرغم من استفاضة مضمون هذه الروايات، إلاّ أنّنا نجد أنّ السند الوحيد الصحيح هو سند الكلينيّ في الرواية الأولى، أي إنه من الناحية السندية فإنّ رواية عبد الله بن ميمون القدّاح، عن الإمام الصادق</w:t>
      </w:r>
      <w:r>
        <w:rPr>
          <w:rFonts w:hint="cs"/>
          <w:rtl/>
        </w:rPr>
        <w:t>×،</w:t>
      </w:r>
      <w:r w:rsidRPr="00A32FC0">
        <w:rPr>
          <w:rFonts w:hint="cs"/>
          <w:rtl/>
        </w:rPr>
        <w:t xml:space="preserve"> بسند كتاب «الكافي» صحيحة</w:t>
      </w:r>
      <w:r w:rsidRPr="00064619">
        <w:rPr>
          <w:rFonts w:cs="Taher"/>
          <w:vertAlign w:val="superscript"/>
          <w:rtl/>
        </w:rPr>
        <w:t>(</w:t>
      </w:r>
      <w:r w:rsidRPr="00064619">
        <w:rPr>
          <w:rStyle w:val="FootnoteReference"/>
          <w:rFonts w:cs="Taher"/>
          <w:sz w:val="32"/>
          <w:rtl/>
        </w:rPr>
        <w:footnoteReference w:id="604"/>
      </w:r>
      <w:r w:rsidRPr="00064619">
        <w:rPr>
          <w:rFonts w:cs="Taher"/>
          <w:vertAlign w:val="superscript"/>
          <w:rtl/>
        </w:rPr>
        <w:t>)</w:t>
      </w:r>
      <w:r w:rsidRPr="00A32FC0">
        <w:rPr>
          <w:rFonts w:hint="cs"/>
          <w:rtl/>
        </w:rPr>
        <w:t xml:space="preserve">. وأمّا الطرق السندية الأخرى للرواية الأولى فهي ضعيفة. </w:t>
      </w:r>
    </w:p>
    <w:p w:rsidR="00EA09EB" w:rsidRPr="00EA09EB" w:rsidRDefault="00EA09EB" w:rsidP="00EA09EB">
      <w:pPr>
        <w:rPr>
          <w:rtl/>
        </w:rPr>
      </w:pPr>
      <w:r w:rsidRPr="00A32FC0">
        <w:rPr>
          <w:rFonts w:hint="cs"/>
          <w:rtl/>
          <w:lang w:bidi="ar-LB"/>
        </w:rPr>
        <w:t>وأمّا سند الرواية الثانية (أبو البختريّ) فإنّ طريقها من الكليني إلى أبي البختري صحيح، إلاّ أنّ المشكلة الأساسيّة في جميع طرق هذا الحديث تكمن في أبي البختري، الذي ضُعِّف</w:t>
      </w:r>
      <w:r w:rsidRPr="00064619">
        <w:rPr>
          <w:rFonts w:cs="Taher"/>
          <w:vertAlign w:val="superscript"/>
          <w:rtl/>
          <w:lang w:bidi="ar-LB"/>
        </w:rPr>
        <w:t>(</w:t>
      </w:r>
      <w:r w:rsidRPr="00064619">
        <w:rPr>
          <w:rStyle w:val="FootnoteReference"/>
          <w:rFonts w:cs="Taher"/>
          <w:sz w:val="32"/>
          <w:rtl/>
          <w:lang w:bidi="ar-LB"/>
        </w:rPr>
        <w:footnoteReference w:id="605"/>
      </w:r>
      <w:r w:rsidRPr="00064619">
        <w:rPr>
          <w:rFonts w:cs="Taher"/>
          <w:vertAlign w:val="superscript"/>
          <w:rtl/>
          <w:lang w:bidi="ar-LB"/>
        </w:rPr>
        <w:t>)</w:t>
      </w:r>
      <w:r w:rsidRPr="00EA09EB">
        <w:rPr>
          <w:rFonts w:hint="cs"/>
          <w:rtl/>
        </w:rPr>
        <w:t>. ونَقْلُ أحمد بن محمد بن عيسى والكلينيّ للرواية لا يوجب الوثوق بصدورها. ولذلك فإن الرواية الثانية بجميع أسانيدها ضعيفة</w:t>
      </w:r>
      <w:r w:rsidRPr="00064619">
        <w:rPr>
          <w:rFonts w:cs="Taher"/>
          <w:vertAlign w:val="superscript"/>
          <w:rtl/>
          <w:lang w:bidi="ar-LB"/>
        </w:rPr>
        <w:t>(</w:t>
      </w:r>
      <w:r w:rsidRPr="00064619">
        <w:rPr>
          <w:rStyle w:val="FootnoteReference"/>
          <w:rFonts w:cs="Taher"/>
          <w:sz w:val="32"/>
          <w:rtl/>
          <w:lang w:bidi="ar-LB"/>
        </w:rPr>
        <w:footnoteReference w:id="606"/>
      </w:r>
      <w:r w:rsidRPr="00064619">
        <w:rPr>
          <w:rFonts w:cs="Taher"/>
          <w:vertAlign w:val="superscript"/>
          <w:rtl/>
          <w:lang w:bidi="ar-LB"/>
        </w:rPr>
        <w:t>)</w:t>
      </w:r>
      <w:r w:rsidRPr="00EA09EB">
        <w:rPr>
          <w:rFonts w:hint="cs"/>
          <w:rtl/>
        </w:rPr>
        <w:t xml:space="preserve">. </w:t>
      </w:r>
    </w:p>
    <w:p w:rsidR="00EA09EB" w:rsidRPr="00A32FC0" w:rsidRDefault="00EA09EB" w:rsidP="00EA09EB">
      <w:pPr>
        <w:rPr>
          <w:rtl/>
          <w:lang w:bidi="ar-LB"/>
        </w:rPr>
      </w:pPr>
      <w:r w:rsidRPr="00A32FC0">
        <w:rPr>
          <w:rFonts w:hint="cs"/>
          <w:rtl/>
          <w:lang w:bidi="ar-LB"/>
        </w:rPr>
        <w:t>وأما الروايات الأربع الأخرى (في نهج البلاغة، والعوالي، وفقه الرضا، وجامع الأخبار) فلا سند لها أصلاً. فهي غير معتبرة طبقاً للضوابط الفقهيّة.</w:t>
      </w:r>
    </w:p>
    <w:p w:rsidR="00EA09EB" w:rsidRPr="00A32FC0" w:rsidRDefault="00EA09EB" w:rsidP="00EA09EB">
      <w:pPr>
        <w:rPr>
          <w:rtl/>
          <w:lang w:bidi="ar-LB"/>
        </w:rPr>
      </w:pPr>
      <w:r w:rsidRPr="00A32FC0">
        <w:rPr>
          <w:rFonts w:hint="cs"/>
          <w:rtl/>
          <w:lang w:bidi="ar-LB"/>
        </w:rPr>
        <w:t>وعلى هذا الأساس فإنّ الرواية الوحيدة المعتبرة في هذه المجموعة من الروايات هي صحيحة القدّاح؛ وأما الروايات الأخرى فلا يمكن أن تكون إلاّ مؤيِّداً لا أكثر.</w:t>
      </w:r>
    </w:p>
    <w:p w:rsidR="00EA09EB" w:rsidRPr="00EA09EB" w:rsidRDefault="00EA09EB" w:rsidP="00887CCF">
      <w:pPr>
        <w:pStyle w:val="Normal87"/>
        <w:rPr>
          <w:rtl/>
        </w:rPr>
      </w:pPr>
      <w:r w:rsidRPr="00EA09EB">
        <w:rPr>
          <w:rFonts w:hint="cs"/>
          <w:rtl/>
        </w:rPr>
        <w:t xml:space="preserve">وأمّا المقدّمة الثانية </w:t>
      </w:r>
      <w:r w:rsidRPr="007A340E">
        <w:rPr>
          <w:rFonts w:hint="cs"/>
          <w:b/>
          <w:bCs/>
          <w:rtl/>
        </w:rPr>
        <w:t>فأولاً</w:t>
      </w:r>
      <w:r w:rsidRPr="00EA09EB">
        <w:rPr>
          <w:rFonts w:hint="cs"/>
          <w:rtl/>
        </w:rPr>
        <w:t>: إنّ احتمال إرادة الأئمة</w:t>
      </w:r>
      <w:r w:rsidR="007A340E">
        <w:rPr>
          <w:rFonts w:hint="cs"/>
          <w:rtl/>
        </w:rPr>
        <w:t>^</w:t>
      </w:r>
      <w:r w:rsidRPr="00EA09EB">
        <w:rPr>
          <w:rFonts w:hint="cs"/>
          <w:rtl/>
        </w:rPr>
        <w:t xml:space="preserve"> في هذه الرواية قويٌّ جدّاً؛ لأن كثيراً من الروايات تحدَّثت عن الأئمّة</w:t>
      </w:r>
      <w:r w:rsidR="007A340E">
        <w:rPr>
          <w:rFonts w:hint="cs"/>
          <w:rtl/>
        </w:rPr>
        <w:t>^</w:t>
      </w:r>
      <w:r w:rsidRPr="00EA09EB">
        <w:rPr>
          <w:rFonts w:hint="cs"/>
          <w:rtl/>
        </w:rPr>
        <w:t xml:space="preserve"> بلفظ العلماء. وعلى سبيل المثال: «نحن العلماء، وشيعتنا المتعلِّمون، وسائر الناس غثاء»</w:t>
      </w:r>
      <w:r w:rsidRPr="00064619">
        <w:rPr>
          <w:rFonts w:cs="Taher"/>
          <w:sz w:val="32"/>
          <w:vertAlign w:val="superscript"/>
          <w:rtl/>
        </w:rPr>
        <w:t>(</w:t>
      </w:r>
      <w:r w:rsidRPr="00064619">
        <w:rPr>
          <w:rStyle w:val="FootnoteReference"/>
          <w:rFonts w:cs="Taher"/>
          <w:sz w:val="32"/>
          <w:rtl/>
        </w:rPr>
        <w:footnoteReference w:id="607"/>
      </w:r>
      <w:r w:rsidRPr="00064619">
        <w:rPr>
          <w:rFonts w:cs="Taher"/>
          <w:sz w:val="32"/>
          <w:vertAlign w:val="superscript"/>
          <w:rtl/>
        </w:rPr>
        <w:t>)</w:t>
      </w:r>
      <w:r w:rsidRPr="00EA09EB">
        <w:rPr>
          <w:rFonts w:hint="cs"/>
          <w:rtl/>
        </w:rPr>
        <w:t xml:space="preserve">. </w:t>
      </w:r>
    </w:p>
    <w:p w:rsidR="00EA09EB" w:rsidRPr="00EA09EB" w:rsidRDefault="00EA09EB" w:rsidP="007A340E">
      <w:pPr>
        <w:ind w:firstLine="283"/>
        <w:rPr>
          <w:rtl/>
        </w:rPr>
      </w:pPr>
      <w:r w:rsidRPr="007A340E">
        <w:rPr>
          <w:rFonts w:hint="cs"/>
          <w:b/>
          <w:bCs/>
          <w:rtl/>
        </w:rPr>
        <w:t>وثانياً</w:t>
      </w:r>
      <w:r w:rsidRPr="00EA09EB">
        <w:rPr>
          <w:rFonts w:hint="cs"/>
          <w:rtl/>
        </w:rPr>
        <w:t>: إذا كان المراد من العلماء الأعمّ فعندها وجب أن يكون استعمال لفظ الورثة مجازاً؛ لأن العلماء هم ورثة الأوصياء «الأئمّة</w:t>
      </w:r>
      <w:r w:rsidR="007A340E">
        <w:rPr>
          <w:rFonts w:hint="cs"/>
          <w:rtl/>
        </w:rPr>
        <w:t>^</w:t>
      </w:r>
      <w:r w:rsidRPr="00EA09EB">
        <w:rPr>
          <w:rFonts w:hint="cs"/>
          <w:rtl/>
        </w:rPr>
        <w:t xml:space="preserve">»، والأوصياء ورثة الأنبياء، وإطلاق ورثة الأنبياء على وارث بالواسطة مجاز. ومن الواضح أن تخصيص العلماء بالأئمة </w:t>
      </w:r>
      <w:r w:rsidRPr="00EA09EB">
        <w:rPr>
          <w:rtl/>
        </w:rPr>
        <w:t>ـ</w:t>
      </w:r>
      <w:r w:rsidRPr="00EA09EB">
        <w:rPr>
          <w:rFonts w:hint="cs"/>
          <w:rtl/>
        </w:rPr>
        <w:t xml:space="preserve"> في حال عدم قبول هذا الجواب </w:t>
      </w:r>
      <w:r w:rsidRPr="00EA09EB">
        <w:rPr>
          <w:rtl/>
        </w:rPr>
        <w:t>ـ</w:t>
      </w:r>
      <w:r w:rsidRPr="00EA09EB">
        <w:rPr>
          <w:rFonts w:hint="cs"/>
          <w:rtl/>
        </w:rPr>
        <w:t xml:space="preserve"> أَوْلى من الحمل على المجاز، إذا دار الأمر بين المجاز والتخصيص</w:t>
      </w:r>
      <w:r w:rsidRPr="00064619">
        <w:rPr>
          <w:rFonts w:cs="Taher"/>
          <w:sz w:val="32"/>
          <w:vertAlign w:val="superscript"/>
          <w:rtl/>
          <w:lang w:bidi="ar-LB"/>
        </w:rPr>
        <w:t>(</w:t>
      </w:r>
      <w:r w:rsidRPr="00064619">
        <w:rPr>
          <w:rStyle w:val="FootnoteReference"/>
          <w:rFonts w:cs="Taher"/>
          <w:sz w:val="32"/>
          <w:rtl/>
          <w:lang w:bidi="ar-LB"/>
        </w:rPr>
        <w:footnoteReference w:id="608"/>
      </w:r>
      <w:r w:rsidRPr="00064619">
        <w:rPr>
          <w:rFonts w:cs="Taher"/>
          <w:sz w:val="32"/>
          <w:vertAlign w:val="superscript"/>
          <w:rtl/>
          <w:lang w:bidi="ar-LB"/>
        </w:rPr>
        <w:t>)</w:t>
      </w:r>
      <w:r w:rsidRPr="00EA09EB">
        <w:rPr>
          <w:rFonts w:hint="cs"/>
          <w:rtl/>
        </w:rPr>
        <w:t xml:space="preserve">. </w:t>
      </w:r>
    </w:p>
    <w:p w:rsidR="00EA09EB" w:rsidRPr="00A32FC0" w:rsidRDefault="00EA09EB" w:rsidP="00EA09EB">
      <w:pPr>
        <w:rPr>
          <w:rtl/>
          <w:lang w:bidi="ar-LB"/>
        </w:rPr>
      </w:pPr>
      <w:r w:rsidRPr="00A32FC0">
        <w:rPr>
          <w:rFonts w:hint="cs"/>
          <w:rtl/>
          <w:lang w:bidi="ar-LB"/>
        </w:rPr>
        <w:t>فهاتان اللفظتان اللتان أوردناهما تضعّفان القرائن المشيرة إلى أنّ المراد من العلماء هو غير الأئمّة</w:t>
      </w:r>
      <w:r w:rsidR="007A340E">
        <w:rPr>
          <w:rFonts w:hint="cs"/>
          <w:rtl/>
        </w:rPr>
        <w:t>^</w:t>
      </w:r>
      <w:r w:rsidRPr="00A32FC0">
        <w:rPr>
          <w:rFonts w:hint="cs"/>
          <w:rtl/>
          <w:lang w:bidi="ar-LB"/>
        </w:rPr>
        <w:t>.</w:t>
      </w:r>
    </w:p>
    <w:p w:rsidR="00EA09EB" w:rsidRPr="00EA09EB" w:rsidRDefault="00EA09EB" w:rsidP="00887CCF">
      <w:pPr>
        <w:pStyle w:val="Normal93"/>
        <w:rPr>
          <w:rtl/>
        </w:rPr>
      </w:pPr>
      <w:r w:rsidRPr="00EA09EB">
        <w:rPr>
          <w:rFonts w:hint="cs"/>
          <w:rtl/>
        </w:rPr>
        <w:t>وأمّا المقدّمة الثالثة فغير تامّة أيضاً؛ لأن الفقهاء وإنْ كانوا علماء الأمّة، إلاّ أنّ انحصار وراثة الأنبياء بالفقهاء لا دليل عليه. فالفقهاء ليسوا القدر المتيقَّن من علماء الأمّة، ولفظ «علماء الأمّة» غير منصرِف إلى الفقهاء. كما أنه ليس ظاهراً فيهم؛ فإنّه ليس بعيداً عن الفقهاء أن يعتبروا كلمة «العلماء» منحصرة فيهم. كما أن العرفاء يعدّون العرفان الفقه الأكبر وأشرف العلوم، وكذلك الحكماء يفسِّرون «الراسخون في العلم» بأنفسهم، وهكذا ﴿</w:t>
      </w:r>
      <w:r w:rsidRPr="007A340E">
        <w:rPr>
          <w:b/>
          <w:bCs/>
          <w:rtl/>
        </w:rPr>
        <w:t>كُلُّ حِزْبٍ بِمَا لَدَيْهِمْ فَرِحُونَ</w:t>
      </w:r>
      <w:r w:rsidRPr="00EA09EB">
        <w:rPr>
          <w:rFonts w:hint="cs"/>
          <w:rtl/>
        </w:rPr>
        <w:t>﴾</w:t>
      </w:r>
      <w:r w:rsidRPr="00064619">
        <w:rPr>
          <w:rFonts w:cs="Taher"/>
          <w:sz w:val="32"/>
          <w:vertAlign w:val="superscript"/>
          <w:rtl/>
        </w:rPr>
        <w:t>(</w:t>
      </w:r>
      <w:r w:rsidRPr="00064619">
        <w:rPr>
          <w:rStyle w:val="FootnoteReference"/>
          <w:rFonts w:cs="Taher"/>
          <w:sz w:val="32"/>
          <w:rtl/>
        </w:rPr>
        <w:footnoteReference w:id="609"/>
      </w:r>
      <w:r w:rsidRPr="00064619">
        <w:rPr>
          <w:rFonts w:cs="Taher"/>
          <w:sz w:val="32"/>
          <w:vertAlign w:val="superscript"/>
          <w:rtl/>
        </w:rPr>
        <w:t>)</w:t>
      </w:r>
      <w:r w:rsidRPr="00EA09EB">
        <w:rPr>
          <w:rFonts w:hint="cs"/>
          <w:rtl/>
        </w:rPr>
        <w:t>. فعلماء الدين هم العلماء المتَّقون</w:t>
      </w:r>
      <w:r w:rsidRPr="00064619">
        <w:rPr>
          <w:rFonts w:cs="Taher"/>
          <w:sz w:val="32"/>
          <w:vertAlign w:val="superscript"/>
          <w:rtl/>
        </w:rPr>
        <w:t>(</w:t>
      </w:r>
      <w:r w:rsidRPr="00064619">
        <w:rPr>
          <w:rStyle w:val="FootnoteReference"/>
          <w:rFonts w:cs="Taher"/>
          <w:sz w:val="32"/>
          <w:rtl/>
        </w:rPr>
        <w:footnoteReference w:id="610"/>
      </w:r>
      <w:r w:rsidRPr="00064619">
        <w:rPr>
          <w:rFonts w:cs="Taher"/>
          <w:sz w:val="32"/>
          <w:vertAlign w:val="superscript"/>
          <w:rtl/>
        </w:rPr>
        <w:t>)</w:t>
      </w:r>
      <w:r w:rsidRPr="00EA09EB">
        <w:rPr>
          <w:rFonts w:hint="cs"/>
          <w:rtl/>
        </w:rPr>
        <w:t>. والدين لا ينحصر بالفقه. كما أن علم الدين لا ينحصر بالفقهاء.</w:t>
      </w:r>
    </w:p>
    <w:p w:rsidR="00EA09EB" w:rsidRPr="00A32FC0" w:rsidRDefault="00EA09EB" w:rsidP="00EA09EB">
      <w:pPr>
        <w:rPr>
          <w:rtl/>
          <w:lang w:bidi="ar-LB"/>
        </w:rPr>
      </w:pPr>
      <w:r w:rsidRPr="00A32FC0">
        <w:rPr>
          <w:rFonts w:hint="cs"/>
          <w:rtl/>
          <w:lang w:bidi="ar-LB"/>
        </w:rPr>
        <w:t>وأمّا المقدّمة الرابعة فهي تامّة.</w:t>
      </w:r>
    </w:p>
    <w:p w:rsidR="00EA09EB" w:rsidRPr="00EA09EB" w:rsidRDefault="00EA09EB" w:rsidP="00887CCF">
      <w:pPr>
        <w:pStyle w:val="Normal84"/>
        <w:rPr>
          <w:rtl/>
        </w:rPr>
      </w:pPr>
      <w:r w:rsidRPr="00EA09EB">
        <w:rPr>
          <w:rFonts w:hint="cs"/>
          <w:rtl/>
        </w:rPr>
        <w:t xml:space="preserve">وأمّا المقدّمة الخامسة ففيها ما فيها من النقاش: </w:t>
      </w:r>
      <w:r w:rsidRPr="007A340E">
        <w:rPr>
          <w:rFonts w:hint="cs"/>
          <w:b/>
          <w:bCs/>
          <w:rtl/>
        </w:rPr>
        <w:t>أولاً</w:t>
      </w:r>
      <w:r w:rsidRPr="00EA09EB">
        <w:rPr>
          <w:rFonts w:hint="cs"/>
          <w:rtl/>
        </w:rPr>
        <w:t>: إن استبعاد كون الوصف في الرواية وصفاً عنوانياً، وحمله على أنه عنوان مشير إلى أفراد من الأنبياء، هو خلاف واضح للظاهر. فالعلماء ورثة الأنبياء من حيثية النبوة. ووظيفة الأنبياء من هذه الحيثية ليست سوى نشر الدعوة، وتبليغ أحكام الدين</w:t>
      </w:r>
      <w:r w:rsidRPr="00064619">
        <w:rPr>
          <w:rFonts w:cs="Taher"/>
          <w:sz w:val="32"/>
          <w:vertAlign w:val="superscript"/>
          <w:rtl/>
        </w:rPr>
        <w:t>(</w:t>
      </w:r>
      <w:r w:rsidRPr="00064619">
        <w:rPr>
          <w:rStyle w:val="FootnoteReference"/>
          <w:rFonts w:cs="Taher"/>
          <w:sz w:val="32"/>
          <w:rtl/>
        </w:rPr>
        <w:footnoteReference w:id="611"/>
      </w:r>
      <w:r w:rsidRPr="00064619">
        <w:rPr>
          <w:rFonts w:cs="Taher"/>
          <w:sz w:val="32"/>
          <w:vertAlign w:val="superscript"/>
          <w:rtl/>
        </w:rPr>
        <w:t>)</w:t>
      </w:r>
      <w:r w:rsidRPr="00EA09EB">
        <w:rPr>
          <w:rFonts w:hint="cs"/>
          <w:rtl/>
        </w:rPr>
        <w:t>.</w:t>
      </w:r>
    </w:p>
    <w:p w:rsidR="00EA09EB" w:rsidRPr="00EA09EB" w:rsidRDefault="00EA09EB" w:rsidP="00887CCF">
      <w:pPr>
        <w:pStyle w:val="Normal84"/>
        <w:rPr>
          <w:rtl/>
        </w:rPr>
      </w:pPr>
      <w:r w:rsidRPr="007A340E">
        <w:rPr>
          <w:rFonts w:hint="cs"/>
          <w:b/>
          <w:bCs/>
          <w:rtl/>
        </w:rPr>
        <w:t>ثانياً</w:t>
      </w:r>
      <w:r w:rsidRPr="00EA09EB">
        <w:rPr>
          <w:rFonts w:hint="cs"/>
          <w:rtl/>
        </w:rPr>
        <w:t>: ليس هناك أيّ ملازمة بين النبوّة والولاية. وهذا ما صرّح به الشيخ الطوسي والطبرسيّ، وأقاما الدليل على ذلك</w:t>
      </w:r>
      <w:r w:rsidRPr="00064619">
        <w:rPr>
          <w:rFonts w:cs="Taher"/>
          <w:sz w:val="32"/>
          <w:vertAlign w:val="superscript"/>
          <w:rtl/>
        </w:rPr>
        <w:t>(</w:t>
      </w:r>
      <w:r w:rsidRPr="00064619">
        <w:rPr>
          <w:rStyle w:val="FootnoteReference"/>
          <w:rFonts w:cs="Taher"/>
          <w:sz w:val="32"/>
          <w:rtl/>
        </w:rPr>
        <w:footnoteReference w:id="612"/>
      </w:r>
      <w:r w:rsidRPr="00064619">
        <w:rPr>
          <w:rFonts w:cs="Taher"/>
          <w:sz w:val="32"/>
          <w:vertAlign w:val="superscript"/>
          <w:rtl/>
        </w:rPr>
        <w:t>)</w:t>
      </w:r>
      <w:r w:rsidRPr="00EA09EB">
        <w:rPr>
          <w:rFonts w:hint="cs"/>
          <w:rtl/>
        </w:rPr>
        <w:t>. بالإضافة إلى أنه ليس لدينا أيّ دليل على ثبوت الولاية لجميع الأنبياء</w:t>
      </w:r>
      <w:r w:rsidRPr="00064619">
        <w:rPr>
          <w:rFonts w:cs="Taher"/>
          <w:sz w:val="32"/>
          <w:vertAlign w:val="superscript"/>
          <w:rtl/>
        </w:rPr>
        <w:t>(</w:t>
      </w:r>
      <w:r w:rsidRPr="00064619">
        <w:rPr>
          <w:rStyle w:val="FootnoteReference"/>
          <w:rFonts w:cs="Taher"/>
          <w:sz w:val="32"/>
          <w:rtl/>
        </w:rPr>
        <w:footnoteReference w:id="613"/>
      </w:r>
      <w:r w:rsidRPr="00064619">
        <w:rPr>
          <w:rFonts w:cs="Taher"/>
          <w:sz w:val="32"/>
          <w:vertAlign w:val="superscript"/>
          <w:rtl/>
        </w:rPr>
        <w:t>)</w:t>
      </w:r>
      <w:r w:rsidRPr="00EA09EB">
        <w:rPr>
          <w:rFonts w:hint="cs"/>
          <w:rtl/>
        </w:rPr>
        <w:t>، وخصوصاً الأنبياء المبعوثين في زمان واحد ومكان واحد، مثل: أنبياء بني إسرائيل. والروايات التي تقول بأن «علماء أمّتي أفضل من أنبياء بني إسرائيل» قد تصلح مؤيِّداً لهذا المعنى.</w:t>
      </w:r>
    </w:p>
    <w:p w:rsidR="00EA09EB" w:rsidRPr="00A32FC0" w:rsidRDefault="00EA09EB" w:rsidP="00EA09EB">
      <w:pPr>
        <w:rPr>
          <w:rtl/>
          <w:lang w:bidi="ar-LB"/>
        </w:rPr>
      </w:pPr>
      <w:r w:rsidRPr="00A32FC0">
        <w:rPr>
          <w:rFonts w:hint="cs"/>
          <w:b/>
          <w:bCs/>
          <w:rtl/>
          <w:lang w:bidi="ar-LB"/>
        </w:rPr>
        <w:t>ثالثاً</w:t>
      </w:r>
      <w:r w:rsidRPr="00A32FC0">
        <w:rPr>
          <w:rFonts w:hint="cs"/>
          <w:rtl/>
          <w:lang w:bidi="ar-LB"/>
        </w:rPr>
        <w:t>: بالنسبة إلى الأنبياء المذكورين فليس لدينا أيّ دليل على ولاية موسى وعيسى</w:t>
      </w:r>
      <w:r w:rsidR="007A340E" w:rsidRPr="007A340E">
        <w:rPr>
          <w:rFonts w:ascii="Mosawi" w:hAnsi="Mosawi"/>
          <w:sz w:val="32"/>
          <w:szCs w:val="32"/>
          <w:rtl/>
          <w:lang w:bidi="ar-LB"/>
        </w:rPr>
        <w:t>’</w:t>
      </w:r>
      <w:r w:rsidRPr="00A32FC0">
        <w:rPr>
          <w:rFonts w:hint="cs"/>
          <w:rtl/>
          <w:lang w:bidi="ar-LB"/>
        </w:rPr>
        <w:t>. والقدر المشترك بين الأنبياء (بما هم أنبياء) هو وظيفة الدعوة ونشر تعاليم الوحي. وإذا كان مثل هذه الوظيفة ممّا ينتقل بالإرث فلن يكون المنقول سوى هذه الوظيفة العلميّة. وأما انتقال خصائص خاتم الرسل</w:t>
      </w:r>
      <w:r w:rsidRPr="00A32FC0">
        <w:rPr>
          <w:rFonts w:hint="cs"/>
          <w:rtl/>
        </w:rPr>
        <w:sym w:font="Roumouz" w:char="F02D"/>
      </w:r>
      <w:r w:rsidRPr="00A32FC0">
        <w:rPr>
          <w:rFonts w:hint="cs"/>
          <w:rtl/>
          <w:lang w:bidi="ar-LB"/>
        </w:rPr>
        <w:t xml:space="preserve"> فبحاجة إلى دليل آخر. فهذا الدليل قاصر عن إثبات هذه النقطة. </w:t>
      </w:r>
    </w:p>
    <w:p w:rsidR="00EA09EB" w:rsidRPr="00A32FC0" w:rsidRDefault="00EA09EB" w:rsidP="00EA09EB">
      <w:pPr>
        <w:rPr>
          <w:rtl/>
          <w:lang w:bidi="ar-LB"/>
        </w:rPr>
      </w:pPr>
      <w:r w:rsidRPr="00A32FC0">
        <w:rPr>
          <w:rFonts w:hint="cs"/>
          <w:rtl/>
          <w:lang w:bidi="ar-LB"/>
        </w:rPr>
        <w:t>وأمّا المقدّمة السادسة فإنّه وإنْ لم يكن هناك أدنى شكّ في أن الولاية الاعتباريّة قابلة للتوريث (كما هو العرف في النظام المَلَكيّ)، إلاّ أنّه لا يمكن الاستفادة من هذه الرواية كيفية هذا التوريث، وهل يشمل جميع العلماء على نحو الاستغراق بشكلٍ متساوٍ، أم أنّه يختص بأعلم العلماء (كاختصاص إرث الحبوة بالولد الأكبر)؟ وبعبارة أخرى: إن الرواية ظاهرة في أنّ العلماء يرثون النبيّ</w:t>
      </w:r>
      <w:r w:rsidRPr="00A32FC0">
        <w:rPr>
          <w:rFonts w:hint="cs"/>
          <w:rtl/>
        </w:rPr>
        <w:sym w:font="Roumouz" w:char="F02D"/>
      </w:r>
      <w:r w:rsidRPr="00A32FC0">
        <w:rPr>
          <w:rFonts w:hint="cs"/>
          <w:rtl/>
          <w:lang w:bidi="ar-LB"/>
        </w:rPr>
        <w:t>، إلاّ أنّ الرواية لم تشخِّص مقدار وكيفيّة هذا الإرث، وتركته مجملاً. وعلى هذا الأساس يبقى احتمال اختصاص الولاية بأعلم العلماء، كما هو مفاد الرواية الثالثة: (إنّ أولى الناس بالأنبياء أعلمهم بما جاؤوا به). وبما أنّ الأئمّة الأطهار</w:t>
      </w:r>
      <w:r w:rsidR="007A340E">
        <w:rPr>
          <w:rFonts w:hint="cs"/>
          <w:rtl/>
        </w:rPr>
        <w:t>^</w:t>
      </w:r>
      <w:r w:rsidRPr="00A32FC0">
        <w:rPr>
          <w:rFonts w:hint="cs"/>
          <w:rtl/>
          <w:lang w:bidi="ar-LB"/>
        </w:rPr>
        <w:t xml:space="preserve"> هم أعلم الناس في كلّ زمان فإنّ الولاية تنتقل إليهم</w:t>
      </w:r>
      <w:r w:rsidRPr="00064619">
        <w:rPr>
          <w:rFonts w:cs="Taher"/>
          <w:vertAlign w:val="superscript"/>
          <w:rtl/>
          <w:lang w:bidi="ar-LB"/>
        </w:rPr>
        <w:t>(</w:t>
      </w:r>
      <w:r w:rsidRPr="00064619">
        <w:rPr>
          <w:rStyle w:val="FootnoteReference"/>
          <w:rFonts w:cs="Taher"/>
          <w:sz w:val="32"/>
          <w:rtl/>
          <w:lang w:bidi="ar-LB"/>
        </w:rPr>
        <w:footnoteReference w:id="614"/>
      </w:r>
      <w:r w:rsidRPr="00064619">
        <w:rPr>
          <w:rFonts w:cs="Taher"/>
          <w:vertAlign w:val="superscript"/>
          <w:rtl/>
          <w:lang w:bidi="ar-LB"/>
        </w:rPr>
        <w:t>)</w:t>
      </w:r>
      <w:r w:rsidRPr="00A32FC0">
        <w:rPr>
          <w:rFonts w:hint="cs"/>
          <w:rtl/>
          <w:lang w:bidi="ar-LB"/>
        </w:rPr>
        <w:t>.</w:t>
      </w:r>
    </w:p>
    <w:p w:rsidR="00EA09EB" w:rsidRPr="00A32FC0" w:rsidRDefault="00EA09EB" w:rsidP="00EA09EB">
      <w:pPr>
        <w:rPr>
          <w:rtl/>
          <w:lang w:bidi="ar-LB"/>
        </w:rPr>
      </w:pPr>
      <w:r w:rsidRPr="00A32FC0">
        <w:rPr>
          <w:rFonts w:hint="cs"/>
          <w:rtl/>
          <w:lang w:bidi="ar-LB"/>
        </w:rPr>
        <w:t>وأمّا المقدّمة السابعة فيوجد في هذه الرواية قرينة قطعيّة متَّصلة على وراثة العلوم والمعارف والدعوة: «ولكن ورّثوا العلم</w:t>
      </w:r>
      <w:r>
        <w:rPr>
          <w:rFonts w:hint="cs"/>
          <w:rtl/>
          <w:lang w:bidi="ar-LB"/>
        </w:rPr>
        <w:t>،</w:t>
      </w:r>
      <w:r w:rsidRPr="00A32FC0">
        <w:rPr>
          <w:rFonts w:hint="cs"/>
          <w:rtl/>
          <w:lang w:bidi="ar-LB"/>
        </w:rPr>
        <w:t xml:space="preserve"> فمَنْ أخذ منه أخذ بحظّ وافر». ومع وجود قرينة متَّصلة كهذه لا يمكن ب</w:t>
      </w:r>
      <w:r>
        <w:rPr>
          <w:rFonts w:hint="cs"/>
          <w:rtl/>
          <w:lang w:bidi="ar-LB"/>
        </w:rPr>
        <w:t>أيّ</w:t>
      </w:r>
      <w:r w:rsidRPr="00A32FC0">
        <w:rPr>
          <w:rFonts w:hint="cs"/>
          <w:rtl/>
          <w:lang w:bidi="ar-LB"/>
        </w:rPr>
        <w:t xml:space="preserve"> حال التمسُّك بالإطلاق؛ لإثبات انتقال جميع شؤون الأنبياء إلى العلماء. وحتى لو افترضنا أن الحصر الموجود في الرواية هو حصر إضافيّ، واعتبرنا أن </w:t>
      </w:r>
      <w:r w:rsidRPr="00A32FC0">
        <w:rPr>
          <w:rFonts w:hint="cs"/>
          <w:rtl/>
        </w:rPr>
        <w:t>«</w:t>
      </w:r>
      <w:r w:rsidRPr="00A32FC0">
        <w:rPr>
          <w:rFonts w:hint="cs"/>
          <w:rtl/>
          <w:lang w:bidi="ar-LB"/>
        </w:rPr>
        <w:t>إنّما</w:t>
      </w:r>
      <w:r w:rsidRPr="00A32FC0">
        <w:rPr>
          <w:rFonts w:hint="cs"/>
          <w:rtl/>
        </w:rPr>
        <w:t>»</w:t>
      </w:r>
      <w:r w:rsidRPr="00A32FC0">
        <w:rPr>
          <w:rFonts w:hint="cs"/>
          <w:rtl/>
          <w:lang w:bidi="ar-LB"/>
        </w:rPr>
        <w:t xml:space="preserve"> أداة تأكيد، لا حصر، تبقى هذه الرواية قاصرة عن إثبات انتقال وظائف الأنبياء غير التبليغيّة</w:t>
      </w:r>
      <w:r>
        <w:rPr>
          <w:rFonts w:hint="cs"/>
          <w:rtl/>
          <w:lang w:bidi="ar-LB"/>
        </w:rPr>
        <w:t>،</w:t>
      </w:r>
      <w:r w:rsidRPr="00A32FC0">
        <w:rPr>
          <w:rFonts w:hint="cs"/>
          <w:rtl/>
          <w:lang w:bidi="ar-LB"/>
        </w:rPr>
        <w:t xml:space="preserve"> وخصوصاً الولاية، التي تحتاج إلى أدلّة أخرى. وقد صرّح جمع كبير من الفقهاء بانحصار مضمون هذه الرواية بوراثة العلوم والدعوة</w:t>
      </w:r>
      <w:r w:rsidRPr="00064619">
        <w:rPr>
          <w:rFonts w:cs="Taher"/>
          <w:vertAlign w:val="superscript"/>
          <w:rtl/>
          <w:lang w:bidi="ar-LB"/>
        </w:rPr>
        <w:t>(</w:t>
      </w:r>
      <w:r w:rsidRPr="00064619">
        <w:rPr>
          <w:rStyle w:val="FootnoteReference"/>
          <w:rFonts w:cs="Taher"/>
          <w:sz w:val="32"/>
          <w:rtl/>
          <w:lang w:bidi="ar-LB"/>
        </w:rPr>
        <w:footnoteReference w:id="615"/>
      </w:r>
      <w:r w:rsidRPr="00064619">
        <w:rPr>
          <w:rFonts w:cs="Taher"/>
          <w:vertAlign w:val="superscript"/>
          <w:rtl/>
          <w:lang w:bidi="ar-LB"/>
        </w:rPr>
        <w:t>)</w:t>
      </w:r>
      <w:r w:rsidRPr="00A32FC0">
        <w:rPr>
          <w:rFonts w:hint="cs"/>
          <w:rtl/>
          <w:lang w:bidi="ar-LB"/>
        </w:rPr>
        <w:t>.</w:t>
      </w:r>
    </w:p>
    <w:p w:rsidR="00EA09EB" w:rsidRPr="00A32FC0" w:rsidRDefault="00EA09EB" w:rsidP="00EA09EB">
      <w:pPr>
        <w:rPr>
          <w:rtl/>
          <w:lang w:bidi="ar-LB"/>
        </w:rPr>
      </w:pPr>
      <w:r w:rsidRPr="00A32FC0">
        <w:rPr>
          <w:rFonts w:hint="cs"/>
          <w:rtl/>
          <w:lang w:bidi="ar-LB"/>
        </w:rPr>
        <w:t xml:space="preserve">وأمّا المقدّمة الثامنة فليس لعبارة </w:t>
      </w:r>
      <w:r w:rsidRPr="00A32FC0">
        <w:rPr>
          <w:rFonts w:hint="cs"/>
          <w:rtl/>
        </w:rPr>
        <w:t>«</w:t>
      </w:r>
      <w:r w:rsidRPr="00A32FC0">
        <w:rPr>
          <w:rFonts w:hint="cs"/>
          <w:rtl/>
          <w:lang w:bidi="ar-LB"/>
        </w:rPr>
        <w:t>العلماء ورثة الأنبياء</w:t>
      </w:r>
      <w:r w:rsidRPr="00A32FC0">
        <w:rPr>
          <w:rFonts w:hint="cs"/>
          <w:rtl/>
        </w:rPr>
        <w:t>»</w:t>
      </w:r>
      <w:r w:rsidRPr="00A32FC0">
        <w:rPr>
          <w:rFonts w:hint="cs"/>
          <w:rtl/>
          <w:lang w:bidi="ar-LB"/>
        </w:rPr>
        <w:t xml:space="preserve"> أيّ ظهور في الجملة الإنشائيّة المتضمِّنة للجعل والتشريع، بل هي جملة خبريّة تحكي عن أمر تكوينيّ، هو انتقال العلم إلى العلماء. وهذه الروايات هي في مقام بيان فضل علماء الدين، ولا دلالة لها على تعيينهم لأيّ منصب</w:t>
      </w:r>
      <w:r w:rsidRPr="00064619">
        <w:rPr>
          <w:rFonts w:cs="Taher"/>
          <w:vertAlign w:val="superscript"/>
          <w:rtl/>
          <w:lang w:bidi="ar-LB"/>
        </w:rPr>
        <w:t>(</w:t>
      </w:r>
      <w:r w:rsidRPr="00064619">
        <w:rPr>
          <w:rStyle w:val="FootnoteReference"/>
          <w:rFonts w:cs="Taher"/>
          <w:sz w:val="32"/>
          <w:rtl/>
          <w:lang w:bidi="ar-LB"/>
        </w:rPr>
        <w:footnoteReference w:id="616"/>
      </w:r>
      <w:r w:rsidRPr="00064619">
        <w:rPr>
          <w:rFonts w:cs="Taher"/>
          <w:vertAlign w:val="superscript"/>
          <w:rtl/>
          <w:lang w:bidi="ar-LB"/>
        </w:rPr>
        <w:t>)</w:t>
      </w:r>
      <w:r w:rsidRPr="00EA09EB">
        <w:rPr>
          <w:rFonts w:hint="cs"/>
          <w:rtl/>
        </w:rPr>
        <w:t xml:space="preserve">. ودعوى الملازمة بين الوراثة والتعيين قولٌ بلا دليل، هذا </w:t>
      </w:r>
      <w:r w:rsidRPr="00A32FC0">
        <w:rPr>
          <w:rFonts w:hint="cs"/>
          <w:b/>
          <w:bCs/>
          <w:rtl/>
          <w:lang w:bidi="ar-LB"/>
        </w:rPr>
        <w:t>أولاً</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 xml:space="preserve">وأما </w:t>
      </w:r>
      <w:r w:rsidRPr="00A32FC0">
        <w:rPr>
          <w:rFonts w:hint="cs"/>
          <w:b/>
          <w:bCs/>
          <w:rtl/>
          <w:lang w:bidi="ar-LB"/>
        </w:rPr>
        <w:t>ثانياً</w:t>
      </w:r>
      <w:r w:rsidRPr="00A32FC0">
        <w:rPr>
          <w:rFonts w:hint="cs"/>
          <w:rtl/>
          <w:lang w:bidi="ar-LB"/>
        </w:rPr>
        <w:t xml:space="preserve"> فحتى لو أنّنا قبلنا أصل وراثة الولاية فإنّ هناك فرقاً كبيراً بين انتقال الولاية بالإرث وانتقالها بالتعيين؛ فإنّ التعيين والوراثة قسيمان لبعضهما البعض، فثبوت أحدهما ينفي الآخر. </w:t>
      </w:r>
    </w:p>
    <w:p w:rsidR="00EA09EB" w:rsidRDefault="00EA09EB" w:rsidP="00887CCF">
      <w:pPr>
        <w:pStyle w:val="Normal87"/>
        <w:rPr>
          <w:rtl/>
        </w:rPr>
      </w:pPr>
      <w:r w:rsidRPr="00A32FC0">
        <w:rPr>
          <w:rFonts w:hint="cs"/>
          <w:rtl/>
        </w:rPr>
        <w:t>وأمّا المقدّمة التاسعة فهي قطعاً غير تامّة. فعندما يتمّ تقييد الرواية بالوراثة العلميّة لا يبقى هناك مجال للتمسُّك بإطلاق الوراثة؛ لإثبات الولاية المطلقة. بالإضافة إلى أنّنا إذا التفتنا إلى احتمال ارتباط العصمة في الأولويّة النبويّة على المؤمنين أصبح التمسُّك بالآية الشريفة ﴿</w:t>
      </w:r>
      <w:r w:rsidRPr="00A32FC0">
        <w:rPr>
          <w:b/>
          <w:bCs/>
          <w:rtl/>
        </w:rPr>
        <w:t>النَّبِيُّ أَوْلَى بِالْمُؤْمِنِينَ مِنْ أَنْفُسِهِمْ</w:t>
      </w:r>
      <w:r w:rsidRPr="00EA09EB">
        <w:rPr>
          <w:rFonts w:hint="cs"/>
          <w:rtl/>
        </w:rPr>
        <w:t>﴾(الأحزاب: 6)؛ لإثبات الولاية المطلقة للفقهاء، أمراً مشكلاً، ومحلَّ تأمُّل.</w:t>
      </w:r>
    </w:p>
    <w:p w:rsidR="007A340E" w:rsidRPr="00887CCF" w:rsidRDefault="007A340E" w:rsidP="00EA09EB">
      <w:pPr>
        <w:rPr>
          <w:sz w:val="22"/>
          <w:szCs w:val="24"/>
          <w:rtl/>
        </w:rPr>
      </w:pPr>
    </w:p>
    <w:p w:rsidR="00EA09EB" w:rsidRPr="00D91745" w:rsidRDefault="00EA09EB" w:rsidP="007A340E">
      <w:pPr>
        <w:pStyle w:val="Heading4"/>
        <w:rPr>
          <w:rtl/>
        </w:rPr>
      </w:pPr>
      <w:r w:rsidRPr="007A340E">
        <w:rPr>
          <w:rFonts w:hint="cs"/>
          <w:rtl/>
        </w:rPr>
        <w:t>حاصل</w:t>
      </w:r>
      <w:r w:rsidRPr="00D91745">
        <w:rPr>
          <w:rFonts w:hint="cs"/>
          <w:rtl/>
        </w:rPr>
        <w:t xml:space="preserve"> البحث</w:t>
      </w:r>
    </w:p>
    <w:p w:rsidR="00EA09EB" w:rsidRPr="00EA09EB" w:rsidRDefault="00EA09EB" w:rsidP="00887CCF">
      <w:pPr>
        <w:pStyle w:val="Normal84"/>
        <w:rPr>
          <w:rtl/>
        </w:rPr>
      </w:pPr>
      <w:r w:rsidRPr="00EA09EB">
        <w:rPr>
          <w:rFonts w:hint="cs"/>
          <w:rtl/>
        </w:rPr>
        <w:t xml:space="preserve">تحصّل لدينا من البحث حول صحيحة «العلماء ورثة الأنبياء»، والروايات التي هي في مضمونها: </w:t>
      </w:r>
      <w:r w:rsidRPr="007A340E">
        <w:rPr>
          <w:rFonts w:hint="cs"/>
          <w:b/>
          <w:bCs/>
          <w:rtl/>
        </w:rPr>
        <w:t>أولاً</w:t>
      </w:r>
      <w:r w:rsidRPr="00EA09EB">
        <w:rPr>
          <w:rFonts w:hint="cs"/>
          <w:rtl/>
        </w:rPr>
        <w:t>: إن احتمال إرادة الأئمة</w:t>
      </w:r>
      <w:r w:rsidR="007A340E">
        <w:rPr>
          <w:rFonts w:hint="cs"/>
          <w:rtl/>
        </w:rPr>
        <w:t>^</w:t>
      </w:r>
      <w:r w:rsidRPr="00EA09EB">
        <w:rPr>
          <w:rFonts w:hint="cs"/>
          <w:rtl/>
        </w:rPr>
        <w:t xml:space="preserve"> من لفظ العلماء هو احتمال معتدّ به. بالإضافة إلى أن لفظ «العلماء» ليس ظاهراً في الفقهاء. </w:t>
      </w:r>
    </w:p>
    <w:p w:rsidR="00EA09EB" w:rsidRPr="00EA09EB" w:rsidRDefault="00EA09EB" w:rsidP="00887CCF">
      <w:pPr>
        <w:pStyle w:val="Normal84"/>
        <w:rPr>
          <w:rtl/>
        </w:rPr>
      </w:pPr>
      <w:r w:rsidRPr="007A340E">
        <w:rPr>
          <w:rFonts w:hint="cs"/>
          <w:b/>
          <w:bCs/>
          <w:rtl/>
        </w:rPr>
        <w:t>ثانياً</w:t>
      </w:r>
      <w:r w:rsidRPr="00EA09EB">
        <w:rPr>
          <w:rFonts w:hint="cs"/>
          <w:rtl/>
        </w:rPr>
        <w:t>: إن المراد من لفظ الأنبياء هو الوصف العنواني، لا العنوان المشير. لذلك ليس هناك تلازم بينه وبين الولاية. أضِفْ إلى ذلك أنّ الرواية من حيث كيفية إرث العلماء ومقداره مجملة.</w:t>
      </w:r>
    </w:p>
    <w:p w:rsidR="00EA09EB" w:rsidRPr="00EA09EB" w:rsidRDefault="00EA09EB" w:rsidP="00887CCF">
      <w:pPr>
        <w:pStyle w:val="Normal84"/>
        <w:rPr>
          <w:rtl/>
        </w:rPr>
      </w:pPr>
      <w:r w:rsidRPr="007A340E">
        <w:rPr>
          <w:rFonts w:hint="cs"/>
          <w:b/>
          <w:bCs/>
          <w:rtl/>
        </w:rPr>
        <w:t>ثالثاً</w:t>
      </w:r>
      <w:r w:rsidRPr="00EA09EB">
        <w:rPr>
          <w:rFonts w:hint="cs"/>
          <w:rtl/>
        </w:rPr>
        <w:t>: مع وجود قرينة قطعيّة متَّصلة تنحصر دلالة هذه الرواية في وراثة العلوم والمعارف والدعوة، ولا يبقى لها أيّ دلالة على الولاية التدبيريّة للفقهاء.</w:t>
      </w:r>
    </w:p>
    <w:p w:rsidR="00EA09EB" w:rsidRPr="00EA09EB" w:rsidRDefault="00EA09EB" w:rsidP="00887CCF">
      <w:pPr>
        <w:pStyle w:val="Normal84"/>
        <w:rPr>
          <w:rtl/>
        </w:rPr>
      </w:pPr>
      <w:r w:rsidRPr="007A340E">
        <w:rPr>
          <w:rFonts w:hint="cs"/>
          <w:b/>
          <w:bCs/>
          <w:rtl/>
        </w:rPr>
        <w:t>رابعاً</w:t>
      </w:r>
      <w:r w:rsidRPr="00EA09EB">
        <w:rPr>
          <w:rFonts w:hint="cs"/>
          <w:rtl/>
        </w:rPr>
        <w:t xml:space="preserve">: إن مضمون الرواية خبريٌّ، ولا دلالة له على الإنشاء والتعيين. ومفادها رفعة مقام العلماء، وعلوّ شأنهم، دون أيّ شيءٍ آخر. </w:t>
      </w:r>
    </w:p>
    <w:p w:rsidR="00EA09EB" w:rsidRDefault="00EA09EB" w:rsidP="00887CCF">
      <w:pPr>
        <w:pStyle w:val="Normal84"/>
        <w:rPr>
          <w:rtl/>
        </w:rPr>
      </w:pPr>
      <w:r w:rsidRPr="007A340E">
        <w:rPr>
          <w:rFonts w:hint="cs"/>
          <w:b/>
          <w:bCs/>
          <w:rtl/>
        </w:rPr>
        <w:t>خامساً</w:t>
      </w:r>
      <w:r w:rsidRPr="00EA09EB">
        <w:rPr>
          <w:rFonts w:hint="cs"/>
          <w:rtl/>
        </w:rPr>
        <w:t>: لا تصلح هذه الروايات دليلاً على الولاية المطلقة للفقهاء.</w:t>
      </w:r>
    </w:p>
    <w:p w:rsidR="007A340E" w:rsidRPr="00887CCF" w:rsidRDefault="007A340E" w:rsidP="007A340E">
      <w:pPr>
        <w:ind w:firstLine="283"/>
        <w:rPr>
          <w:sz w:val="22"/>
          <w:szCs w:val="24"/>
          <w:rtl/>
        </w:rPr>
      </w:pPr>
    </w:p>
    <w:p w:rsidR="00EA09EB" w:rsidRPr="00D91745" w:rsidRDefault="00EA09EB" w:rsidP="007A340E">
      <w:pPr>
        <w:pStyle w:val="Heading3"/>
        <w:rPr>
          <w:rtl/>
        </w:rPr>
      </w:pPr>
      <w:r w:rsidRPr="00D91745">
        <w:rPr>
          <w:rFonts w:hint="cs"/>
          <w:rtl/>
        </w:rPr>
        <w:t xml:space="preserve">النتيجة العامة </w:t>
      </w:r>
      <w:r w:rsidRPr="007A340E">
        <w:rPr>
          <w:rFonts w:hint="cs"/>
          <w:rtl/>
        </w:rPr>
        <w:t>للبحث</w:t>
      </w:r>
    </w:p>
    <w:p w:rsidR="007A340E" w:rsidRDefault="00EA09EB" w:rsidP="00887CCF">
      <w:r w:rsidRPr="00A32FC0">
        <w:rPr>
          <w:rFonts w:hint="cs"/>
          <w:rtl/>
          <w:lang w:bidi="ar-LB"/>
        </w:rPr>
        <w:t>لا يوجد دليل معتبر في الروايات المنقولة عن النبيّ</w:t>
      </w:r>
      <w:r w:rsidRPr="00A32FC0">
        <w:rPr>
          <w:rFonts w:hint="cs"/>
          <w:rtl/>
        </w:rPr>
        <w:sym w:font="Roumouz" w:char="F02D"/>
      </w:r>
      <w:r w:rsidRPr="00A32FC0">
        <w:rPr>
          <w:rFonts w:hint="cs"/>
          <w:rtl/>
          <w:lang w:bidi="ar-LB"/>
        </w:rPr>
        <w:t xml:space="preserve"> على الولاية التعيينيّة المطلقة للفقيه.</w:t>
      </w:r>
      <w:r w:rsidRPr="00EA09EB">
        <w:rPr>
          <w:rtl/>
        </w:rPr>
        <w:br w:type="page"/>
      </w:r>
    </w:p>
    <w:p w:rsidR="007A340E" w:rsidRDefault="007A340E" w:rsidP="007A340E">
      <w:pPr>
        <w:rPr>
          <w:rtl/>
        </w:rPr>
        <w:sectPr w:rsidR="007A340E" w:rsidSect="009003FC">
          <w:headerReference w:type="even" r:id="rId59"/>
          <w:headerReference w:type="default" r:id="rId60"/>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Pr="00887CCF" w:rsidRDefault="007A340E" w:rsidP="007A340E">
      <w:pPr>
        <w:rPr>
          <w:sz w:val="4"/>
          <w:szCs w:val="4"/>
        </w:rPr>
      </w:pPr>
    </w:p>
    <w:p w:rsidR="00EA09EB" w:rsidRPr="00E2207F" w:rsidRDefault="00EA09EB" w:rsidP="00504ADB">
      <w:pPr>
        <w:pStyle w:val="Heading2"/>
        <w:jc w:val="center"/>
        <w:rPr>
          <w:rtl/>
          <w:lang w:bidi="ar-LB"/>
        </w:rPr>
      </w:pPr>
      <w:bookmarkStart w:id="55" w:name="_Toc413658837"/>
      <w:r w:rsidRPr="00E2207F">
        <w:rPr>
          <w:rFonts w:hint="cs"/>
          <w:rtl/>
          <w:lang w:bidi="ar-LB"/>
        </w:rPr>
        <w:t xml:space="preserve">الفصل الثامن عشر: أدلّة </w:t>
      </w:r>
      <w:r w:rsidRPr="007A340E">
        <w:rPr>
          <w:rFonts w:hint="cs"/>
          <w:rtl/>
        </w:rPr>
        <w:t>ولاية الفقيه في الروايات المنقولة عن الإمام</w:t>
      </w:r>
      <w:r w:rsidR="00504ADB">
        <w:rPr>
          <w:rFonts w:hint="cs"/>
          <w:rtl/>
        </w:rPr>
        <w:t>ين</w:t>
      </w:r>
      <w:r w:rsidRPr="007A340E">
        <w:rPr>
          <w:rFonts w:hint="cs"/>
          <w:rtl/>
        </w:rPr>
        <w:t xml:space="preserve"> عليّ</w:t>
      </w:r>
      <w:r w:rsidR="00504ADB">
        <w:rPr>
          <w:rFonts w:hint="cs"/>
          <w:rtl/>
        </w:rPr>
        <w:t xml:space="preserve"> و</w:t>
      </w:r>
      <w:r w:rsidRPr="007A340E">
        <w:rPr>
          <w:rFonts w:hint="cs"/>
          <w:rtl/>
        </w:rPr>
        <w:t>الحسين</w:t>
      </w:r>
      <w:r w:rsidR="00504ADB" w:rsidRPr="00504ADB">
        <w:rPr>
          <w:rFonts w:ascii="Mosawi" w:hAnsi="Mosawi" w:cs="Mosawi" w:hint="cs"/>
          <w:b/>
          <w:bCs/>
          <w:sz w:val="22"/>
          <w:szCs w:val="34"/>
          <w:rtl/>
        </w:rPr>
        <w:t>^</w:t>
      </w:r>
      <w:bookmarkEnd w:id="55"/>
    </w:p>
    <w:p w:rsidR="00EA09EB" w:rsidRDefault="00EA09EB" w:rsidP="00887CCF">
      <w:pPr>
        <w:pStyle w:val="Normal84"/>
        <w:rPr>
          <w:rtl/>
        </w:rPr>
      </w:pPr>
      <w:r w:rsidRPr="00EA09EB">
        <w:rPr>
          <w:rFonts w:hint="cs"/>
          <w:rtl/>
        </w:rPr>
        <w:t>من مجموع الروايات المنقولة عن الإمام علي بن أبي طالب</w:t>
      </w:r>
      <w:r>
        <w:rPr>
          <w:rFonts w:hint="cs"/>
          <w:rtl/>
        </w:rPr>
        <w:t>×</w:t>
      </w:r>
      <w:r w:rsidRPr="00EA09EB">
        <w:rPr>
          <w:rFonts w:hint="cs"/>
          <w:rtl/>
        </w:rPr>
        <w:t xml:space="preserve"> استند إلى ثلاث منها في بحث ولاية الفقيه على الناس: </w:t>
      </w:r>
      <w:r w:rsidRPr="007A340E">
        <w:rPr>
          <w:rFonts w:hint="cs"/>
          <w:b/>
          <w:bCs/>
          <w:rtl/>
        </w:rPr>
        <w:t>إحداها</w:t>
      </w:r>
      <w:r w:rsidRPr="00EA09EB">
        <w:rPr>
          <w:rFonts w:hint="cs"/>
          <w:rtl/>
        </w:rPr>
        <w:t xml:space="preserve">: «العلماء حكام على الناس»؛ </w:t>
      </w:r>
      <w:r w:rsidRPr="007A340E">
        <w:rPr>
          <w:rFonts w:hint="cs"/>
          <w:b/>
          <w:bCs/>
          <w:rtl/>
        </w:rPr>
        <w:t>والثانية</w:t>
      </w:r>
      <w:r w:rsidRPr="00EA09EB">
        <w:rPr>
          <w:rFonts w:hint="cs"/>
          <w:rtl/>
        </w:rPr>
        <w:t>: «مجاري الأمور والأحكام على أيدي العلماء»، التي سنتعرض لها ضمن الروايات المنقولة عن الإمام الحسين</w:t>
      </w:r>
      <w:r>
        <w:rPr>
          <w:rFonts w:hint="cs"/>
          <w:rtl/>
        </w:rPr>
        <w:t>×</w:t>
      </w:r>
      <w:r w:rsidRPr="00EA09EB">
        <w:rPr>
          <w:rFonts w:hint="cs"/>
          <w:rtl/>
        </w:rPr>
        <w:t xml:space="preserve">؛ </w:t>
      </w:r>
      <w:r w:rsidRPr="007A340E">
        <w:rPr>
          <w:rFonts w:hint="cs"/>
          <w:b/>
          <w:bCs/>
          <w:rtl/>
        </w:rPr>
        <w:t>والثالثة</w:t>
      </w:r>
      <w:r w:rsidRPr="00EA09EB">
        <w:rPr>
          <w:rFonts w:hint="cs"/>
          <w:rtl/>
        </w:rPr>
        <w:t>: «اللهم ارحم خلفائي»، التي يرويها أمير المؤمنين</w:t>
      </w:r>
      <w:r>
        <w:rPr>
          <w:rFonts w:hint="cs"/>
          <w:rtl/>
        </w:rPr>
        <w:t>×</w:t>
      </w:r>
      <w:r w:rsidRPr="00EA09EB">
        <w:rPr>
          <w:rFonts w:hint="cs"/>
          <w:rtl/>
        </w:rPr>
        <w:t xml:space="preserve"> عن رسول الله</w:t>
      </w:r>
      <w:r w:rsidRPr="00EA09EB">
        <w:rPr>
          <w:rFonts w:hint="cs"/>
          <w:rtl/>
        </w:rPr>
        <w:sym w:font="Roumouz" w:char="F02D"/>
      </w:r>
      <w:r w:rsidRPr="00EA09EB">
        <w:rPr>
          <w:rFonts w:hint="cs"/>
          <w:rtl/>
        </w:rPr>
        <w:t>، والتي تعرَّضنا لها ضمن الروايات المنقولة عن النبيّ</w:t>
      </w:r>
      <w:r w:rsidRPr="00EA09EB">
        <w:rPr>
          <w:rFonts w:hint="cs"/>
          <w:rtl/>
        </w:rPr>
        <w:sym w:font="Roumouz" w:char="F02D"/>
      </w:r>
      <w:r w:rsidRPr="00EA09EB">
        <w:rPr>
          <w:rFonts w:hint="cs"/>
          <w:rtl/>
        </w:rPr>
        <w:t>.</w:t>
      </w:r>
    </w:p>
    <w:p w:rsidR="007A340E" w:rsidRPr="00EA09EB" w:rsidRDefault="007A340E" w:rsidP="00EA09EB">
      <w:pPr>
        <w:rPr>
          <w:rtl/>
        </w:rPr>
      </w:pPr>
    </w:p>
    <w:p w:rsidR="00EA09EB" w:rsidRPr="00D91745" w:rsidRDefault="00EA09EB" w:rsidP="007A340E">
      <w:pPr>
        <w:pStyle w:val="Heading3"/>
        <w:rPr>
          <w:rtl/>
        </w:rPr>
      </w:pPr>
      <w:r w:rsidRPr="00D91745">
        <w:rPr>
          <w:rFonts w:hint="cs"/>
          <w:rtl/>
        </w:rPr>
        <w:t>الرواية الخامسة: «العلما</w:t>
      </w:r>
      <w:r w:rsidRPr="00D91745">
        <w:rPr>
          <w:rFonts w:ascii="Arial" w:hAnsi="Arial" w:cs="Arial" w:hint="cs"/>
          <w:rtl/>
        </w:rPr>
        <w:t>ء</w:t>
      </w:r>
      <w:r w:rsidRPr="00D91745">
        <w:rPr>
          <w:rFonts w:hint="cs"/>
          <w:rtl/>
        </w:rPr>
        <w:t xml:space="preserve"> </w:t>
      </w:r>
      <w:r w:rsidRPr="007A340E">
        <w:rPr>
          <w:rFonts w:hint="cs"/>
          <w:rtl/>
        </w:rPr>
        <w:t>حكّام على الناس</w:t>
      </w:r>
      <w:r w:rsidRPr="00D91745">
        <w:rPr>
          <w:rFonts w:hint="cs"/>
          <w:rtl/>
        </w:rPr>
        <w:t>»</w:t>
      </w:r>
    </w:p>
    <w:p w:rsidR="00EA09EB" w:rsidRPr="00A32FC0" w:rsidRDefault="00EA09EB" w:rsidP="00887CCF">
      <w:pPr>
        <w:pStyle w:val="Normal84"/>
        <w:rPr>
          <w:rtl/>
        </w:rPr>
      </w:pPr>
      <w:r w:rsidRPr="00EA09EB">
        <w:rPr>
          <w:rFonts w:hint="cs"/>
          <w:rtl/>
        </w:rPr>
        <w:t>روى الآمدي في «الغرر والدرر» عن أمير المؤمنين</w:t>
      </w:r>
      <w:r>
        <w:rPr>
          <w:rFonts w:hint="cs"/>
          <w:rtl/>
        </w:rPr>
        <w:t>×</w:t>
      </w:r>
      <w:r w:rsidRPr="00EA09EB">
        <w:rPr>
          <w:rFonts w:hint="cs"/>
          <w:rtl/>
        </w:rPr>
        <w:t>: «العلماء حكّام على الناس»</w:t>
      </w:r>
      <w:r w:rsidRPr="00064619">
        <w:rPr>
          <w:rFonts w:cs="Taher"/>
          <w:vertAlign w:val="superscript"/>
          <w:rtl/>
        </w:rPr>
        <w:t>(</w:t>
      </w:r>
      <w:r w:rsidRPr="00064619">
        <w:rPr>
          <w:rStyle w:val="FootnoteReference"/>
          <w:rFonts w:cs="Taher"/>
          <w:sz w:val="32"/>
          <w:rtl/>
        </w:rPr>
        <w:footnoteReference w:id="617"/>
      </w:r>
      <w:r w:rsidRPr="00064619">
        <w:rPr>
          <w:rFonts w:cs="Taher"/>
          <w:vertAlign w:val="superscript"/>
          <w:rtl/>
        </w:rPr>
        <w:t>)</w:t>
      </w:r>
      <w:r w:rsidRPr="00A32FC0">
        <w:rPr>
          <w:rFonts w:hint="cs"/>
          <w:rtl/>
        </w:rPr>
        <w:t>.</w:t>
      </w:r>
    </w:p>
    <w:p w:rsidR="00EA09EB" w:rsidRPr="00A32FC0" w:rsidRDefault="00EA09EB" w:rsidP="00887CCF">
      <w:pPr>
        <w:pStyle w:val="Normal84"/>
        <w:rPr>
          <w:rtl/>
        </w:rPr>
      </w:pPr>
      <w:r w:rsidRPr="00A32FC0">
        <w:rPr>
          <w:rFonts w:hint="cs"/>
          <w:rtl/>
        </w:rPr>
        <w:t>وفي «كنز الفوائد» للكراجكي: عن الصادق</w:t>
      </w:r>
      <w:r>
        <w:rPr>
          <w:rFonts w:hint="cs"/>
          <w:rtl/>
        </w:rPr>
        <w:t>×</w:t>
      </w:r>
      <w:r w:rsidRPr="00A32FC0">
        <w:rPr>
          <w:rFonts w:hint="cs"/>
          <w:rtl/>
        </w:rPr>
        <w:t>، قال: «الملوك حكّام على الناس، والعلماء حكّام على الملوك»</w:t>
      </w:r>
      <w:r w:rsidRPr="00064619">
        <w:rPr>
          <w:rFonts w:cs="Taher"/>
          <w:vertAlign w:val="superscript"/>
          <w:rtl/>
        </w:rPr>
        <w:t>(</w:t>
      </w:r>
      <w:r w:rsidRPr="00064619">
        <w:rPr>
          <w:rStyle w:val="FootnoteReference"/>
          <w:rFonts w:cs="Taher"/>
          <w:sz w:val="32"/>
          <w:rtl/>
        </w:rPr>
        <w:footnoteReference w:id="618"/>
      </w:r>
      <w:r w:rsidRPr="00064619">
        <w:rPr>
          <w:rFonts w:cs="Taher"/>
          <w:vertAlign w:val="superscript"/>
          <w:rtl/>
        </w:rPr>
        <w:t>)</w:t>
      </w:r>
      <w:r w:rsidRPr="00A32FC0">
        <w:rPr>
          <w:rFonts w:hint="cs"/>
          <w:rtl/>
        </w:rPr>
        <w:t xml:space="preserve">. </w:t>
      </w:r>
    </w:p>
    <w:p w:rsidR="00EA09EB" w:rsidRPr="00A32FC0" w:rsidRDefault="00EA09EB" w:rsidP="00EA09EB">
      <w:pPr>
        <w:rPr>
          <w:rtl/>
          <w:lang w:bidi="ar-LB"/>
        </w:rPr>
      </w:pPr>
      <w:r w:rsidRPr="00A32FC0">
        <w:rPr>
          <w:rFonts w:hint="cs"/>
          <w:rtl/>
          <w:lang w:bidi="ar-LB"/>
        </w:rPr>
        <w:t xml:space="preserve">وقد اعتبر السيد </w:t>
      </w:r>
      <w:r>
        <w:rPr>
          <w:rFonts w:hint="cs"/>
          <w:rtl/>
          <w:lang w:bidi="ar-LB"/>
        </w:rPr>
        <w:t>الگلپايگاني</w:t>
      </w:r>
      <w:r w:rsidRPr="00A32FC0">
        <w:rPr>
          <w:rFonts w:hint="cs"/>
          <w:rtl/>
          <w:lang w:bidi="ar-LB"/>
        </w:rPr>
        <w:t xml:space="preserve"> أنّ دلالة هاتين الروايتين على الولاية التعيينيّة العامّة للفقهاء تامّة</w:t>
      </w:r>
      <w:r w:rsidRPr="00064619">
        <w:rPr>
          <w:rFonts w:cs="Taher"/>
          <w:vertAlign w:val="superscript"/>
          <w:rtl/>
          <w:lang w:bidi="ar-LB"/>
        </w:rPr>
        <w:t>(</w:t>
      </w:r>
      <w:r w:rsidRPr="00064619">
        <w:rPr>
          <w:rStyle w:val="FootnoteReference"/>
          <w:rFonts w:cs="Taher"/>
          <w:sz w:val="32"/>
          <w:rtl/>
          <w:lang w:bidi="ar-LB"/>
        </w:rPr>
        <w:footnoteReference w:id="619"/>
      </w:r>
      <w:r w:rsidRPr="00064619">
        <w:rPr>
          <w:rFonts w:cs="Taher"/>
          <w:vertAlign w:val="superscript"/>
          <w:rtl/>
          <w:lang w:bidi="ar-LB"/>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كما ذكر المحقِّق النراقي أيضاً الرواية الثانية من جملة أدلة ولاية الفقيه على الناس</w:t>
      </w:r>
      <w:r w:rsidRPr="00064619">
        <w:rPr>
          <w:rFonts w:cs="Taher"/>
          <w:vertAlign w:val="superscript"/>
          <w:rtl/>
          <w:lang w:bidi="ar-LB"/>
        </w:rPr>
        <w:t>(</w:t>
      </w:r>
      <w:r w:rsidRPr="00064619">
        <w:rPr>
          <w:rStyle w:val="FootnoteReference"/>
          <w:rFonts w:cs="Taher"/>
          <w:sz w:val="32"/>
          <w:rtl/>
          <w:lang w:bidi="ar-LB"/>
        </w:rPr>
        <w:footnoteReference w:id="620"/>
      </w:r>
      <w:r w:rsidRPr="00064619">
        <w:rPr>
          <w:rFonts w:cs="Taher"/>
          <w:vertAlign w:val="superscript"/>
          <w:rtl/>
          <w:lang w:bidi="ar-LB"/>
        </w:rPr>
        <w:t>)</w:t>
      </w:r>
      <w:r w:rsidRPr="00A32FC0">
        <w:rPr>
          <w:rFonts w:hint="cs"/>
          <w:rtl/>
          <w:lang w:bidi="ar-LB"/>
        </w:rPr>
        <w:t xml:space="preserve">. </w:t>
      </w:r>
    </w:p>
    <w:p w:rsidR="00EA09EB" w:rsidRPr="00EA09EB" w:rsidRDefault="00EA09EB" w:rsidP="00EA09EB">
      <w:pPr>
        <w:rPr>
          <w:rtl/>
        </w:rPr>
      </w:pPr>
      <w:r>
        <w:rPr>
          <w:rFonts w:hint="cs"/>
          <w:rtl/>
          <w:lang w:bidi="ar-LB"/>
        </w:rPr>
        <w:t>كما اعتبر السيد</w:t>
      </w:r>
      <w:r w:rsidRPr="00A32FC0">
        <w:rPr>
          <w:rFonts w:hint="cs"/>
          <w:rtl/>
          <w:lang w:bidi="ar-LB"/>
        </w:rPr>
        <w:t xml:space="preserve"> الخمينيّ الرواية الأولى من جملة المؤيِّدات الواضحة لولاية الفقيه</w:t>
      </w:r>
      <w:r w:rsidRPr="00064619">
        <w:rPr>
          <w:rFonts w:cs="Taher"/>
          <w:vertAlign w:val="superscript"/>
          <w:rtl/>
          <w:lang w:bidi="ar-LB"/>
        </w:rPr>
        <w:t>(</w:t>
      </w:r>
      <w:r w:rsidRPr="00064619">
        <w:rPr>
          <w:rStyle w:val="FootnoteReference"/>
          <w:rFonts w:cs="Taher"/>
          <w:sz w:val="32"/>
          <w:rtl/>
          <w:lang w:bidi="ar-LB"/>
        </w:rPr>
        <w:footnoteReference w:id="621"/>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 xml:space="preserve">إنّ دلالة هاتين الروايتين على الولاية التعيينيّة للفقهاء على الناس متوقِّفة على صحة المقدّمات التالية: </w:t>
      </w:r>
    </w:p>
    <w:p w:rsidR="00EA09EB" w:rsidRPr="00EA09EB" w:rsidRDefault="00EA09EB" w:rsidP="007A340E">
      <w:pPr>
        <w:ind w:firstLine="283"/>
        <w:rPr>
          <w:rtl/>
        </w:rPr>
      </w:pPr>
      <w:r w:rsidRPr="007A340E">
        <w:rPr>
          <w:rFonts w:hint="cs"/>
          <w:b/>
          <w:bCs/>
          <w:rtl/>
        </w:rPr>
        <w:t>الأولى</w:t>
      </w:r>
      <w:r w:rsidRPr="00EA09EB">
        <w:rPr>
          <w:rFonts w:hint="cs"/>
          <w:rtl/>
        </w:rPr>
        <w:t>: إنّ جلالة مضمون هذا الحديث الشريف يُعَدّ جابراً لضعف سنده.</w:t>
      </w:r>
    </w:p>
    <w:p w:rsidR="00EA09EB" w:rsidRPr="00EA09EB" w:rsidRDefault="00EA09EB" w:rsidP="007A340E">
      <w:pPr>
        <w:ind w:firstLine="283"/>
        <w:rPr>
          <w:rtl/>
        </w:rPr>
      </w:pPr>
      <w:r w:rsidRPr="007A340E">
        <w:rPr>
          <w:rFonts w:hint="cs"/>
          <w:b/>
          <w:bCs/>
          <w:rtl/>
        </w:rPr>
        <w:t>الثانية</w:t>
      </w:r>
      <w:r w:rsidRPr="00EA09EB">
        <w:rPr>
          <w:rFonts w:hint="cs"/>
          <w:rtl/>
        </w:rPr>
        <w:t>: إنّ المراد من العلماء هو علماء الدين، والمراد من علماء الدين هو خصوص الفقهاء.</w:t>
      </w:r>
    </w:p>
    <w:p w:rsidR="00EA09EB" w:rsidRPr="00EA09EB" w:rsidRDefault="00EA09EB" w:rsidP="007A550A">
      <w:pPr>
        <w:ind w:firstLine="283"/>
        <w:rPr>
          <w:rtl/>
        </w:rPr>
      </w:pPr>
      <w:r w:rsidRPr="007A340E">
        <w:rPr>
          <w:rFonts w:hint="cs"/>
          <w:b/>
          <w:bCs/>
          <w:rtl/>
        </w:rPr>
        <w:t>الثالثة</w:t>
      </w:r>
      <w:r w:rsidRPr="00EA09EB">
        <w:rPr>
          <w:rFonts w:hint="cs"/>
          <w:rtl/>
        </w:rPr>
        <w:t>: إنّ المراد من حاكمية العلماء على الناس والملوك هو ولايتهم التدبيريّة وزعامتهم السياسيّة، ولا تقتصر حاكميّتهم على الإفتاء والقضاء</w:t>
      </w:r>
      <w:r w:rsidR="007A550A">
        <w:rPr>
          <w:rFonts w:hint="cs"/>
          <w:rtl/>
        </w:rPr>
        <w:t xml:space="preserve"> و</w:t>
      </w:r>
      <w:r w:rsidRPr="00EA09EB">
        <w:rPr>
          <w:rFonts w:hint="cs"/>
          <w:rtl/>
        </w:rPr>
        <w:t xml:space="preserve">الحكّام والزعماء </w:t>
      </w:r>
      <w:r w:rsidR="007A550A">
        <w:rPr>
          <w:rFonts w:hint="cs"/>
          <w:rtl/>
        </w:rPr>
        <w:t>بمثابة</w:t>
      </w:r>
      <w:r w:rsidRPr="00EA09EB">
        <w:rPr>
          <w:rFonts w:hint="cs"/>
          <w:rtl/>
        </w:rPr>
        <w:t xml:space="preserve"> السلطة التنفيذيّة والإجرائيّة للفقهاء</w:t>
      </w:r>
      <w:r w:rsidRPr="00064619">
        <w:rPr>
          <w:rFonts w:cs="Taher"/>
          <w:sz w:val="32"/>
          <w:vertAlign w:val="superscript"/>
          <w:rtl/>
          <w:lang w:bidi="ar-LB"/>
        </w:rPr>
        <w:t>(</w:t>
      </w:r>
      <w:r w:rsidRPr="00064619">
        <w:rPr>
          <w:rStyle w:val="FootnoteReference"/>
          <w:rFonts w:cs="Taher"/>
          <w:sz w:val="32"/>
          <w:rtl/>
          <w:lang w:bidi="ar-LB"/>
        </w:rPr>
        <w:footnoteReference w:id="622"/>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الرابعة</w:t>
      </w:r>
      <w:r w:rsidRPr="00EA09EB">
        <w:rPr>
          <w:rFonts w:hint="cs"/>
          <w:rtl/>
        </w:rPr>
        <w:t>: إنّ عبارة «العلماء حكّام على الناس»، وكذلك «حكّام على الملوك»، وإنْ كانتا خبريّتين، إلاّ أنّهما في مقام الإنشاء. والمراد من الإنشاء ليس وجوب تعيين الفقهاء وانتخابهم للحكم، بل المراد منه تعيين الفقهاء للولاية على الناس.</w:t>
      </w:r>
    </w:p>
    <w:p w:rsidR="00EA09EB" w:rsidRPr="00EA09EB" w:rsidRDefault="00EA09EB" w:rsidP="007A340E">
      <w:pPr>
        <w:ind w:firstLine="283"/>
        <w:rPr>
          <w:rtl/>
        </w:rPr>
      </w:pPr>
      <w:r w:rsidRPr="007A340E">
        <w:rPr>
          <w:rFonts w:hint="cs"/>
          <w:b/>
          <w:bCs/>
          <w:rtl/>
        </w:rPr>
        <w:t>الخامسة</w:t>
      </w:r>
      <w:r w:rsidRPr="00EA09EB">
        <w:rPr>
          <w:rFonts w:hint="cs"/>
          <w:rtl/>
        </w:rPr>
        <w:t>: إنّ حاكمية العلماء في هذين الحديثين غير مقيَّدة بقيد، وغير مخصَّصة بمخصِّصٍ. لذا فولاية الفقهاء عامّة، بل مطلقة.</w:t>
      </w:r>
    </w:p>
    <w:p w:rsidR="00EA09EB" w:rsidRPr="00A32FC0" w:rsidRDefault="00EA09EB" w:rsidP="00EA09EB">
      <w:pPr>
        <w:rPr>
          <w:rtl/>
          <w:lang w:bidi="ar-LB"/>
        </w:rPr>
      </w:pPr>
      <w:r w:rsidRPr="00A32FC0">
        <w:rPr>
          <w:rFonts w:hint="cs"/>
          <w:rtl/>
          <w:lang w:bidi="ar-LB"/>
        </w:rPr>
        <w:t xml:space="preserve">إنّ الأكثرية الساحقة من الفقهاء لم يقبلوا دلالة هاتين الروايتين على ولاية الفقيه على الناس. </w:t>
      </w:r>
    </w:p>
    <w:p w:rsidR="00EA09EB" w:rsidRPr="00A32FC0" w:rsidRDefault="00EA09EB" w:rsidP="00EA09EB">
      <w:pPr>
        <w:rPr>
          <w:rtl/>
          <w:lang w:bidi="ar-LB"/>
        </w:rPr>
      </w:pPr>
      <w:r w:rsidRPr="00A32FC0">
        <w:rPr>
          <w:rFonts w:hint="cs"/>
          <w:rtl/>
          <w:lang w:bidi="ar-LB"/>
        </w:rPr>
        <w:t>وسوف نقوم بدراسة وتحليل هذه المقدمات على الشكل التالي:</w:t>
      </w:r>
    </w:p>
    <w:p w:rsidR="00EA09EB" w:rsidRPr="00EA09EB" w:rsidRDefault="00EA09EB" w:rsidP="007A340E">
      <w:pPr>
        <w:ind w:firstLine="283"/>
        <w:rPr>
          <w:rtl/>
        </w:rPr>
      </w:pPr>
      <w:r w:rsidRPr="00EA09EB">
        <w:rPr>
          <w:rFonts w:hint="cs"/>
          <w:rtl/>
        </w:rPr>
        <w:t>أمّا من حيث المقدّمة الأولى فإنّ كلا الحديثين مرسَل (لا سند له)، ولا اعتبار له من الناحية الفقهيّة</w:t>
      </w:r>
      <w:r w:rsidRPr="00064619">
        <w:rPr>
          <w:rFonts w:cs="Taher"/>
          <w:sz w:val="32"/>
          <w:vertAlign w:val="superscript"/>
          <w:rtl/>
          <w:lang w:bidi="ar-LB"/>
        </w:rPr>
        <w:t>(</w:t>
      </w:r>
      <w:r w:rsidRPr="00064619">
        <w:rPr>
          <w:rStyle w:val="FootnoteReference"/>
          <w:rFonts w:cs="Taher"/>
          <w:sz w:val="32"/>
          <w:rtl/>
          <w:lang w:bidi="ar-LB"/>
        </w:rPr>
        <w:footnoteReference w:id="623"/>
      </w:r>
      <w:r w:rsidRPr="00064619">
        <w:rPr>
          <w:rFonts w:cs="Taher"/>
          <w:sz w:val="32"/>
          <w:vertAlign w:val="superscript"/>
          <w:rtl/>
          <w:lang w:bidi="ar-LB"/>
        </w:rPr>
        <w:t>)</w:t>
      </w:r>
      <w:r w:rsidRPr="00EA09EB">
        <w:rPr>
          <w:rFonts w:hint="cs"/>
          <w:rtl/>
        </w:rPr>
        <w:t>. ومع أنّ شدة ضعف هذين الحديثين يغنينا عن البحث في المقدّمات الأخرى، إلاّ أنه بغضّ النظر عن هذا الضعف سوف نلاحظ أنّ بقية المقدّمات غير تامّة أيضاً.</w:t>
      </w:r>
    </w:p>
    <w:p w:rsidR="00EA09EB" w:rsidRPr="00A32FC0" w:rsidRDefault="00EA09EB" w:rsidP="00714EFE">
      <w:pPr>
        <w:pStyle w:val="Normal84"/>
        <w:rPr>
          <w:rtl/>
        </w:rPr>
      </w:pPr>
      <w:r w:rsidRPr="00A32FC0">
        <w:rPr>
          <w:rFonts w:hint="cs"/>
          <w:rtl/>
        </w:rPr>
        <w:t>وأمّا المقدّمة الثانية فعلى فرض القبول بتقييد العلماء بعلماء الدين، إلاّ أنّه لا دليل على تقييد علماء الدين بالفقهاء. فالفقهاء ليسوا هم القدر المتيقَّن من علماء الدين. وليس لفظ «علماء الدين» منصرِفاً إلى الفقهاء، ولا ظاهراً فيهم.</w:t>
      </w:r>
    </w:p>
    <w:p w:rsidR="00EA09EB" w:rsidRPr="00EA09EB" w:rsidRDefault="00EA09EB" w:rsidP="00714EFE">
      <w:pPr>
        <w:pStyle w:val="Normal84"/>
        <w:rPr>
          <w:rtl/>
        </w:rPr>
      </w:pPr>
      <w:r w:rsidRPr="00EA09EB">
        <w:rPr>
          <w:rFonts w:hint="cs"/>
          <w:rtl/>
        </w:rPr>
        <w:t xml:space="preserve">وأمّا المقدّمة الثالثة </w:t>
      </w:r>
      <w:r w:rsidRPr="007A340E">
        <w:rPr>
          <w:rFonts w:hint="cs"/>
          <w:b/>
          <w:bCs/>
          <w:rtl/>
        </w:rPr>
        <w:t>فأوّلاً</w:t>
      </w:r>
      <w:r w:rsidRPr="00EA09EB">
        <w:rPr>
          <w:rFonts w:hint="cs"/>
          <w:rtl/>
        </w:rPr>
        <w:t xml:space="preserve">: إنّ المراد من هذا الحديث هو بيان فضيلة العلم والعلماء، وغالباً ما يكون العلماء حكّاماً على قلوب الناس، والناس بطبعهم تابعون لهم. وهذه الحاكمية </w:t>
      </w:r>
      <w:r w:rsidR="007A550A">
        <w:rPr>
          <w:rFonts w:hint="cs"/>
          <w:rtl/>
        </w:rPr>
        <w:t xml:space="preserve">المعنوية </w:t>
      </w:r>
      <w:r w:rsidRPr="00EA09EB">
        <w:rPr>
          <w:rFonts w:hint="cs"/>
          <w:rtl/>
        </w:rPr>
        <w:t xml:space="preserve">على القلوب موجودة في مختلف الأديان والمذاهب، ولا تنحصر في علوم الدين، </w:t>
      </w:r>
      <w:r w:rsidR="007A550A">
        <w:rPr>
          <w:rFonts w:hint="cs"/>
          <w:rtl/>
        </w:rPr>
        <w:t xml:space="preserve">بل </w:t>
      </w:r>
      <w:r w:rsidRPr="00EA09EB">
        <w:rPr>
          <w:rFonts w:hint="cs"/>
          <w:rtl/>
        </w:rPr>
        <w:t>العلم بجميع فروعه وفنونه له نوع من السلطة على المجتمع. وهذا نظير قول الإمام علي</w:t>
      </w:r>
      <w:r>
        <w:rPr>
          <w:rFonts w:hint="cs"/>
          <w:rtl/>
        </w:rPr>
        <w:t>×</w:t>
      </w:r>
      <w:r w:rsidRPr="00EA09EB">
        <w:rPr>
          <w:rFonts w:hint="cs"/>
          <w:rtl/>
        </w:rPr>
        <w:t>: «العلم حاكم، والمال محكوم عليه». ولذلك يحتمل عدم وصول المعنى إلى الحاكميّة السياسيّة والولاية التدبيريّة أصلاً</w:t>
      </w:r>
      <w:r w:rsidRPr="00064619">
        <w:rPr>
          <w:rFonts w:cs="Taher"/>
          <w:sz w:val="32"/>
          <w:vertAlign w:val="superscript"/>
          <w:rtl/>
        </w:rPr>
        <w:t>(</w:t>
      </w:r>
      <w:r w:rsidRPr="00064619">
        <w:rPr>
          <w:rStyle w:val="FootnoteReference"/>
          <w:rFonts w:cs="Taher"/>
          <w:sz w:val="32"/>
          <w:rtl/>
        </w:rPr>
        <w:footnoteReference w:id="624"/>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b/>
          <w:bCs/>
          <w:rtl/>
          <w:lang w:bidi="ar-LB"/>
        </w:rPr>
        <w:t>وثانياً</w:t>
      </w:r>
      <w:r w:rsidRPr="00EA09EB">
        <w:rPr>
          <w:rFonts w:hint="cs"/>
          <w:rtl/>
        </w:rPr>
        <w:t>: إذا كان المراد من الحاكميّة الأعمّ من الحاكميّة المعنويّة على قلوب الناس فإن ذلك سوف يشمل حاكميّة الفقهاء على الإفتاء والقضاء، أمّا حاكميّتهم الولائيّة وزعامتهم السياسية فهي أوّل الكلام</w:t>
      </w:r>
      <w:r w:rsidRPr="00064619">
        <w:rPr>
          <w:rFonts w:cs="Taher"/>
          <w:vertAlign w:val="superscript"/>
          <w:rtl/>
          <w:lang w:bidi="ar-LB"/>
        </w:rPr>
        <w:t>(</w:t>
      </w:r>
      <w:r w:rsidRPr="00064619">
        <w:rPr>
          <w:rStyle w:val="FootnoteReference"/>
          <w:rFonts w:cs="Taher"/>
          <w:sz w:val="32"/>
          <w:rtl/>
          <w:lang w:bidi="ar-LB"/>
        </w:rPr>
        <w:footnoteReference w:id="625"/>
      </w:r>
      <w:r w:rsidRPr="00064619">
        <w:rPr>
          <w:rFonts w:cs="Taher"/>
          <w:vertAlign w:val="superscript"/>
          <w:rtl/>
          <w:lang w:bidi="ar-LB"/>
        </w:rPr>
        <w:t>)</w:t>
      </w:r>
      <w:r w:rsidRPr="00EA09EB">
        <w:rPr>
          <w:rFonts w:hint="cs"/>
          <w:rtl/>
        </w:rPr>
        <w:t>، وخاصّة أن استعمال لفظ الحكم ومشتقّاته في الكتاب والسنّة كان بخصوص القضاء</w:t>
      </w:r>
      <w:r w:rsidRPr="00064619">
        <w:rPr>
          <w:rFonts w:cs="Taher"/>
          <w:vertAlign w:val="superscript"/>
          <w:rtl/>
          <w:lang w:bidi="ar-LB"/>
        </w:rPr>
        <w:t>(</w:t>
      </w:r>
      <w:r w:rsidRPr="00064619">
        <w:rPr>
          <w:rStyle w:val="FootnoteReference"/>
          <w:rFonts w:cs="Taher"/>
          <w:sz w:val="32"/>
          <w:rtl/>
          <w:lang w:bidi="ar-LB"/>
        </w:rPr>
        <w:footnoteReference w:id="626"/>
      </w:r>
      <w:r w:rsidRPr="00064619">
        <w:rPr>
          <w:rFonts w:cs="Taher"/>
          <w:vertAlign w:val="superscript"/>
          <w:rtl/>
          <w:lang w:bidi="ar-LB"/>
        </w:rPr>
        <w:t>)</w:t>
      </w:r>
      <w:r w:rsidRPr="00A32FC0">
        <w:rPr>
          <w:rFonts w:hint="cs"/>
          <w:rtl/>
          <w:lang w:bidi="ar-LB"/>
        </w:rPr>
        <w:t>.</w:t>
      </w:r>
    </w:p>
    <w:p w:rsidR="00EA09EB" w:rsidRPr="00EA09EB" w:rsidRDefault="00EA09EB" w:rsidP="00714EFE">
      <w:pPr>
        <w:pStyle w:val="Normal87"/>
        <w:rPr>
          <w:rtl/>
        </w:rPr>
      </w:pPr>
      <w:r w:rsidRPr="00A32FC0">
        <w:rPr>
          <w:rFonts w:hint="cs"/>
          <w:rtl/>
        </w:rPr>
        <w:t xml:space="preserve">وأمّا المناقشات الأساسية في المقدّمة الرابعة فتدور حول الأمور التالية: </w:t>
      </w:r>
      <w:r w:rsidRPr="00A32FC0">
        <w:rPr>
          <w:rFonts w:hint="cs"/>
          <w:b/>
          <w:bCs/>
          <w:rtl/>
        </w:rPr>
        <w:t>أولاً</w:t>
      </w:r>
      <w:r w:rsidRPr="00EA09EB">
        <w:rPr>
          <w:rFonts w:hint="cs"/>
          <w:rtl/>
        </w:rPr>
        <w:t>: إنه ـ كما تقدم ـ الجملة هنا خبريّة، لا إنشائيّة. ولا تدلّ على أكثر من الحاكميّة المعنويّة على قلوب الناس</w:t>
      </w:r>
      <w:r w:rsidRPr="00064619">
        <w:rPr>
          <w:rFonts w:cs="Taher"/>
          <w:vertAlign w:val="superscript"/>
          <w:rtl/>
        </w:rPr>
        <w:t>(</w:t>
      </w:r>
      <w:r w:rsidRPr="00064619">
        <w:rPr>
          <w:rStyle w:val="FootnoteReference"/>
          <w:rFonts w:cs="Taher"/>
          <w:sz w:val="32"/>
          <w:rtl/>
        </w:rPr>
        <w:footnoteReference w:id="627"/>
      </w:r>
      <w:r w:rsidRPr="00064619">
        <w:rPr>
          <w:rFonts w:cs="Taher"/>
          <w:vertAlign w:val="superscript"/>
          <w:rtl/>
        </w:rPr>
        <w:t>)</w:t>
      </w:r>
      <w:r w:rsidRPr="00EA09EB">
        <w:rPr>
          <w:rFonts w:hint="cs"/>
          <w:rtl/>
        </w:rPr>
        <w:t xml:space="preserve">. </w:t>
      </w:r>
    </w:p>
    <w:p w:rsidR="00EA09EB" w:rsidRPr="00EA09EB" w:rsidRDefault="00EA09EB" w:rsidP="00714EFE">
      <w:pPr>
        <w:pStyle w:val="Normal84"/>
        <w:rPr>
          <w:rtl/>
        </w:rPr>
      </w:pPr>
      <w:r w:rsidRPr="007A340E">
        <w:rPr>
          <w:rFonts w:hint="cs"/>
          <w:b/>
          <w:bCs/>
          <w:rtl/>
        </w:rPr>
        <w:t>وثانياً</w:t>
      </w:r>
      <w:r w:rsidRPr="00EA09EB">
        <w:rPr>
          <w:rFonts w:hint="cs"/>
          <w:rtl/>
        </w:rPr>
        <w:t xml:space="preserve">: حتى لو افترضنا دلالة الرواية على الإنشاء فالإنشاء يحتمل وجهين: </w:t>
      </w:r>
      <w:r w:rsidRPr="007A340E">
        <w:rPr>
          <w:rFonts w:hint="cs"/>
          <w:b/>
          <w:bCs/>
          <w:rtl/>
        </w:rPr>
        <w:t>الأوّل</w:t>
      </w:r>
      <w:r w:rsidRPr="00EA09EB">
        <w:rPr>
          <w:rFonts w:hint="cs"/>
          <w:rtl/>
        </w:rPr>
        <w:t xml:space="preserve">: تعيين الفقهاء للولاية؛ </w:t>
      </w:r>
      <w:r w:rsidRPr="007A340E">
        <w:rPr>
          <w:rFonts w:hint="cs"/>
          <w:b/>
          <w:bCs/>
          <w:rtl/>
        </w:rPr>
        <w:t>والثاني</w:t>
      </w:r>
      <w:r w:rsidRPr="00EA09EB">
        <w:rPr>
          <w:rFonts w:hint="cs"/>
          <w:rtl/>
        </w:rPr>
        <w:t>: وجوب انتخابهم للحكم. وبهذا يصبح الدليل أعمَّ من المدَّعى، ولا ملازمة بينه وبين التعيين</w:t>
      </w:r>
      <w:r w:rsidRPr="00064619">
        <w:rPr>
          <w:rFonts w:cs="Taher"/>
          <w:sz w:val="32"/>
          <w:vertAlign w:val="superscript"/>
          <w:rtl/>
        </w:rPr>
        <w:t>(</w:t>
      </w:r>
      <w:r w:rsidRPr="00064619">
        <w:rPr>
          <w:rStyle w:val="FootnoteReference"/>
          <w:rFonts w:cs="Taher"/>
          <w:sz w:val="32"/>
          <w:rtl/>
        </w:rPr>
        <w:footnoteReference w:id="628"/>
      </w:r>
      <w:r w:rsidRPr="00064619">
        <w:rPr>
          <w:rFonts w:cs="Taher"/>
          <w:sz w:val="32"/>
          <w:vertAlign w:val="superscript"/>
          <w:rtl/>
        </w:rPr>
        <w:t>)</w:t>
      </w:r>
      <w:r w:rsidRPr="00EA09EB">
        <w:rPr>
          <w:rFonts w:hint="cs"/>
          <w:rtl/>
        </w:rPr>
        <w:t>.</w:t>
      </w:r>
    </w:p>
    <w:p w:rsidR="00EA09EB" w:rsidRPr="00EA09EB" w:rsidRDefault="00EA09EB" w:rsidP="00714EFE">
      <w:pPr>
        <w:pStyle w:val="Normal84"/>
        <w:rPr>
          <w:rtl/>
        </w:rPr>
      </w:pPr>
      <w:r w:rsidRPr="007A340E">
        <w:rPr>
          <w:rFonts w:hint="cs"/>
          <w:b/>
          <w:bCs/>
          <w:rtl/>
        </w:rPr>
        <w:t>وثالثاً</w:t>
      </w:r>
      <w:r w:rsidRPr="00EA09EB">
        <w:rPr>
          <w:rFonts w:hint="cs"/>
          <w:rtl/>
        </w:rPr>
        <w:t>: إنّ الرواية الثانية خبريّة قطعاً، وإلاّ أصبحت حاكميّة الملوك على الناس إنشاءً وتعييناً من قِبَل الشارع. وهذا واضح البطلان</w:t>
      </w:r>
      <w:r w:rsidRPr="00064619">
        <w:rPr>
          <w:rFonts w:cs="Taher"/>
          <w:sz w:val="32"/>
          <w:vertAlign w:val="superscript"/>
          <w:rtl/>
        </w:rPr>
        <w:t>(</w:t>
      </w:r>
      <w:r w:rsidRPr="00064619">
        <w:rPr>
          <w:rStyle w:val="FootnoteReference"/>
          <w:rFonts w:cs="Taher"/>
          <w:sz w:val="32"/>
          <w:rtl/>
        </w:rPr>
        <w:footnoteReference w:id="629"/>
      </w:r>
      <w:r w:rsidRPr="00064619">
        <w:rPr>
          <w:rFonts w:cs="Taher"/>
          <w:sz w:val="32"/>
          <w:vertAlign w:val="superscript"/>
          <w:rtl/>
        </w:rPr>
        <w:t>)</w:t>
      </w:r>
      <w:r w:rsidRPr="00EA09EB">
        <w:rPr>
          <w:rFonts w:hint="cs"/>
          <w:rtl/>
        </w:rPr>
        <w:t xml:space="preserve">. </w:t>
      </w:r>
    </w:p>
    <w:p w:rsidR="00EA09EB" w:rsidRPr="00A32FC0" w:rsidRDefault="00EA09EB" w:rsidP="00EA09EB">
      <w:pPr>
        <w:rPr>
          <w:rtl/>
          <w:lang w:bidi="ar-LB"/>
        </w:rPr>
      </w:pPr>
      <w:r w:rsidRPr="00A32FC0">
        <w:rPr>
          <w:rFonts w:hint="cs"/>
          <w:rtl/>
          <w:lang w:bidi="ar-LB"/>
        </w:rPr>
        <w:t xml:space="preserve">وعلى هذا فإن وحدة السياق في الرواية الثانية يقتضي الحمل على الإخبار. وبالتالي فإنّ دلالة هاتين الروايتين على التعيين غير تامّة. </w:t>
      </w:r>
    </w:p>
    <w:p w:rsidR="00EA09EB" w:rsidRPr="00A32FC0" w:rsidRDefault="00EA09EB" w:rsidP="00714EFE">
      <w:pPr>
        <w:pStyle w:val="Normal84"/>
        <w:rPr>
          <w:rtl/>
        </w:rPr>
      </w:pPr>
      <w:r w:rsidRPr="00A32FC0">
        <w:rPr>
          <w:rFonts w:hint="cs"/>
          <w:rtl/>
        </w:rPr>
        <w:t xml:space="preserve">وأمّا المقدّمة الخامسة فإنّ الرواية ليست في مقام البيان حتّى نتمسَّك بإطلاقها. </w:t>
      </w:r>
    </w:p>
    <w:p w:rsidR="00EA09EB" w:rsidRDefault="00EA09EB" w:rsidP="00714EFE">
      <w:pPr>
        <w:pStyle w:val="Normal84"/>
        <w:rPr>
          <w:rtl/>
        </w:rPr>
      </w:pPr>
      <w:r w:rsidRPr="00A32FC0">
        <w:rPr>
          <w:rFonts w:hint="cs"/>
          <w:rtl/>
        </w:rPr>
        <w:t xml:space="preserve">وبملاحظة عدم تمام المقدّمات السابقة يتّضح عدم دلالتها على الولاية العامّة. فهي لا تدلّ على أكثر من فضيلة العلم والعالم، والحاكمية المعنويّة للعلماء على قلوب الناس. </w:t>
      </w:r>
    </w:p>
    <w:p w:rsidR="007A340E" w:rsidRPr="00714EFE" w:rsidRDefault="007A340E" w:rsidP="00714EFE">
      <w:pPr>
        <w:pStyle w:val="Normal87"/>
        <w:rPr>
          <w:sz w:val="16"/>
          <w:szCs w:val="18"/>
          <w:rtl/>
        </w:rPr>
      </w:pPr>
    </w:p>
    <w:p w:rsidR="00EA09EB" w:rsidRPr="00D91745" w:rsidRDefault="00EA09EB" w:rsidP="007A340E">
      <w:pPr>
        <w:pStyle w:val="Heading4"/>
        <w:rPr>
          <w:rtl/>
        </w:rPr>
      </w:pPr>
      <w:r w:rsidRPr="007A340E">
        <w:rPr>
          <w:rFonts w:hint="cs"/>
          <w:rtl/>
        </w:rPr>
        <w:t>نتيجة</w:t>
      </w:r>
      <w:r w:rsidRPr="00D91745">
        <w:rPr>
          <w:rFonts w:hint="cs"/>
          <w:rtl/>
        </w:rPr>
        <w:t xml:space="preserve"> البحث</w:t>
      </w:r>
    </w:p>
    <w:p w:rsidR="00EA09EB" w:rsidRDefault="00EA09EB" w:rsidP="00714EFE">
      <w:pPr>
        <w:pStyle w:val="Normal84"/>
        <w:rPr>
          <w:rtl/>
        </w:rPr>
      </w:pPr>
      <w:r w:rsidRPr="00A32FC0">
        <w:rPr>
          <w:rFonts w:hint="cs"/>
          <w:rtl/>
        </w:rPr>
        <w:t>لا يمكن لهاتين الروايتين أن تصلحا دليلاً على الولاية التعيينيّة المطلقة للفقيه؛ وذلك بسبب الضعف السندي الواضح، والإشكالات الدلاليّة المتعدِّدة.</w:t>
      </w:r>
    </w:p>
    <w:p w:rsidR="00714EFE" w:rsidRPr="00714EFE" w:rsidRDefault="00714EFE" w:rsidP="00714EFE">
      <w:pPr>
        <w:pStyle w:val="Normal87"/>
        <w:rPr>
          <w:sz w:val="18"/>
          <w:szCs w:val="20"/>
          <w:rtl/>
        </w:rPr>
      </w:pPr>
    </w:p>
    <w:p w:rsidR="00EA09EB" w:rsidRPr="00E2207F" w:rsidRDefault="00EA09EB" w:rsidP="00714EFE">
      <w:pPr>
        <w:pStyle w:val="Heading3"/>
        <w:jc w:val="center"/>
        <w:rPr>
          <w:rtl/>
          <w:lang w:bidi="ar-LB"/>
        </w:rPr>
      </w:pPr>
      <w:r w:rsidRPr="00E2207F">
        <w:rPr>
          <w:rFonts w:hint="cs"/>
          <w:rtl/>
          <w:lang w:bidi="ar-LB"/>
        </w:rPr>
        <w:t xml:space="preserve">أدلّة ولاية </w:t>
      </w:r>
      <w:r w:rsidRPr="007A340E">
        <w:rPr>
          <w:rFonts w:hint="cs"/>
          <w:rtl/>
        </w:rPr>
        <w:t>الفقيه</w:t>
      </w:r>
      <w:r w:rsidRPr="00E2207F">
        <w:rPr>
          <w:rFonts w:hint="cs"/>
          <w:rtl/>
          <w:lang w:bidi="ar-LB"/>
        </w:rPr>
        <w:t xml:space="preserve"> في الروايات المنقولة عن الإمام الحسين</w:t>
      </w:r>
      <w:r w:rsidRPr="007A340E">
        <w:rPr>
          <w:rFonts w:ascii="Mosawi" w:hAnsi="Mosawi" w:cs="Mosawi" w:hint="cs"/>
          <w:sz w:val="12"/>
          <w:szCs w:val="24"/>
          <w:rtl/>
        </w:rPr>
        <w:t>×</w:t>
      </w:r>
    </w:p>
    <w:p w:rsidR="00EA09EB" w:rsidRPr="00D91745" w:rsidRDefault="00EA09EB" w:rsidP="007A340E">
      <w:pPr>
        <w:pStyle w:val="Heading3"/>
        <w:rPr>
          <w:rtl/>
        </w:rPr>
      </w:pPr>
      <w:r w:rsidRPr="00D91745">
        <w:rPr>
          <w:rFonts w:hint="cs"/>
          <w:rtl/>
        </w:rPr>
        <w:t xml:space="preserve">الرواية السادسة: «مجاري الأمور والأحكام على </w:t>
      </w:r>
      <w:r w:rsidRPr="007A340E">
        <w:rPr>
          <w:rFonts w:hint="cs"/>
          <w:rtl/>
        </w:rPr>
        <w:t>أيدي العلماء</w:t>
      </w:r>
      <w:r w:rsidRPr="00D91745">
        <w:rPr>
          <w:rFonts w:hint="cs"/>
          <w:rtl/>
        </w:rPr>
        <w:t>»</w:t>
      </w:r>
    </w:p>
    <w:p w:rsidR="00EA09EB" w:rsidRPr="00EA09EB" w:rsidRDefault="00EA09EB" w:rsidP="00714EFE">
      <w:pPr>
        <w:pStyle w:val="Normal84"/>
        <w:rPr>
          <w:rtl/>
        </w:rPr>
      </w:pPr>
      <w:r w:rsidRPr="00EA09EB">
        <w:rPr>
          <w:rFonts w:hint="cs"/>
          <w:rtl/>
        </w:rPr>
        <w:t>روي في «تحف العقول» عن الإمام الحسين بن علي</w:t>
      </w:r>
      <w:r w:rsidR="007A340E">
        <w:rPr>
          <w:rFonts w:hint="cs"/>
          <w:rtl/>
        </w:rPr>
        <w:t>’</w:t>
      </w:r>
      <w:r w:rsidRPr="00EA09EB">
        <w:rPr>
          <w:rFonts w:hint="cs"/>
          <w:rtl/>
        </w:rPr>
        <w:t>، في خطبة طويلة في الأمر بالمعروف والنهي عن المنكر، ويُروى عن أمير المؤمنين</w:t>
      </w:r>
      <w:r>
        <w:rPr>
          <w:rFonts w:hint="cs"/>
          <w:rtl/>
        </w:rPr>
        <w:t>×</w:t>
      </w:r>
      <w:r w:rsidRPr="00EA09EB">
        <w:rPr>
          <w:rFonts w:hint="cs"/>
          <w:rtl/>
        </w:rPr>
        <w:t>: «...وأنتم أعظم الناس مصيبة، كما غلبتم عليه من منازل العلماء لو كنتم تشعرون؛ ذلك بأنّ مجاري الأمور والأحكام على أيدي العلماء بالله، الأمناء على حلاله وحرامه، فأنتم المسلوبون تلك المنزلة، وما سلبتم ذلك إلاّ بتفرُّقكم عن الحقّ، واختلافكم في السنّة، بعد البيّنة الواضحة. ولو صبرتم على الأذى وتحمَّلتُم المؤونة في ذات الله، كانت أمور الله عليكم ترد، وعنكم تصدر، وإليكم ترجع، ولكنّكم مكَّنتُم الظَّلَمة من منزلتكم...»</w:t>
      </w:r>
      <w:r w:rsidRPr="00064619">
        <w:rPr>
          <w:rFonts w:cs="Taher"/>
          <w:sz w:val="32"/>
          <w:vertAlign w:val="superscript"/>
          <w:rtl/>
        </w:rPr>
        <w:t>(</w:t>
      </w:r>
      <w:r w:rsidRPr="00064619">
        <w:rPr>
          <w:rStyle w:val="FootnoteReference"/>
          <w:rFonts w:cs="Taher"/>
          <w:sz w:val="32"/>
          <w:rtl/>
        </w:rPr>
        <w:footnoteReference w:id="630"/>
      </w:r>
      <w:r w:rsidRPr="00064619">
        <w:rPr>
          <w:rFonts w:cs="Taher"/>
          <w:sz w:val="32"/>
          <w:vertAlign w:val="superscript"/>
          <w:rtl/>
        </w:rPr>
        <w:t>)</w:t>
      </w:r>
      <w:r w:rsidRPr="00EA09EB">
        <w:rPr>
          <w:rFonts w:hint="cs"/>
          <w:rtl/>
        </w:rPr>
        <w:t>.</w:t>
      </w:r>
    </w:p>
    <w:p w:rsidR="00EA09EB" w:rsidRPr="00A32FC0" w:rsidRDefault="00EA09EB" w:rsidP="00714EFE">
      <w:pPr>
        <w:pStyle w:val="Normal87"/>
        <w:rPr>
          <w:rtl/>
        </w:rPr>
      </w:pPr>
      <w:r w:rsidRPr="00A32FC0">
        <w:rPr>
          <w:rFonts w:hint="cs"/>
          <w:rtl/>
        </w:rPr>
        <w:t>إن هذه الرواية وإنّ كانت قد نُقلت عن الإمام عليّ</w:t>
      </w:r>
      <w:r>
        <w:rPr>
          <w:rFonts w:hint="cs"/>
          <w:rtl/>
        </w:rPr>
        <w:t>×</w:t>
      </w:r>
      <w:r w:rsidRPr="00A32FC0">
        <w:rPr>
          <w:rFonts w:hint="cs"/>
          <w:rtl/>
        </w:rPr>
        <w:t xml:space="preserve"> أيضاً بشكلٍ مستقلٍّ، ولكن حيث إن سندها للإمام الحسين</w:t>
      </w:r>
      <w:r>
        <w:rPr>
          <w:rFonts w:hint="cs"/>
          <w:rtl/>
        </w:rPr>
        <w:t>×</w:t>
      </w:r>
      <w:r w:rsidRPr="00A32FC0">
        <w:rPr>
          <w:rFonts w:hint="cs"/>
          <w:rtl/>
        </w:rPr>
        <w:t xml:space="preserve"> أشهر من سندها للإمام عليّ</w:t>
      </w:r>
      <w:r>
        <w:rPr>
          <w:rFonts w:hint="cs"/>
          <w:rtl/>
        </w:rPr>
        <w:t>×</w:t>
      </w:r>
      <w:r w:rsidRPr="00A32FC0">
        <w:rPr>
          <w:rFonts w:hint="cs"/>
          <w:rtl/>
        </w:rPr>
        <w:t xml:space="preserve"> ارتأينا أن نجعلها ضمن الروايات المنقولة عن الإمام الحسين</w:t>
      </w:r>
      <w:r>
        <w:rPr>
          <w:rFonts w:hint="cs"/>
          <w:rtl/>
        </w:rPr>
        <w:t>×</w:t>
      </w:r>
      <w:r w:rsidRPr="00A32FC0">
        <w:rPr>
          <w:rFonts w:hint="cs"/>
          <w:rtl/>
        </w:rPr>
        <w:t>.</w:t>
      </w:r>
    </w:p>
    <w:p w:rsidR="00EA09EB" w:rsidRPr="00A32FC0" w:rsidRDefault="00EA09EB" w:rsidP="00714EFE">
      <w:pPr>
        <w:pStyle w:val="Normal87"/>
        <w:rPr>
          <w:rtl/>
        </w:rPr>
      </w:pPr>
      <w:r w:rsidRPr="00A32FC0">
        <w:rPr>
          <w:rFonts w:hint="cs"/>
          <w:rtl/>
        </w:rPr>
        <w:t>ودلالة هذا الحديث على الولاية التعيينيّة المطلقة للفقيه متوقِّفة على صحّة المقدّمات التالية:</w:t>
      </w:r>
    </w:p>
    <w:p w:rsidR="00EA09EB" w:rsidRPr="00EA09EB" w:rsidRDefault="00EA09EB" w:rsidP="00EA09EB">
      <w:pPr>
        <w:rPr>
          <w:rtl/>
        </w:rPr>
      </w:pPr>
      <w:r w:rsidRPr="007A340E">
        <w:rPr>
          <w:rFonts w:hint="cs"/>
          <w:b/>
          <w:bCs/>
          <w:rtl/>
        </w:rPr>
        <w:t>الأولى</w:t>
      </w:r>
      <w:r w:rsidRPr="00EA09EB">
        <w:rPr>
          <w:rFonts w:hint="cs"/>
          <w:rtl/>
        </w:rPr>
        <w:t>: بملاحظة المضامين الرفيعة لهذه الرواية فإنّ إرسالها لا يُعَدّ مشكلاً. فمثل هذه العبارات لا يمكن أن تصدر إلاّ عن معصوم</w:t>
      </w:r>
      <w:r>
        <w:rPr>
          <w:rFonts w:hint="cs"/>
          <w:rtl/>
        </w:rPr>
        <w:t>×</w:t>
      </w:r>
      <w:r w:rsidRPr="00EA09EB">
        <w:rPr>
          <w:rFonts w:hint="cs"/>
          <w:rtl/>
        </w:rPr>
        <w:t>. «ومتنها موافقٌ للاعتبار والعقل»</w:t>
      </w:r>
      <w:r w:rsidRPr="00064619">
        <w:rPr>
          <w:rFonts w:cs="Taher"/>
          <w:sz w:val="32"/>
          <w:vertAlign w:val="superscript"/>
          <w:rtl/>
        </w:rPr>
        <w:t>(</w:t>
      </w:r>
      <w:r w:rsidRPr="00064619">
        <w:rPr>
          <w:rStyle w:val="FootnoteReference"/>
          <w:rFonts w:cs="Taher"/>
          <w:sz w:val="32"/>
          <w:rtl/>
        </w:rPr>
        <w:footnoteReference w:id="631"/>
      </w:r>
      <w:r w:rsidRPr="00064619">
        <w:rPr>
          <w:rFonts w:cs="Taher"/>
          <w:sz w:val="32"/>
          <w:vertAlign w:val="superscript"/>
          <w:rtl/>
        </w:rPr>
        <w:t>)</w:t>
      </w:r>
      <w:r w:rsidRPr="00EA09EB">
        <w:rPr>
          <w:rFonts w:hint="cs"/>
          <w:rtl/>
        </w:rPr>
        <w:t>.</w:t>
      </w:r>
    </w:p>
    <w:p w:rsidR="00EA09EB" w:rsidRPr="00EA09EB" w:rsidRDefault="00EA09EB" w:rsidP="00714EFE">
      <w:pPr>
        <w:pStyle w:val="Normal87"/>
        <w:rPr>
          <w:rtl/>
        </w:rPr>
      </w:pPr>
      <w:r w:rsidRPr="007A340E">
        <w:rPr>
          <w:rFonts w:hint="cs"/>
          <w:b/>
          <w:bCs/>
          <w:rtl/>
        </w:rPr>
        <w:t>الثانية</w:t>
      </w:r>
      <w:r w:rsidRPr="00EA09EB">
        <w:rPr>
          <w:rFonts w:hint="cs"/>
          <w:rtl/>
        </w:rPr>
        <w:t>: إن عبارة «العلماء بالله الأمناء على حلاله وحرامه» لا تنحصر بالأئمة المعصومين</w:t>
      </w:r>
      <w:r w:rsidR="007A340E">
        <w:rPr>
          <w:rFonts w:hint="cs"/>
          <w:rtl/>
        </w:rPr>
        <w:t>^</w:t>
      </w:r>
      <w:r w:rsidRPr="00EA09EB">
        <w:rPr>
          <w:rFonts w:hint="cs"/>
          <w:rtl/>
        </w:rPr>
        <w:t>، بل تشمل علماء الدين أيضاً. «...وأنت إنْ تدبَّرت فيها [الخطبة] صدراً وذيلاً تر أنّ وجهة الكلام لا تختصّ بعصر دون عصر، ومصر دون مصر، بل كلام صادر لضرب دستور كلّيّ للعلماء قاطبة في كلّ عصر ومصر؛ للحثّ على القيام بالأمر بالمعروف، والنهي عن المنكر، في مقابل الظلمة... والعدول عن لفظ (الأئمة) إلى (العلماء بالله الأمناء على حلاله وحرامه) لعله لتعميم الحكم بالنسبة إلى جميع العلماء العدول، الذين هم أمناء الله على حلاله وحرامه، بل إنّ انطباق هذا العنوان على غير الأئمة أظهر»</w:t>
      </w:r>
      <w:r w:rsidRPr="00064619">
        <w:rPr>
          <w:rFonts w:cs="Taher"/>
          <w:sz w:val="32"/>
          <w:vertAlign w:val="superscript"/>
          <w:rtl/>
        </w:rPr>
        <w:t>(</w:t>
      </w:r>
      <w:r w:rsidRPr="00064619">
        <w:rPr>
          <w:rStyle w:val="FootnoteReference"/>
          <w:rFonts w:cs="Taher"/>
          <w:sz w:val="32"/>
          <w:rtl/>
        </w:rPr>
        <w:footnoteReference w:id="632"/>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الثالثة</w:t>
      </w:r>
      <w:r w:rsidRPr="00EA09EB">
        <w:rPr>
          <w:rFonts w:hint="cs"/>
          <w:rtl/>
        </w:rPr>
        <w:t>: إنّ المراد من «العلماء بالله الأمناء على حلاله وحرامه» هو الفقهاء، لا المفسِّرون والمحدِّثون والمتكلِّمون وغيرهم من علماء الدين. «وتوهُّم أن للعالم بالله مقاماً فوق مقام الفقهاء فاسدٌ؛ لأنّه ليس المراد بالعالم بالله معنى فلسفيّاً أو عرفانيّاً. كما أنّه قد استشهد في صدر الرواية بقوله تعالى: ﴿</w:t>
      </w:r>
      <w:r w:rsidRPr="007A340E">
        <w:rPr>
          <w:b/>
          <w:bCs/>
          <w:rtl/>
        </w:rPr>
        <w:t>لَوْلاَ يَنْهَاهُمْ الرَّبَّانِيُّونَ وَالأَحْبَارُ</w:t>
      </w:r>
      <w:r w:rsidRPr="00EA09EB">
        <w:rPr>
          <w:rFonts w:hint="cs"/>
          <w:rtl/>
        </w:rPr>
        <w:t>﴾(المائدة: 63). والربّانيّ تعبيرٌ آخر عن العالم بالله. وكيف كان مَنْ نظر إلى الرواية، وتعميم وجهة الخطاب فيها، لا ينبغي له التأمُّل في ظهورها في المقصود»</w:t>
      </w:r>
      <w:r w:rsidRPr="00064619">
        <w:rPr>
          <w:rFonts w:cs="Taher"/>
          <w:sz w:val="32"/>
          <w:vertAlign w:val="superscript"/>
          <w:rtl/>
        </w:rPr>
        <w:t>(</w:t>
      </w:r>
      <w:r w:rsidRPr="00064619">
        <w:rPr>
          <w:rStyle w:val="FootnoteReference"/>
          <w:rFonts w:cs="Taher"/>
          <w:sz w:val="32"/>
          <w:rtl/>
        </w:rPr>
        <w:footnoteReference w:id="633"/>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الرابعة</w:t>
      </w:r>
      <w:r w:rsidRPr="00EA09EB">
        <w:rPr>
          <w:rFonts w:hint="cs"/>
          <w:rtl/>
        </w:rPr>
        <w:t>: إنّ عبارة «مجاري الأمور والأحكام» تشمل وظائف ثلاثاً: الإفتاء، والقضاء، والولاية التدبيرية. ولا يوجد عبارة في الخطبة بتمامها تصلح لتقييد هذا الإطلاق.</w:t>
      </w:r>
    </w:p>
    <w:p w:rsidR="00EA09EB" w:rsidRPr="00EA09EB" w:rsidRDefault="00EA09EB" w:rsidP="00714EFE">
      <w:pPr>
        <w:pStyle w:val="Normal87"/>
        <w:rPr>
          <w:rtl/>
        </w:rPr>
      </w:pPr>
      <w:r w:rsidRPr="007A340E">
        <w:rPr>
          <w:rFonts w:hint="cs"/>
          <w:b/>
          <w:bCs/>
          <w:rtl/>
        </w:rPr>
        <w:t>الخامسة</w:t>
      </w:r>
      <w:r w:rsidRPr="00EA09EB">
        <w:rPr>
          <w:rFonts w:hint="cs"/>
          <w:rtl/>
        </w:rPr>
        <w:t>: إنّ عبارة «مجاري الأمور والأحكام على أيدي العلماء» وإنْ كانت خبريّة، إلاّ أنّها في مقام الإنشاء وبيان التكليف، بمعنى أنّ الإمام</w:t>
      </w:r>
      <w:r>
        <w:rPr>
          <w:rFonts w:hint="cs"/>
          <w:rtl/>
        </w:rPr>
        <w:t>×</w:t>
      </w:r>
      <w:r w:rsidRPr="00EA09EB">
        <w:rPr>
          <w:rFonts w:hint="cs"/>
          <w:rtl/>
        </w:rPr>
        <w:t xml:space="preserve"> قد فوّض إدارة شؤون المسلمين للفقهاء، أي إنه يجب أن تكون زمام أمور المجتمع بأيديهم، وهذا تعبير آخر عن تعيين الفقهاء للولاية على الناس.</w:t>
      </w:r>
    </w:p>
    <w:p w:rsidR="00EA09EB" w:rsidRPr="00A32FC0" w:rsidRDefault="00EA09EB" w:rsidP="00714EFE">
      <w:pPr>
        <w:pStyle w:val="Normal87"/>
        <w:rPr>
          <w:rtl/>
        </w:rPr>
      </w:pPr>
      <w:r w:rsidRPr="00A32FC0">
        <w:rPr>
          <w:rFonts w:hint="cs"/>
          <w:b/>
          <w:bCs/>
          <w:rtl/>
        </w:rPr>
        <w:t>السادسة</w:t>
      </w:r>
      <w:r w:rsidRPr="00A32FC0">
        <w:rPr>
          <w:rFonts w:hint="cs"/>
          <w:rtl/>
        </w:rPr>
        <w:t>: لا يوجد في هذه الخطبة أيّ مقيِّد أو مخصِّص لولاية العلماء التدبيريّة. ولذلك يمكن اعتبار هذه الرواية دليلاً على الولاية العامّة، بل المطلقة، للفقهاء.</w:t>
      </w:r>
    </w:p>
    <w:p w:rsidR="00EA09EB" w:rsidRPr="00EA09EB" w:rsidRDefault="00EA09EB" w:rsidP="00714EFE">
      <w:pPr>
        <w:pStyle w:val="Normal87"/>
        <w:rPr>
          <w:rtl/>
        </w:rPr>
      </w:pPr>
      <w:r w:rsidRPr="00A32FC0">
        <w:rPr>
          <w:rFonts w:hint="cs"/>
          <w:rtl/>
        </w:rPr>
        <w:t>وقد اعتبر جمعٌ من الفقهاء،</w:t>
      </w:r>
      <w:r>
        <w:rPr>
          <w:rFonts w:hint="cs"/>
          <w:rtl/>
        </w:rPr>
        <w:t xml:space="preserve"> ومنهم: المحقِّق النراقي، والسيد</w:t>
      </w:r>
      <w:r w:rsidRPr="00A32FC0">
        <w:rPr>
          <w:rFonts w:hint="cs"/>
          <w:rtl/>
        </w:rPr>
        <w:t xml:space="preserve"> الخمينيّ، أنّ دلالة هذه الرواية على الولاية التعيينيّة للفقهاء تامّة</w:t>
      </w:r>
      <w:r w:rsidRPr="00064619">
        <w:rPr>
          <w:rFonts w:cs="Taher"/>
          <w:vertAlign w:val="superscript"/>
          <w:rtl/>
        </w:rPr>
        <w:t>(</w:t>
      </w:r>
      <w:r w:rsidRPr="00064619">
        <w:rPr>
          <w:rStyle w:val="FootnoteReference"/>
          <w:rFonts w:cs="Taher"/>
          <w:sz w:val="32"/>
          <w:rtl/>
        </w:rPr>
        <w:footnoteReference w:id="634"/>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ومن جهة أخرى ناقش جمعٌ آخر من الفقهاء دلالة هذا الحديث. وسوف نقوم بدراسة وتحليل المقدمات على الشكل التالي:</w:t>
      </w:r>
    </w:p>
    <w:p w:rsidR="00EA09EB" w:rsidRPr="00A32FC0" w:rsidRDefault="00EA09EB" w:rsidP="00EA09EB">
      <w:pPr>
        <w:rPr>
          <w:rtl/>
          <w:lang w:bidi="ar-LB"/>
        </w:rPr>
      </w:pPr>
      <w:r w:rsidRPr="00EA09EB">
        <w:rPr>
          <w:rFonts w:hint="cs"/>
          <w:rtl/>
        </w:rPr>
        <w:t>أمّا المقدّمة الأولى فالإشكال فيها محكَمٌ. فعلى الرغم من سموّ مضامين هذه الخطبة الشريفة إلاّ أنّ علم الفقه لا يرى اعتبارها؛ لأنّها مرسلة</w:t>
      </w:r>
      <w:r w:rsidRPr="00064619">
        <w:rPr>
          <w:rFonts w:cs="Taher"/>
          <w:vertAlign w:val="superscript"/>
          <w:rtl/>
          <w:lang w:bidi="ar-LB"/>
        </w:rPr>
        <w:t>(</w:t>
      </w:r>
      <w:r w:rsidRPr="00064619">
        <w:rPr>
          <w:rStyle w:val="FootnoteReference"/>
          <w:rFonts w:cs="Taher"/>
          <w:sz w:val="32"/>
          <w:rtl/>
          <w:lang w:bidi="ar-LB"/>
        </w:rPr>
        <w:footnoteReference w:id="635"/>
      </w:r>
      <w:r w:rsidRPr="00064619">
        <w:rPr>
          <w:rFonts w:cs="Taher"/>
          <w:vertAlign w:val="superscript"/>
          <w:rtl/>
          <w:lang w:bidi="ar-LB"/>
        </w:rPr>
        <w:t>)</w:t>
      </w:r>
      <w:r w:rsidRPr="00A32FC0">
        <w:rPr>
          <w:rFonts w:hint="cs"/>
          <w:rtl/>
          <w:lang w:bidi="ar-LB"/>
        </w:rPr>
        <w:t>.</w:t>
      </w:r>
    </w:p>
    <w:p w:rsidR="00EA09EB" w:rsidRPr="00EA09EB" w:rsidRDefault="00EA09EB" w:rsidP="00714EFE">
      <w:pPr>
        <w:pStyle w:val="Normal84"/>
        <w:rPr>
          <w:rtl/>
        </w:rPr>
      </w:pPr>
      <w:r w:rsidRPr="00A32FC0">
        <w:rPr>
          <w:rFonts w:hint="cs"/>
          <w:rtl/>
        </w:rPr>
        <w:t>وإنْ ناقش جمع كبير من الفقهاء في المقدّمة الثانية، واعتبروا أنّ الرواية منحصرة في الأئمّة</w:t>
      </w:r>
      <w:r w:rsidR="007A340E">
        <w:rPr>
          <w:rFonts w:hint="cs"/>
          <w:rtl/>
        </w:rPr>
        <w:t>^</w:t>
      </w:r>
      <w:r w:rsidRPr="00064619">
        <w:rPr>
          <w:rFonts w:cs="Taher"/>
          <w:vertAlign w:val="superscript"/>
          <w:rtl/>
        </w:rPr>
        <w:t>(</w:t>
      </w:r>
      <w:r w:rsidRPr="00064619">
        <w:rPr>
          <w:rStyle w:val="FootnoteReference"/>
          <w:rFonts w:cs="Taher"/>
          <w:sz w:val="32"/>
          <w:rtl/>
        </w:rPr>
        <w:footnoteReference w:id="636"/>
      </w:r>
      <w:r w:rsidRPr="00064619">
        <w:rPr>
          <w:rFonts w:cs="Taher"/>
          <w:vertAlign w:val="superscript"/>
          <w:rtl/>
        </w:rPr>
        <w:t>)</w:t>
      </w:r>
      <w:r w:rsidRPr="00EA09EB">
        <w:rPr>
          <w:rFonts w:hint="cs"/>
          <w:rtl/>
        </w:rPr>
        <w:t>، إلاّ أنّ التدقيق في العبارات التي جاءت قبل «مجاري الأمور»، وبعدها، يُظْهِر أن المخاطب في هذه الخطبة الشريفة هو الأعمّ من ذلك، ويشمل جميع العلماء في كلّ مكان وزمان.</w:t>
      </w:r>
    </w:p>
    <w:p w:rsidR="00EA09EB" w:rsidRPr="00A32FC0" w:rsidRDefault="00EA09EB" w:rsidP="00714EFE">
      <w:pPr>
        <w:pStyle w:val="Normal84"/>
        <w:rPr>
          <w:rtl/>
        </w:rPr>
      </w:pPr>
      <w:r w:rsidRPr="00A32FC0">
        <w:rPr>
          <w:rFonts w:hint="cs"/>
          <w:rtl/>
        </w:rPr>
        <w:t>وأمّا المقدّمة الثالثة فهي تامّة أيضاً؛ لأنه وإنْ كانت عبارة «العلماء بالله» عامّة، وتشمل غير الفقهاء، من قبيل: العرفاء، والحكماء، إلاّ أنّ عبارة «الأمناء على حلاله وحرامه» ظاهرة في الفقهاء، فهاتان الصفتان مجتمعتان ظاهرتان في الفقهاء.</w:t>
      </w:r>
    </w:p>
    <w:p w:rsidR="00EA09EB" w:rsidRPr="00EA09EB" w:rsidRDefault="00EA09EB" w:rsidP="00714EFE">
      <w:pPr>
        <w:pStyle w:val="Normal84"/>
        <w:rPr>
          <w:rtl/>
        </w:rPr>
      </w:pPr>
      <w:r w:rsidRPr="00EA09EB">
        <w:rPr>
          <w:rFonts w:hint="cs"/>
          <w:rtl/>
        </w:rPr>
        <w:t>وأمّا المقدّمة الرابعة فلا إشكال فيها أيضاً. وإنْ اعتبر بعض الفقهاء أنّها ناظرة إلى مرجعيّتهم في الأحكام، أي الإفتاء</w:t>
      </w:r>
      <w:r w:rsidRPr="00064619">
        <w:rPr>
          <w:rFonts w:cs="Taher"/>
          <w:sz w:val="32"/>
          <w:vertAlign w:val="superscript"/>
          <w:rtl/>
        </w:rPr>
        <w:t>(</w:t>
      </w:r>
      <w:r w:rsidRPr="00064619">
        <w:rPr>
          <w:rStyle w:val="FootnoteReference"/>
          <w:rFonts w:cs="Taher"/>
          <w:sz w:val="32"/>
          <w:rtl/>
        </w:rPr>
        <w:footnoteReference w:id="637"/>
      </w:r>
      <w:r w:rsidRPr="00064619">
        <w:rPr>
          <w:rFonts w:cs="Taher"/>
          <w:sz w:val="32"/>
          <w:vertAlign w:val="superscript"/>
          <w:rtl/>
        </w:rPr>
        <w:t>)</w:t>
      </w:r>
      <w:r w:rsidRPr="00EA09EB">
        <w:rPr>
          <w:rFonts w:hint="cs"/>
          <w:rtl/>
        </w:rPr>
        <w:t>، إلاّ أن ظهور عبارة «مجاري الأمور والأحكام» ـ بالإضافة إلى مضمون الخطبة العام، الذي يدور حول الأمر بالمعروف والنهي عن المنكر ـ يمنع هذا القول، ويُشْعِر بدخول الحكومة والزعامة وتدبير المجتمع وإدارته السياسيّة؛ إلاّ أنّ استفادة «الولاية الشرعية» بمعناها المصطلح عليه من هذا الحديث أمرٌ صعبٌ جدّاً.</w:t>
      </w:r>
    </w:p>
    <w:p w:rsidR="00EA09EB" w:rsidRPr="00A32FC0" w:rsidRDefault="00EA09EB" w:rsidP="00714EFE">
      <w:pPr>
        <w:pStyle w:val="Normal84"/>
        <w:rPr>
          <w:rtl/>
        </w:rPr>
      </w:pPr>
      <w:r w:rsidRPr="00A32FC0">
        <w:rPr>
          <w:rFonts w:hint="cs"/>
          <w:rtl/>
        </w:rPr>
        <w:t>وأمّا المقدّمة الخامسة، أي محور التعيين، فإنّه حتّى لو صحّ كون عبارة «مجاري الأمور بأيدي العلماء» في مقام الإنشاء، ويستفاد منها أنّ إدارة المجتمع هي من وظائف الفقهاء، إلاّ أن هذا غير كافٍ لإثبات تعيين الفقهاء للولاية، وهو أعمّ من المدَّعى. كما أنه لا ملازمة بينه وبين التعيين. ولا تدلّ هذه العبارة على أكثر من استحقاق الفقهاء لوظيفة إدارة المجتمع، أمّا أنّ هذا الاستحقاق بالتعيين، أم بالوكالة عن المعصوم، أم بإذنه، أم هو إرث ووصاية عن الإمام</w:t>
      </w:r>
      <w:r>
        <w:rPr>
          <w:rFonts w:hint="cs"/>
          <w:rtl/>
        </w:rPr>
        <w:t>×</w:t>
      </w:r>
      <w:r w:rsidRPr="00A32FC0">
        <w:rPr>
          <w:rFonts w:hint="cs"/>
          <w:rtl/>
        </w:rPr>
        <w:t>، أم أنّه بالانتخاب من قبل الناس؟ فالرواية تبقى مجملة من هذه الجهة. وبعبارة أخرى: يستفاد من الرواية أنّ الأمور يجب أن تكون بيد العلماء، الذين يجب عليهم إقامة دولة عادلة بالتعاون مع المسلمين، أمّا أنّ تنصيب هؤلاء العلماء هو بالتعيين أو بالانتخاب؟ فهذا أمرٌ مسكوتٌ عنه في الرواية.</w:t>
      </w:r>
    </w:p>
    <w:p w:rsidR="00EA09EB" w:rsidRDefault="00EA09EB" w:rsidP="00714EFE">
      <w:pPr>
        <w:pStyle w:val="Normal87"/>
      </w:pPr>
      <w:r w:rsidRPr="00A32FC0">
        <w:rPr>
          <w:rFonts w:hint="cs"/>
          <w:rtl/>
        </w:rPr>
        <w:t>وأمّا المقدّمة السادسة</w:t>
      </w:r>
      <w:r>
        <w:rPr>
          <w:rFonts w:hint="cs"/>
          <w:rtl/>
        </w:rPr>
        <w:t>،</w:t>
      </w:r>
      <w:r w:rsidRPr="00A32FC0">
        <w:rPr>
          <w:rFonts w:hint="cs"/>
          <w:rtl/>
        </w:rPr>
        <w:t xml:space="preserve"> أي حدود الولاية</w:t>
      </w:r>
      <w:r>
        <w:rPr>
          <w:rFonts w:hint="cs"/>
          <w:rtl/>
        </w:rPr>
        <w:t>،</w:t>
      </w:r>
      <w:r w:rsidRPr="00A32FC0">
        <w:rPr>
          <w:rFonts w:hint="cs"/>
          <w:rtl/>
        </w:rPr>
        <w:t xml:space="preserve"> فإن الإشكال الوارد فيها أنّ هذه الرواية ليست في مقام البيان من هذه الجهة، وبالتالي لا يمكن التمسُّك بالإطلاق. مع العلم أنّ عدم تخصيصها بالأمور الحسبيّة غير بعيد. لذلك فإنّ الرواية ـ على فرض صحّة مقدّماتها الأخرى ـ تدلّ على «الولاية العامة»، إلاّ أنّه لا يمكن استنباط «الولاية المطلقة» منها.</w:t>
      </w:r>
    </w:p>
    <w:p w:rsidR="007A340E" w:rsidRPr="00A32FC0" w:rsidRDefault="007A340E" w:rsidP="00714EFE">
      <w:pPr>
        <w:pStyle w:val="Normal84"/>
        <w:rPr>
          <w:rtl/>
        </w:rPr>
      </w:pPr>
    </w:p>
    <w:p w:rsidR="00EA09EB" w:rsidRPr="00D91745" w:rsidRDefault="00EA09EB" w:rsidP="007A340E">
      <w:pPr>
        <w:pStyle w:val="Heading4"/>
        <w:rPr>
          <w:rtl/>
        </w:rPr>
      </w:pPr>
      <w:r w:rsidRPr="007A340E">
        <w:rPr>
          <w:rFonts w:hint="cs"/>
          <w:rtl/>
        </w:rPr>
        <w:t>نتيجة</w:t>
      </w:r>
      <w:r w:rsidRPr="00D91745">
        <w:rPr>
          <w:rFonts w:hint="cs"/>
          <w:rtl/>
        </w:rPr>
        <w:t xml:space="preserve"> البحث</w:t>
      </w:r>
    </w:p>
    <w:p w:rsidR="00EA09EB" w:rsidRPr="00A32FC0" w:rsidRDefault="00EA09EB" w:rsidP="00EA09EB">
      <w:pPr>
        <w:rPr>
          <w:rtl/>
          <w:lang w:bidi="ar-LB"/>
        </w:rPr>
      </w:pPr>
      <w:r w:rsidRPr="00A32FC0">
        <w:rPr>
          <w:rFonts w:hint="cs"/>
          <w:rtl/>
          <w:lang w:bidi="ar-LB"/>
        </w:rPr>
        <w:t xml:space="preserve">إن رواية </w:t>
      </w:r>
      <w:r w:rsidRPr="00A32FC0">
        <w:rPr>
          <w:rFonts w:hint="cs"/>
          <w:rtl/>
        </w:rPr>
        <w:t>«</w:t>
      </w:r>
      <w:r w:rsidRPr="00A32FC0">
        <w:rPr>
          <w:rFonts w:hint="cs"/>
          <w:rtl/>
          <w:lang w:bidi="ar-LB"/>
        </w:rPr>
        <w:t>مجاري الأمور والأحكام بيد العلماء بالله، الأمناء على حلاله وحرامه</w:t>
      </w:r>
      <w:r w:rsidRPr="00A32FC0">
        <w:rPr>
          <w:rFonts w:hint="cs"/>
          <w:rtl/>
        </w:rPr>
        <w:t>»</w:t>
      </w:r>
      <w:r w:rsidRPr="00A32FC0">
        <w:rPr>
          <w:rFonts w:hint="cs"/>
          <w:rtl/>
          <w:lang w:bidi="ar-LB"/>
        </w:rPr>
        <w:t xml:space="preserve"> لو لم تواجه مشكلة الإرسال السنديّة لكان من الممكن إثبات الزعامة السياسيّة للفقهاء في الأمور العامّة من خلالها، وإنْ كانت لا تدلّ على الولاية الشرعيّة والتعيين. فإرسالُها حال دون اعتبارها فقهيّاً.</w:t>
      </w:r>
    </w:p>
    <w:p w:rsidR="007A340E" w:rsidRDefault="00EA09EB" w:rsidP="007A340E">
      <w:pPr>
        <w:pStyle w:val="Heading2"/>
        <w:jc w:val="center"/>
      </w:pPr>
      <w:r w:rsidRPr="00EA09EB">
        <w:rPr>
          <w:rtl/>
        </w:rPr>
        <w:br w:type="page"/>
      </w:r>
    </w:p>
    <w:p w:rsidR="007A340E" w:rsidRDefault="007A340E" w:rsidP="007A340E">
      <w:pPr>
        <w:rPr>
          <w:rtl/>
        </w:rPr>
        <w:sectPr w:rsidR="007A340E" w:rsidSect="009003FC">
          <w:headerReference w:type="even" r:id="rId61"/>
          <w:headerReference w:type="default" r:id="rId62"/>
          <w:headerReference w:type="first" r:id="rId63"/>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Default="007A340E" w:rsidP="007A340E"/>
    <w:p w:rsidR="00EA09EB" w:rsidRPr="00E2207F" w:rsidRDefault="00EA09EB" w:rsidP="007A340E">
      <w:pPr>
        <w:pStyle w:val="Heading2"/>
        <w:jc w:val="center"/>
        <w:rPr>
          <w:rtl/>
          <w:lang w:bidi="ar-LB"/>
        </w:rPr>
      </w:pPr>
      <w:bookmarkStart w:id="56" w:name="_Toc413658838"/>
      <w:r w:rsidRPr="00E2207F">
        <w:rPr>
          <w:rFonts w:hint="cs"/>
          <w:rtl/>
          <w:lang w:bidi="ar-LB"/>
        </w:rPr>
        <w:t>الفصل التاسع عشر: أدلّة ولاية الفقيه في الروايات المنقولة عن الإمامين الصادق والك</w:t>
      </w:r>
      <w:r w:rsidRPr="007A340E">
        <w:rPr>
          <w:rFonts w:hint="cs"/>
          <w:rtl/>
        </w:rPr>
        <w:t>اظم</w:t>
      </w:r>
      <w:r w:rsidR="007A340E" w:rsidRPr="007A340E">
        <w:rPr>
          <w:rFonts w:ascii="Mosawi" w:hAnsi="Mosawi" w:cs="Mosawi"/>
          <w:rtl/>
          <w:lang w:bidi="ar-LB"/>
        </w:rPr>
        <w:t>’</w:t>
      </w:r>
      <w:bookmarkEnd w:id="56"/>
    </w:p>
    <w:p w:rsidR="00EA09EB" w:rsidRPr="00A32FC0" w:rsidRDefault="00EA09EB" w:rsidP="00EA09EB">
      <w:pPr>
        <w:rPr>
          <w:rtl/>
          <w:lang w:bidi="ar-LB"/>
        </w:rPr>
      </w:pPr>
      <w:r w:rsidRPr="00A32FC0">
        <w:rPr>
          <w:rFonts w:hint="cs"/>
          <w:rtl/>
          <w:lang w:bidi="ar-LB"/>
        </w:rPr>
        <w:t>إن الروايات المنقولة عن الإمامين الباقر والصادق</w:t>
      </w:r>
      <w:r w:rsidR="007A340E" w:rsidRPr="007A340E">
        <w:rPr>
          <w:rFonts w:ascii="Mosawi" w:hAnsi="Mosawi"/>
          <w:sz w:val="32"/>
          <w:szCs w:val="32"/>
          <w:rtl/>
          <w:lang w:bidi="ar-LB"/>
        </w:rPr>
        <w:t>’</w:t>
      </w:r>
      <w:r w:rsidRPr="00A32FC0">
        <w:rPr>
          <w:rFonts w:hint="cs"/>
          <w:rtl/>
          <w:lang w:bidi="ar-LB"/>
        </w:rPr>
        <w:t xml:space="preserve"> </w:t>
      </w:r>
      <w:r w:rsidRPr="00A32FC0">
        <w:rPr>
          <w:rtl/>
          <w:lang w:bidi="ar-LB"/>
        </w:rPr>
        <w:t>ـ</w:t>
      </w:r>
      <w:r w:rsidRPr="00A32FC0">
        <w:rPr>
          <w:rFonts w:hint="cs"/>
          <w:rtl/>
          <w:lang w:bidi="ar-LB"/>
        </w:rPr>
        <w:t xml:space="preserve"> أي الصادقين</w:t>
      </w:r>
      <w:r w:rsidR="007A340E" w:rsidRPr="007A340E">
        <w:rPr>
          <w:rFonts w:ascii="Mosawi" w:hAnsi="Mosawi"/>
          <w:sz w:val="32"/>
          <w:szCs w:val="32"/>
          <w:rtl/>
          <w:lang w:bidi="ar-LB"/>
        </w:rPr>
        <w:t>’</w:t>
      </w:r>
      <w:r w:rsidRPr="00A32FC0">
        <w:rPr>
          <w:rFonts w:hint="cs"/>
          <w:rtl/>
          <w:lang w:bidi="ar-LB"/>
        </w:rPr>
        <w:t xml:space="preserve"> </w:t>
      </w:r>
      <w:r w:rsidRPr="00A32FC0">
        <w:rPr>
          <w:rtl/>
          <w:lang w:bidi="ar-LB"/>
        </w:rPr>
        <w:t>ـ</w:t>
      </w:r>
      <w:r>
        <w:rPr>
          <w:rFonts w:hint="cs"/>
          <w:rtl/>
          <w:lang w:bidi="ar-LB"/>
        </w:rPr>
        <w:t xml:space="preserve"> </w:t>
      </w:r>
      <w:r w:rsidRPr="00A32FC0">
        <w:rPr>
          <w:rFonts w:hint="cs"/>
          <w:rtl/>
          <w:lang w:bidi="ar-LB"/>
        </w:rPr>
        <w:t>تشكِّل ـ بلحاظ كثرتها ـ الحجم الأكبر من رواياتنا الفقهية. والأدلّة الروائيّة للأكثريّة الساحقة من الأحكام الشرعيّة في الفقه الشيعيّ تستند إلى روايات هذين الإمامين</w:t>
      </w:r>
      <w:r w:rsidR="007A340E" w:rsidRPr="007A340E">
        <w:rPr>
          <w:rFonts w:ascii="Mosawi" w:hAnsi="Mosawi"/>
          <w:sz w:val="32"/>
          <w:szCs w:val="32"/>
          <w:rtl/>
          <w:lang w:bidi="ar-LB"/>
        </w:rPr>
        <w:t>’</w:t>
      </w:r>
      <w:r w:rsidRPr="00A32FC0">
        <w:rPr>
          <w:rFonts w:hint="cs"/>
          <w:rtl/>
          <w:lang w:bidi="ar-LB"/>
        </w:rPr>
        <w:t>. إنّ أهمية دور الإمام الصادق</w:t>
      </w:r>
      <w:r>
        <w:rPr>
          <w:rFonts w:hint="cs"/>
          <w:rtl/>
        </w:rPr>
        <w:t>×</w:t>
      </w:r>
      <w:r w:rsidRPr="00A32FC0">
        <w:rPr>
          <w:rFonts w:hint="cs"/>
          <w:rtl/>
          <w:lang w:bidi="ar-LB"/>
        </w:rPr>
        <w:t xml:space="preserve"> في بناء المذهب الشيعيّ، وبخاصّة في إرساء الفقه الشيعيّ، بالغة إلى درجة إطلاق اسم المذهب الجعفريّ على مذهب الشيعة، والفقه الجعفريّ على فقه الشيعة. فقد استفاد الإمام الصادق</w:t>
      </w:r>
      <w:r>
        <w:rPr>
          <w:rFonts w:hint="cs"/>
          <w:rtl/>
        </w:rPr>
        <w:t>×</w:t>
      </w:r>
      <w:r w:rsidRPr="00A32FC0">
        <w:rPr>
          <w:rFonts w:hint="cs"/>
          <w:rtl/>
          <w:lang w:bidi="ar-LB"/>
        </w:rPr>
        <w:t xml:space="preserve"> من الفرصة الذهبيّة التي سنحت في فترة انتقال الحكم من الأمويّين إلى العباسيّين فقام بنشر تعاليم الدين الحنيف، ما جعله يترك إرثاً غنيّاً لا مثيل له من المعارف الإلهيّة. والدليل الأهمّ على مسألة ولاية الفقيه </w:t>
      </w:r>
      <w:r w:rsidRPr="00A32FC0">
        <w:rPr>
          <w:rtl/>
          <w:lang w:bidi="ar-LB"/>
        </w:rPr>
        <w:t>ـ</w:t>
      </w:r>
      <w:r w:rsidRPr="00A32FC0">
        <w:rPr>
          <w:rFonts w:hint="cs"/>
          <w:rtl/>
          <w:lang w:bidi="ar-LB"/>
        </w:rPr>
        <w:t xml:space="preserve"> مقبولة عمر بن حنظلة </w:t>
      </w:r>
      <w:r w:rsidRPr="00A32FC0">
        <w:rPr>
          <w:rtl/>
          <w:lang w:bidi="ar-LB"/>
        </w:rPr>
        <w:t>ـ</w:t>
      </w:r>
      <w:r w:rsidRPr="00A32FC0">
        <w:rPr>
          <w:rFonts w:hint="cs"/>
          <w:rtl/>
          <w:lang w:bidi="ar-LB"/>
        </w:rPr>
        <w:t xml:space="preserve"> هو إحدى الروايات التي نقلت عن الإمام الصادق</w:t>
      </w:r>
      <w:r>
        <w:rPr>
          <w:rFonts w:hint="cs"/>
          <w:rtl/>
        </w:rPr>
        <w:t>×</w:t>
      </w:r>
      <w:r w:rsidRPr="00A32FC0">
        <w:rPr>
          <w:rFonts w:hint="cs"/>
          <w:rtl/>
          <w:lang w:bidi="ar-LB"/>
        </w:rPr>
        <w:t>. كما نقل عنه</w:t>
      </w:r>
      <w:r>
        <w:rPr>
          <w:rFonts w:hint="cs"/>
          <w:rtl/>
        </w:rPr>
        <w:t>×</w:t>
      </w:r>
      <w:r w:rsidRPr="00A32FC0">
        <w:rPr>
          <w:rFonts w:hint="cs"/>
          <w:rtl/>
          <w:lang w:bidi="ar-LB"/>
        </w:rPr>
        <w:t xml:space="preserve"> رواية أخرى مضمونها قريب من مضمون المقبولة، وهي مشهورة أبي خديجة. </w:t>
      </w:r>
    </w:p>
    <w:p w:rsidR="00EA09EB" w:rsidRDefault="00EA09EB" w:rsidP="00EA09EB">
      <w:pPr>
        <w:rPr>
          <w:rtl/>
          <w:lang w:bidi="ar-LB"/>
        </w:rPr>
      </w:pPr>
      <w:r w:rsidRPr="00A32FC0">
        <w:rPr>
          <w:rFonts w:hint="cs"/>
          <w:rtl/>
          <w:lang w:bidi="ar-LB"/>
        </w:rPr>
        <w:t xml:space="preserve">وسوف ينصّب بحثنا هنا في هاتين الروايتين الهامّتين. ومن الجدير بالذكر أن حديثَيْ </w:t>
      </w:r>
      <w:r w:rsidRPr="00A32FC0">
        <w:rPr>
          <w:rFonts w:hint="cs"/>
          <w:rtl/>
        </w:rPr>
        <w:t>«</w:t>
      </w:r>
      <w:r w:rsidRPr="00A32FC0">
        <w:rPr>
          <w:rFonts w:hint="cs"/>
          <w:rtl/>
          <w:lang w:bidi="ar-LB"/>
        </w:rPr>
        <w:t>الفقهاء أمناء الرسل</w:t>
      </w:r>
      <w:r w:rsidRPr="00A32FC0">
        <w:rPr>
          <w:rFonts w:hint="cs"/>
          <w:rtl/>
        </w:rPr>
        <w:t>»</w:t>
      </w:r>
      <w:r w:rsidRPr="00A32FC0">
        <w:rPr>
          <w:rFonts w:hint="cs"/>
          <w:rtl/>
          <w:lang w:bidi="ar-LB"/>
        </w:rPr>
        <w:t xml:space="preserve"> و</w:t>
      </w:r>
      <w:r w:rsidRPr="00A32FC0">
        <w:rPr>
          <w:rFonts w:hint="cs"/>
          <w:rtl/>
        </w:rPr>
        <w:t>«</w:t>
      </w:r>
      <w:r w:rsidRPr="00A32FC0">
        <w:rPr>
          <w:rFonts w:hint="cs"/>
          <w:rtl/>
          <w:lang w:bidi="ar-LB"/>
        </w:rPr>
        <w:t>العلماء ورثة الأنبياء</w:t>
      </w:r>
      <w:r w:rsidRPr="00A32FC0">
        <w:rPr>
          <w:rFonts w:hint="cs"/>
          <w:rtl/>
        </w:rPr>
        <w:t>»</w:t>
      </w:r>
      <w:r w:rsidRPr="00A32FC0">
        <w:rPr>
          <w:rFonts w:hint="cs"/>
          <w:rtl/>
          <w:lang w:bidi="ar-LB"/>
        </w:rPr>
        <w:t xml:space="preserve"> قد رُويا عن الإمام الصادق</w:t>
      </w:r>
      <w:r>
        <w:rPr>
          <w:rFonts w:hint="cs"/>
          <w:rtl/>
        </w:rPr>
        <w:t>×</w:t>
      </w:r>
      <w:r>
        <w:rPr>
          <w:rFonts w:hint="cs"/>
          <w:rtl/>
          <w:lang w:bidi="ar-LB"/>
        </w:rPr>
        <w:t>،</w:t>
      </w:r>
      <w:r w:rsidRPr="00A32FC0">
        <w:rPr>
          <w:rFonts w:hint="cs"/>
          <w:rtl/>
          <w:lang w:bidi="ar-LB"/>
        </w:rPr>
        <w:t xml:space="preserve"> عن الرسول</w:t>
      </w:r>
      <w:r w:rsidRPr="00A32FC0">
        <w:rPr>
          <w:rFonts w:hint="cs"/>
          <w:rtl/>
        </w:rPr>
        <w:sym w:font="Roumouz" w:char="F02D"/>
      </w:r>
      <w:r w:rsidRPr="00A32FC0">
        <w:rPr>
          <w:rFonts w:hint="cs"/>
          <w:rtl/>
        </w:rPr>
        <w:t>.</w:t>
      </w:r>
      <w:r w:rsidRPr="00A32FC0">
        <w:rPr>
          <w:rFonts w:hint="cs"/>
          <w:rtl/>
          <w:lang w:bidi="ar-LB"/>
        </w:rPr>
        <w:t xml:space="preserve"> وقد تعرضنا لهذين الحديثين ضمن الروايات المنقولة عن النبيّ</w:t>
      </w:r>
      <w:r w:rsidRPr="00A32FC0">
        <w:rPr>
          <w:rFonts w:hint="cs"/>
          <w:rtl/>
        </w:rPr>
        <w:sym w:font="Roumouz" w:char="F02D"/>
      </w:r>
      <w:r w:rsidRPr="00A32FC0">
        <w:rPr>
          <w:rFonts w:hint="cs"/>
          <w:rtl/>
          <w:lang w:bidi="ar-LB"/>
        </w:rPr>
        <w:t>.</w:t>
      </w:r>
    </w:p>
    <w:p w:rsidR="007A340E" w:rsidRPr="00A32FC0" w:rsidRDefault="007A340E" w:rsidP="00EA09EB">
      <w:pPr>
        <w:rPr>
          <w:rtl/>
          <w:lang w:bidi="ar-LB"/>
        </w:rPr>
      </w:pPr>
    </w:p>
    <w:p w:rsidR="00EA09EB" w:rsidRPr="00D91745" w:rsidRDefault="00EA09EB" w:rsidP="007A340E">
      <w:pPr>
        <w:pStyle w:val="Heading3"/>
        <w:rPr>
          <w:rtl/>
        </w:rPr>
      </w:pPr>
      <w:r w:rsidRPr="00D91745">
        <w:rPr>
          <w:rFonts w:hint="cs"/>
          <w:rtl/>
        </w:rPr>
        <w:t xml:space="preserve">الرواية السابعة: </w:t>
      </w:r>
      <w:r w:rsidRPr="007A340E">
        <w:rPr>
          <w:rFonts w:hint="cs"/>
          <w:rtl/>
        </w:rPr>
        <w:t>مقبولة</w:t>
      </w:r>
      <w:r w:rsidRPr="00D91745">
        <w:rPr>
          <w:rFonts w:hint="cs"/>
          <w:rtl/>
        </w:rPr>
        <w:t xml:space="preserve"> عمر بن حنظلة</w:t>
      </w:r>
    </w:p>
    <w:p w:rsidR="00EA09EB" w:rsidRPr="00A32FC0" w:rsidRDefault="00EA09EB" w:rsidP="00EA09EB">
      <w:pPr>
        <w:rPr>
          <w:rtl/>
          <w:lang w:bidi="ar-LB"/>
        </w:rPr>
      </w:pPr>
      <w:r w:rsidRPr="00EA09EB">
        <w:rPr>
          <w:rFonts w:hint="cs"/>
          <w:rtl/>
        </w:rPr>
        <w:t>روى الكليني بسنده عن عمر بن حنظلة، قال: «سألت أبا عبد الله</w:t>
      </w:r>
      <w:r>
        <w:rPr>
          <w:rFonts w:hint="cs"/>
          <w:rtl/>
        </w:rPr>
        <w:t>×</w:t>
      </w:r>
      <w:r w:rsidRPr="00EA09EB">
        <w:rPr>
          <w:rFonts w:hint="cs"/>
          <w:rtl/>
        </w:rPr>
        <w:t xml:space="preserve"> عن رجلين من أصحابنا بينهما منازعة في دَيْن أو ميراث، فتحاكما إلى السلطان أو إلى القضاة، أيحلُّ ذلك؟ فقال</w:t>
      </w:r>
      <w:r>
        <w:rPr>
          <w:rFonts w:hint="cs"/>
          <w:rtl/>
        </w:rPr>
        <w:t>×</w:t>
      </w:r>
      <w:r w:rsidRPr="00EA09EB">
        <w:rPr>
          <w:rFonts w:hint="cs"/>
          <w:rtl/>
        </w:rPr>
        <w:t>: مَنْ تحاكم إليهم في حقٍّ أو باطل فإنّما تحاكم إلى الطاغوت، وما يحكم له فإنما يأخذ سحتاً، وإنْ كان حقّاً ثابتاً له؛ لأنه أخذه بحكم الطاغوت، وقد أمر الله أن يكفر به، قال الله تعالى: ﴿</w:t>
      </w:r>
      <w:r w:rsidRPr="00A32FC0">
        <w:rPr>
          <w:b/>
          <w:bCs/>
          <w:rtl/>
        </w:rPr>
        <w:t>يُرِيدُونَ أَنْ يَتَحَاكَمُوا إِلَى الطَّاغُوتِ وَقَدْ أُمِرُوا أَنْ يَكْفُرُوا بِهِ</w:t>
      </w:r>
      <w:r w:rsidRPr="00EA09EB">
        <w:rPr>
          <w:rFonts w:hint="cs"/>
          <w:rtl/>
        </w:rPr>
        <w:t>﴾، قلتُ: فكيف يصنعان؟ قال</w:t>
      </w:r>
      <w:r>
        <w:rPr>
          <w:rFonts w:hint="cs"/>
          <w:rtl/>
        </w:rPr>
        <w:t>×</w:t>
      </w:r>
      <w:r w:rsidRPr="00EA09EB">
        <w:rPr>
          <w:rFonts w:hint="cs"/>
          <w:rtl/>
        </w:rPr>
        <w:t>: ينظران (إلى) مَنْ كان منكم ممَّنْ قد روى حديثنا، ونظر في حلالنا وحرامنا، وعرف أحكامنا، فليرضَوْا به حَكَماً، فإنّي قد جعلته عليكم حاكماً، فإذا حكم بحكمنا فلم يقبله منه فإنّما استخفّ بحكم الله، وعلينا ردَّ، والرادُّ علينا كالرّادّ على الله، وهو على حدّ الشرك بالله»</w:t>
      </w:r>
      <w:r w:rsidRPr="00064619">
        <w:rPr>
          <w:rFonts w:cs="Taher"/>
          <w:vertAlign w:val="superscript"/>
          <w:rtl/>
        </w:rPr>
        <w:t>(</w:t>
      </w:r>
      <w:r w:rsidRPr="00064619">
        <w:rPr>
          <w:rStyle w:val="FootnoteReference"/>
          <w:rFonts w:cs="Taher"/>
          <w:sz w:val="32"/>
          <w:rtl/>
        </w:rPr>
        <w:footnoteReference w:id="638"/>
      </w:r>
      <w:r w:rsidRPr="00064619">
        <w:rPr>
          <w:rFonts w:cs="Taher"/>
          <w:vertAlign w:val="superscript"/>
          <w:rtl/>
        </w:rPr>
        <w:t>)</w:t>
      </w:r>
      <w:r w:rsidRPr="00A32FC0">
        <w:rPr>
          <w:rFonts w:hint="cs"/>
          <w:rtl/>
          <w:lang w:bidi="ar-LB"/>
        </w:rPr>
        <w:t>.</w:t>
      </w:r>
    </w:p>
    <w:p w:rsidR="00EA09EB" w:rsidRPr="00EA09EB" w:rsidRDefault="00EA09EB" w:rsidP="00EA09EB">
      <w:pPr>
        <w:rPr>
          <w:rtl/>
        </w:rPr>
      </w:pPr>
      <w:r w:rsidRPr="00A32FC0">
        <w:rPr>
          <w:rFonts w:hint="cs"/>
          <w:rtl/>
          <w:lang w:bidi="ar-LB"/>
        </w:rPr>
        <w:t>لقد نقل الشيخ الكليني هذا الحديث في أصول وفروع</w:t>
      </w:r>
      <w:r w:rsidRPr="00A32FC0">
        <w:rPr>
          <w:rFonts w:hint="cs"/>
          <w:rtl/>
        </w:rPr>
        <w:t xml:space="preserve"> «</w:t>
      </w:r>
      <w:r w:rsidRPr="00A32FC0">
        <w:rPr>
          <w:rFonts w:hint="cs"/>
          <w:rtl/>
          <w:lang w:bidi="ar-LB"/>
        </w:rPr>
        <w:t>الكافي»</w:t>
      </w:r>
      <w:r w:rsidRPr="00064619">
        <w:rPr>
          <w:rFonts w:cs="Taher"/>
          <w:vertAlign w:val="superscript"/>
          <w:rtl/>
          <w:lang w:bidi="ar-LB"/>
        </w:rPr>
        <w:t>(</w:t>
      </w:r>
      <w:r w:rsidRPr="00064619">
        <w:rPr>
          <w:rStyle w:val="FootnoteReference"/>
          <w:rFonts w:cs="Taher"/>
          <w:sz w:val="32"/>
          <w:rtl/>
          <w:lang w:bidi="ar-LB"/>
        </w:rPr>
        <w:footnoteReference w:id="639"/>
      </w:r>
      <w:r w:rsidRPr="00064619">
        <w:rPr>
          <w:rFonts w:cs="Taher"/>
          <w:vertAlign w:val="superscript"/>
          <w:rtl/>
          <w:lang w:bidi="ar-LB"/>
        </w:rPr>
        <w:t>)</w:t>
      </w:r>
      <w:r w:rsidRPr="00EA09EB">
        <w:rPr>
          <w:rFonts w:hint="cs"/>
          <w:rtl/>
        </w:rPr>
        <w:t>. كما نقله الشيخ الطوسي في موضعين من كتابه «تهذيب الأحكام»</w:t>
      </w:r>
      <w:r w:rsidRPr="00064619">
        <w:rPr>
          <w:rFonts w:cs="Taher"/>
          <w:vertAlign w:val="superscript"/>
          <w:rtl/>
          <w:lang w:bidi="ar-LB"/>
        </w:rPr>
        <w:t>(</w:t>
      </w:r>
      <w:r w:rsidRPr="00064619">
        <w:rPr>
          <w:rStyle w:val="FootnoteReference"/>
          <w:rFonts w:cs="Taher"/>
          <w:sz w:val="32"/>
          <w:rtl/>
          <w:lang w:bidi="ar-LB"/>
        </w:rPr>
        <w:footnoteReference w:id="640"/>
      </w:r>
      <w:r w:rsidRPr="00064619">
        <w:rPr>
          <w:rFonts w:cs="Taher"/>
          <w:vertAlign w:val="superscript"/>
          <w:rtl/>
          <w:lang w:bidi="ar-LB"/>
        </w:rPr>
        <w:t>)</w:t>
      </w:r>
      <w:r w:rsidRPr="00EA09EB">
        <w:rPr>
          <w:rFonts w:hint="cs"/>
          <w:rtl/>
        </w:rPr>
        <w:t>. إنّ حديث عمر بن حنظلة الذي نقلنا قسماً منه كان مستنداً في ثلاثة بحوث فقهيّة وأصوليّة:</w:t>
      </w:r>
    </w:p>
    <w:p w:rsidR="00EA09EB" w:rsidRPr="00EA09EB" w:rsidRDefault="00EA09EB" w:rsidP="007A340E">
      <w:pPr>
        <w:ind w:firstLine="283"/>
        <w:rPr>
          <w:rtl/>
        </w:rPr>
      </w:pPr>
      <w:r w:rsidRPr="007A340E">
        <w:rPr>
          <w:rFonts w:hint="cs"/>
          <w:b/>
          <w:bCs/>
          <w:rtl/>
        </w:rPr>
        <w:t>الأوّل</w:t>
      </w:r>
      <w:r w:rsidRPr="00EA09EB">
        <w:rPr>
          <w:rFonts w:hint="cs"/>
          <w:rtl/>
        </w:rPr>
        <w:t xml:space="preserve">: التعارض، في مبحث «التعادل والتراجيح»، الذي يُعَدّ من مباحث أصول الفقه التي لها تأثير كبير في علم الفقه. فقد كان هناك إشارة إلى هذا الموضوع في صدر الحديث. </w:t>
      </w:r>
    </w:p>
    <w:p w:rsidR="00EA09EB" w:rsidRPr="00A32FC0" w:rsidRDefault="00EA09EB" w:rsidP="00EA09EB">
      <w:pPr>
        <w:rPr>
          <w:rtl/>
          <w:lang w:bidi="ar-LB"/>
        </w:rPr>
      </w:pPr>
      <w:r w:rsidRPr="00A32FC0">
        <w:rPr>
          <w:rFonts w:hint="cs"/>
          <w:rtl/>
          <w:lang w:bidi="ar-LB"/>
        </w:rPr>
        <w:t xml:space="preserve">والموضع الأوّل الذي نقل فيه هذا الحديث في الكتب الروائية كان في بحث </w:t>
      </w:r>
      <w:r w:rsidRPr="00A32FC0">
        <w:rPr>
          <w:rFonts w:hint="cs"/>
          <w:rtl/>
        </w:rPr>
        <w:t>«</w:t>
      </w:r>
      <w:r w:rsidRPr="00A32FC0">
        <w:rPr>
          <w:rFonts w:hint="cs"/>
          <w:rtl/>
          <w:lang w:bidi="ar-LB"/>
        </w:rPr>
        <w:t>اختلاف الأحاديث</w:t>
      </w:r>
      <w:r w:rsidRPr="00A32FC0">
        <w:rPr>
          <w:rFonts w:hint="cs"/>
          <w:rtl/>
        </w:rPr>
        <w:t>»</w:t>
      </w:r>
      <w:r w:rsidRPr="00A32FC0">
        <w:rPr>
          <w:rFonts w:hint="cs"/>
          <w:rtl/>
          <w:lang w:bidi="ar-LB"/>
        </w:rPr>
        <w:t>.</w:t>
      </w:r>
    </w:p>
    <w:p w:rsidR="00EA09EB" w:rsidRPr="00EA09EB" w:rsidRDefault="00EA09EB" w:rsidP="00EA09EB">
      <w:pPr>
        <w:rPr>
          <w:rtl/>
        </w:rPr>
      </w:pPr>
      <w:r w:rsidRPr="007A340E">
        <w:rPr>
          <w:rFonts w:hint="cs"/>
          <w:b/>
          <w:bCs/>
          <w:rtl/>
        </w:rPr>
        <w:t>الثاني</w:t>
      </w:r>
      <w:r w:rsidRPr="00EA09EB">
        <w:rPr>
          <w:rFonts w:hint="cs"/>
          <w:rtl/>
        </w:rPr>
        <w:t>: القضاء، في مبحثَيْ النهي عن الترافع عند قضاة الجور، وتعيين الفقهاء العدول قضاة جامعين للشرائط من قِبَل الإمام الصادق</w:t>
      </w:r>
      <w:r>
        <w:rPr>
          <w:rFonts w:hint="cs"/>
          <w:rtl/>
        </w:rPr>
        <w:t>×</w:t>
      </w:r>
      <w:r w:rsidRPr="00EA09EB">
        <w:rPr>
          <w:rFonts w:hint="cs"/>
          <w:rtl/>
        </w:rPr>
        <w:t>. وقد ذُكرت هذه الرواية في كتابَيْ «فروع الكافي» و«التهذيب»، وثلاث مرات في كتاب «القضاء». وفي البدايات كان موقع بحثها في الفقه الاستدلاليّ في باب القضاء.</w:t>
      </w:r>
    </w:p>
    <w:p w:rsidR="00EA09EB" w:rsidRPr="00EA09EB" w:rsidRDefault="00EA09EB" w:rsidP="00714EFE">
      <w:pPr>
        <w:pStyle w:val="Normal87"/>
        <w:rPr>
          <w:rtl/>
        </w:rPr>
      </w:pPr>
      <w:r w:rsidRPr="007A340E">
        <w:rPr>
          <w:rFonts w:hint="cs"/>
          <w:b/>
          <w:bCs/>
          <w:rtl/>
        </w:rPr>
        <w:t>الثالث</w:t>
      </w:r>
      <w:r w:rsidRPr="00EA09EB">
        <w:rPr>
          <w:rFonts w:hint="cs"/>
          <w:rtl/>
        </w:rPr>
        <w:t>: ولاية الفقيه على الناس في الشؤون العامّة والزعامة السياسيّة وإدارة المجتمع. وكما أشرنا سابقاً بشكل مفصَّل فإنّ الفقهاء لم يتعرَّضوا لبحث ولاية الفقيه على الناس حتى القرن العاشر. وإلى ذلك الوقت لم تكن رواية عمر بن حنظلة مطروحة كدليل على ولاية الفقيه. إنّ أوّل فقيه استند إلى هذه الرواية في بحث الولاية العامّة للفقيه كان المحقِّق الكركيّ(</w:t>
      </w:r>
      <w:r w:rsidR="007A550A">
        <w:rPr>
          <w:rFonts w:hint="cs"/>
          <w:rtl/>
        </w:rPr>
        <w:t>م</w:t>
      </w:r>
      <w:r w:rsidRPr="00EA09EB">
        <w:rPr>
          <w:rFonts w:hint="cs"/>
          <w:rtl/>
        </w:rPr>
        <w:t>940هـ)</w:t>
      </w:r>
      <w:r w:rsidRPr="00064619">
        <w:rPr>
          <w:rFonts w:cs="Taher"/>
          <w:sz w:val="32"/>
          <w:vertAlign w:val="superscript"/>
          <w:rtl/>
        </w:rPr>
        <w:t>(</w:t>
      </w:r>
      <w:r w:rsidRPr="00064619">
        <w:rPr>
          <w:rStyle w:val="FootnoteReference"/>
          <w:rFonts w:cs="Taher"/>
          <w:sz w:val="32"/>
          <w:rtl/>
        </w:rPr>
        <w:footnoteReference w:id="641"/>
      </w:r>
      <w:r w:rsidRPr="00064619">
        <w:rPr>
          <w:rFonts w:cs="Taher"/>
          <w:sz w:val="32"/>
          <w:vertAlign w:val="superscript"/>
          <w:rtl/>
        </w:rPr>
        <w:t>)</w:t>
      </w:r>
      <w:r w:rsidRPr="00EA09EB">
        <w:rPr>
          <w:rFonts w:hint="cs"/>
          <w:rtl/>
        </w:rPr>
        <w:t>. كما عدَّ المحقِّق النراقيّ أيضاً هذه الرواية في جملة الأدلّة الروائيّة على ولاية الفقيه</w:t>
      </w:r>
      <w:r w:rsidRPr="00064619">
        <w:rPr>
          <w:rFonts w:cs="Taher"/>
          <w:sz w:val="32"/>
          <w:vertAlign w:val="superscript"/>
          <w:rtl/>
        </w:rPr>
        <w:t>(</w:t>
      </w:r>
      <w:r w:rsidRPr="00064619">
        <w:rPr>
          <w:rStyle w:val="FootnoteReference"/>
          <w:rFonts w:cs="Taher"/>
          <w:sz w:val="32"/>
          <w:rtl/>
        </w:rPr>
        <w:footnoteReference w:id="642"/>
      </w:r>
      <w:r w:rsidRPr="00064619">
        <w:rPr>
          <w:rFonts w:cs="Taher"/>
          <w:sz w:val="32"/>
          <w:vertAlign w:val="superscript"/>
          <w:rtl/>
        </w:rPr>
        <w:t>)</w:t>
      </w:r>
      <w:r w:rsidRPr="00EA09EB">
        <w:rPr>
          <w:rFonts w:hint="cs"/>
          <w:rtl/>
        </w:rPr>
        <w:t>. وقد أصبحت تُعَدّ في القرنين الأخيرين الدليلَ الروائيّ الأهمّ على مسألة ولاية الفقيه على الناس</w:t>
      </w:r>
      <w:r w:rsidRPr="00064619">
        <w:rPr>
          <w:rFonts w:cs="Taher"/>
          <w:sz w:val="32"/>
          <w:vertAlign w:val="superscript"/>
          <w:rtl/>
        </w:rPr>
        <w:t>(</w:t>
      </w:r>
      <w:r w:rsidRPr="00064619">
        <w:rPr>
          <w:rStyle w:val="FootnoteReference"/>
          <w:rFonts w:cs="Taher"/>
          <w:sz w:val="32"/>
          <w:rtl/>
        </w:rPr>
        <w:footnoteReference w:id="643"/>
      </w:r>
      <w:r w:rsidRPr="00064619">
        <w:rPr>
          <w:rFonts w:cs="Taher"/>
          <w:sz w:val="32"/>
          <w:vertAlign w:val="superscript"/>
          <w:rtl/>
        </w:rPr>
        <w:t>)</w:t>
      </w:r>
      <w:r w:rsidRPr="00EA09EB">
        <w:rPr>
          <w:rFonts w:hint="cs"/>
          <w:rtl/>
        </w:rPr>
        <w:t>. ومن جملة الفقهاء الذين استندوا إليها لإثبات ولاية الفقيه الشيخ محمد حسن النجفي في «جواهر الكلام»، والشيخ الأنصاري في «كتاب القضاء»، والميرزا النائينيّ، والسيد الخمينيّ</w:t>
      </w:r>
      <w:r w:rsidRPr="00064619">
        <w:rPr>
          <w:rFonts w:cs="Taher"/>
          <w:sz w:val="32"/>
          <w:vertAlign w:val="superscript"/>
          <w:rtl/>
        </w:rPr>
        <w:t>(</w:t>
      </w:r>
      <w:r w:rsidRPr="00064619">
        <w:rPr>
          <w:rStyle w:val="FootnoteReference"/>
          <w:rFonts w:cs="Taher"/>
          <w:sz w:val="32"/>
          <w:rtl/>
        </w:rPr>
        <w:footnoteReference w:id="644"/>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إنّ دلالة رواية عمر بن حنظلة على الولاية التعيينيّة المطلقة للفقيه متوقِّف على صحّة جميع المقدمات التالية:</w:t>
      </w:r>
    </w:p>
    <w:p w:rsidR="00EA09EB" w:rsidRPr="00EA09EB" w:rsidRDefault="00EA09EB" w:rsidP="007A340E">
      <w:pPr>
        <w:ind w:firstLine="283"/>
        <w:rPr>
          <w:rtl/>
        </w:rPr>
      </w:pPr>
      <w:r w:rsidRPr="007A340E">
        <w:rPr>
          <w:rFonts w:hint="cs"/>
          <w:b/>
          <w:bCs/>
          <w:rtl/>
        </w:rPr>
        <w:t>الأولى</w:t>
      </w:r>
      <w:r w:rsidRPr="00EA09EB">
        <w:rPr>
          <w:rFonts w:hint="cs"/>
          <w:rtl/>
        </w:rPr>
        <w:t xml:space="preserve">: إنّ سند الرواية وصولاً إلى الراوي المباشر </w:t>
      </w:r>
      <w:r w:rsidRPr="00EA09EB">
        <w:rPr>
          <w:rtl/>
        </w:rPr>
        <w:t>ـ</w:t>
      </w:r>
      <w:r w:rsidRPr="00EA09EB">
        <w:rPr>
          <w:rFonts w:hint="cs"/>
          <w:rtl/>
        </w:rPr>
        <w:t xml:space="preserve"> عمر بن حنظلة </w:t>
      </w:r>
      <w:r w:rsidRPr="00EA09EB">
        <w:rPr>
          <w:rtl/>
        </w:rPr>
        <w:t>ـ</w:t>
      </w:r>
      <w:r w:rsidRPr="00EA09EB">
        <w:rPr>
          <w:rFonts w:hint="cs"/>
          <w:rtl/>
        </w:rPr>
        <w:t xml:space="preserve"> لا إشكال فيه.</w:t>
      </w:r>
    </w:p>
    <w:p w:rsidR="00EA09EB" w:rsidRPr="00EA09EB" w:rsidRDefault="00EA09EB" w:rsidP="00714EFE">
      <w:pPr>
        <w:pStyle w:val="Normal87"/>
        <w:rPr>
          <w:rtl/>
        </w:rPr>
      </w:pPr>
      <w:r w:rsidRPr="007A340E">
        <w:rPr>
          <w:rFonts w:hint="cs"/>
          <w:b/>
          <w:bCs/>
          <w:rtl/>
        </w:rPr>
        <w:t>أولاً</w:t>
      </w:r>
      <w:r w:rsidRPr="00EA09EB">
        <w:rPr>
          <w:rFonts w:hint="cs"/>
          <w:rtl/>
        </w:rPr>
        <w:t>: محمد بن عيسى بن عبيد اليقطيني وُثِّق من قِبَل النجاشي والكشّي</w:t>
      </w:r>
      <w:r w:rsidRPr="00064619">
        <w:rPr>
          <w:rFonts w:cs="Taher"/>
          <w:sz w:val="32"/>
          <w:vertAlign w:val="superscript"/>
          <w:rtl/>
        </w:rPr>
        <w:t>(</w:t>
      </w:r>
      <w:r w:rsidRPr="00064619">
        <w:rPr>
          <w:rStyle w:val="FootnoteReference"/>
          <w:rFonts w:cs="Taher"/>
          <w:sz w:val="32"/>
          <w:rtl/>
        </w:rPr>
        <w:footnoteReference w:id="645"/>
      </w:r>
      <w:r w:rsidRPr="00064619">
        <w:rPr>
          <w:rFonts w:cs="Taher"/>
          <w:sz w:val="32"/>
          <w:vertAlign w:val="superscript"/>
          <w:rtl/>
        </w:rPr>
        <w:t>)</w:t>
      </w:r>
      <w:r w:rsidRPr="00EA09EB">
        <w:rPr>
          <w:rFonts w:hint="cs"/>
          <w:rtl/>
        </w:rPr>
        <w:t>. وإنْ كان الشيخ الطوسي قد ضَعَّفه في «الفهرست» و«الرجال»؛ لِغُلوِّه. كما عَدّه من المستثنين عن رجال «نوادر الحكمة» لابن بابويه</w:t>
      </w:r>
      <w:r w:rsidRPr="00064619">
        <w:rPr>
          <w:rFonts w:cs="Taher"/>
          <w:sz w:val="32"/>
          <w:vertAlign w:val="superscript"/>
          <w:rtl/>
        </w:rPr>
        <w:t>(</w:t>
      </w:r>
      <w:r w:rsidRPr="00064619">
        <w:rPr>
          <w:rStyle w:val="FootnoteReference"/>
          <w:rFonts w:cs="Taher"/>
          <w:sz w:val="32"/>
          <w:rtl/>
        </w:rPr>
        <w:footnoteReference w:id="646"/>
      </w:r>
      <w:r w:rsidRPr="00064619">
        <w:rPr>
          <w:rFonts w:cs="Taher"/>
          <w:sz w:val="32"/>
          <w:vertAlign w:val="superscript"/>
          <w:rtl/>
        </w:rPr>
        <w:t>)</w:t>
      </w:r>
      <w:r w:rsidRPr="00EA09EB">
        <w:rPr>
          <w:rFonts w:hint="cs"/>
          <w:rtl/>
        </w:rPr>
        <w:t>. إلا أنّه مع التعارض بين تضعيف الشيخ وتوثيق النجاشي يقدَّم توثيق النجاشي. بالإضافة إلى أنّه مع الالتفات إلى شيوع ظاهرة الاتّهام بالغلوّ في القرون الأولى، وخاصّة مع اعتقادات بعض الرواة الكبار حول المقامات السامية للأئمّة</w:t>
      </w:r>
      <w:r w:rsidR="007A340E">
        <w:rPr>
          <w:rFonts w:hint="cs"/>
          <w:rtl/>
        </w:rPr>
        <w:t>^</w:t>
      </w:r>
      <w:r w:rsidRPr="00EA09EB">
        <w:rPr>
          <w:rFonts w:hint="cs"/>
          <w:rtl/>
        </w:rPr>
        <w:t>. ثم إنه يحتمل أنّ لا يكون استثناؤه من رجال «نوادر الحكمة» بسبب تضعيفه، وإنّما بسبب روايته عن يونس. وعلى هذا يمكن أن يُخْدَش في تضعيف الشيخ له</w:t>
      </w:r>
      <w:r w:rsidRPr="00064619">
        <w:rPr>
          <w:rFonts w:cs="Taher"/>
          <w:sz w:val="32"/>
          <w:vertAlign w:val="superscript"/>
          <w:rtl/>
        </w:rPr>
        <w:t>(</w:t>
      </w:r>
      <w:r w:rsidRPr="00064619">
        <w:rPr>
          <w:rStyle w:val="FootnoteReference"/>
          <w:rFonts w:cs="Taher"/>
          <w:sz w:val="32"/>
          <w:rtl/>
        </w:rPr>
        <w:footnoteReference w:id="647"/>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ثانياً</w:t>
      </w:r>
      <w:r w:rsidRPr="00EA09EB">
        <w:rPr>
          <w:rFonts w:hint="cs"/>
          <w:rtl/>
        </w:rPr>
        <w:t>: داود بن الحُصين الأسديّ وُثّق أيضاً من قِبَل النجاشي</w:t>
      </w:r>
      <w:r w:rsidRPr="00064619">
        <w:rPr>
          <w:rFonts w:cs="Taher"/>
          <w:sz w:val="32"/>
          <w:vertAlign w:val="superscript"/>
          <w:rtl/>
          <w:lang w:bidi="ar-LB"/>
        </w:rPr>
        <w:t>(</w:t>
      </w:r>
      <w:r w:rsidRPr="00064619">
        <w:rPr>
          <w:rStyle w:val="FootnoteReference"/>
          <w:rFonts w:cs="Taher"/>
          <w:sz w:val="32"/>
          <w:rtl/>
          <w:lang w:bidi="ar-LB"/>
        </w:rPr>
        <w:footnoteReference w:id="648"/>
      </w:r>
      <w:r w:rsidRPr="00064619">
        <w:rPr>
          <w:rFonts w:cs="Taher"/>
          <w:sz w:val="32"/>
          <w:vertAlign w:val="superscript"/>
          <w:rtl/>
          <w:lang w:bidi="ar-LB"/>
        </w:rPr>
        <w:t>)</w:t>
      </w:r>
      <w:r w:rsidRPr="00EA09EB">
        <w:rPr>
          <w:rFonts w:hint="cs"/>
          <w:rtl/>
        </w:rPr>
        <w:t>. ونسبة الشيخ الطوسيّ</w:t>
      </w:r>
      <w:r w:rsidRPr="00064619">
        <w:rPr>
          <w:rFonts w:cs="Taher"/>
          <w:sz w:val="32"/>
          <w:vertAlign w:val="superscript"/>
          <w:rtl/>
          <w:lang w:bidi="ar-LB"/>
        </w:rPr>
        <w:t>(</w:t>
      </w:r>
      <w:r w:rsidRPr="00064619">
        <w:rPr>
          <w:rStyle w:val="FootnoteReference"/>
          <w:rFonts w:cs="Taher"/>
          <w:sz w:val="32"/>
          <w:rtl/>
          <w:lang w:bidi="ar-LB"/>
        </w:rPr>
        <w:footnoteReference w:id="649"/>
      </w:r>
      <w:r w:rsidRPr="00064619">
        <w:rPr>
          <w:rFonts w:cs="Taher"/>
          <w:sz w:val="32"/>
          <w:vertAlign w:val="superscript"/>
          <w:rtl/>
          <w:lang w:bidi="ar-LB"/>
        </w:rPr>
        <w:t>)</w:t>
      </w:r>
      <w:r w:rsidRPr="00EA09EB">
        <w:rPr>
          <w:rFonts w:hint="cs"/>
          <w:rtl/>
        </w:rPr>
        <w:t xml:space="preserve"> إيّاه إلى الواقفية لا يتنافى مع وثاقته؛ لأنه يمكن الجمع</w:t>
      </w:r>
      <w:r w:rsidRPr="00064619">
        <w:rPr>
          <w:rFonts w:cs="Taher"/>
          <w:sz w:val="32"/>
          <w:vertAlign w:val="superscript"/>
          <w:rtl/>
          <w:lang w:bidi="ar-LB"/>
        </w:rPr>
        <w:t>(</w:t>
      </w:r>
      <w:r w:rsidRPr="00064619">
        <w:rPr>
          <w:rStyle w:val="FootnoteReference"/>
          <w:rFonts w:cs="Taher"/>
          <w:sz w:val="32"/>
          <w:rtl/>
          <w:lang w:bidi="ar-LB"/>
        </w:rPr>
        <w:footnoteReference w:id="650"/>
      </w:r>
      <w:r w:rsidRPr="00064619">
        <w:rPr>
          <w:rFonts w:cs="Taher"/>
          <w:sz w:val="32"/>
          <w:vertAlign w:val="superscript"/>
          <w:rtl/>
          <w:lang w:bidi="ar-LB"/>
        </w:rPr>
        <w:t>)</w:t>
      </w:r>
      <w:r w:rsidRPr="00EA09EB">
        <w:rPr>
          <w:rFonts w:hint="cs"/>
          <w:rtl/>
        </w:rPr>
        <w:t xml:space="preserve"> بين فساد المذهب والوثاقة. والملاك في اعتبار الرواية هو الوثاقة.</w:t>
      </w:r>
    </w:p>
    <w:p w:rsidR="00EA09EB" w:rsidRPr="00EA09EB" w:rsidRDefault="00EA09EB" w:rsidP="007A340E">
      <w:pPr>
        <w:ind w:firstLine="283"/>
        <w:rPr>
          <w:rtl/>
        </w:rPr>
      </w:pPr>
      <w:r w:rsidRPr="007A340E">
        <w:rPr>
          <w:rFonts w:hint="cs"/>
          <w:b/>
          <w:bCs/>
          <w:rtl/>
        </w:rPr>
        <w:t>الثانية</w:t>
      </w:r>
      <w:r w:rsidRPr="00EA09EB">
        <w:rPr>
          <w:rFonts w:hint="cs"/>
          <w:rtl/>
        </w:rPr>
        <w:t xml:space="preserve">: إنّ عمر بن حنظلة </w:t>
      </w:r>
      <w:r w:rsidRPr="00EA09EB">
        <w:rPr>
          <w:rtl/>
        </w:rPr>
        <w:t>ـ</w:t>
      </w:r>
      <w:r w:rsidRPr="00EA09EB">
        <w:rPr>
          <w:rFonts w:hint="cs"/>
          <w:rtl/>
        </w:rPr>
        <w:t xml:space="preserve"> الراوي المباشر للحديث </w:t>
      </w:r>
      <w:r w:rsidRPr="00EA09EB">
        <w:rPr>
          <w:rtl/>
        </w:rPr>
        <w:t>ـ</w:t>
      </w:r>
      <w:r w:rsidRPr="00EA09EB">
        <w:rPr>
          <w:rFonts w:hint="cs"/>
          <w:rtl/>
        </w:rPr>
        <w:t xml:space="preserve"> وإنْ كان لم يوثَّق في </w:t>
      </w:r>
      <w:r w:rsidRPr="00714EFE">
        <w:rPr>
          <w:rFonts w:hint="cs"/>
          <w:sz w:val="26"/>
          <w:szCs w:val="28"/>
          <w:rtl/>
        </w:rPr>
        <w:t>الكتب الرجاليّة</w:t>
      </w:r>
      <w:r w:rsidRPr="00714EFE">
        <w:rPr>
          <w:rFonts w:cs="Taher"/>
          <w:sz w:val="30"/>
          <w:szCs w:val="28"/>
          <w:vertAlign w:val="superscript"/>
          <w:rtl/>
          <w:lang w:bidi="ar-LB"/>
        </w:rPr>
        <w:t>(</w:t>
      </w:r>
      <w:r w:rsidRPr="00714EFE">
        <w:rPr>
          <w:rStyle w:val="FootnoteReference"/>
          <w:rFonts w:cs="Taher"/>
          <w:sz w:val="30"/>
          <w:szCs w:val="28"/>
          <w:rtl/>
          <w:lang w:bidi="ar-LB"/>
        </w:rPr>
        <w:footnoteReference w:id="651"/>
      </w:r>
      <w:r w:rsidRPr="00714EFE">
        <w:rPr>
          <w:rFonts w:cs="Taher"/>
          <w:sz w:val="30"/>
          <w:szCs w:val="28"/>
          <w:vertAlign w:val="superscript"/>
          <w:rtl/>
          <w:lang w:bidi="ar-LB"/>
        </w:rPr>
        <w:t>)</w:t>
      </w:r>
      <w:r w:rsidRPr="00714EFE">
        <w:rPr>
          <w:rFonts w:hint="cs"/>
          <w:sz w:val="26"/>
          <w:szCs w:val="28"/>
          <w:rtl/>
        </w:rPr>
        <w:t xml:space="preserve">، إلاّ أنّ روايته مقبولة بلا إشكال، ومعمول بها؛ لأسباب </w:t>
      </w:r>
      <w:r w:rsidRPr="00EA09EB">
        <w:rPr>
          <w:rFonts w:hint="cs"/>
          <w:rtl/>
        </w:rPr>
        <w:t>ثلاثة:</w:t>
      </w:r>
    </w:p>
    <w:p w:rsidR="00EA09EB" w:rsidRPr="00EA09EB" w:rsidRDefault="00EA09EB" w:rsidP="00EA09EB">
      <w:pPr>
        <w:rPr>
          <w:rtl/>
        </w:rPr>
      </w:pPr>
      <w:r w:rsidRPr="007A340E">
        <w:rPr>
          <w:rFonts w:hint="cs"/>
          <w:b/>
          <w:bCs/>
          <w:rtl/>
        </w:rPr>
        <w:t>الأوّل</w:t>
      </w:r>
      <w:r w:rsidRPr="00EA09EB">
        <w:rPr>
          <w:rFonts w:hint="cs"/>
          <w:rtl/>
        </w:rPr>
        <w:t>: نُقل في «الكافي» و«التهذيب» روايتان عن الإمام الصادق</w:t>
      </w:r>
      <w:r>
        <w:rPr>
          <w:rFonts w:hint="cs"/>
          <w:rtl/>
        </w:rPr>
        <w:t>×</w:t>
      </w:r>
      <w:r w:rsidRPr="00EA09EB">
        <w:rPr>
          <w:rFonts w:hint="cs"/>
          <w:rtl/>
        </w:rPr>
        <w:t xml:space="preserve"> في مدحه</w:t>
      </w:r>
      <w:r w:rsidRPr="00064619">
        <w:rPr>
          <w:rFonts w:cs="Taher"/>
          <w:sz w:val="32"/>
          <w:vertAlign w:val="superscript"/>
          <w:rtl/>
          <w:lang w:bidi="ar-LB"/>
        </w:rPr>
        <w:t>(</w:t>
      </w:r>
      <w:r w:rsidRPr="00064619">
        <w:rPr>
          <w:rStyle w:val="FootnoteReference"/>
          <w:rFonts w:cs="Taher"/>
          <w:sz w:val="32"/>
          <w:rtl/>
          <w:lang w:bidi="ar-LB"/>
        </w:rPr>
        <w:footnoteReference w:id="652"/>
      </w:r>
      <w:r w:rsidRPr="00064619">
        <w:rPr>
          <w:rFonts w:cs="Taher"/>
          <w:sz w:val="32"/>
          <w:vertAlign w:val="superscript"/>
          <w:rtl/>
          <w:lang w:bidi="ar-LB"/>
        </w:rPr>
        <w:t>)</w:t>
      </w:r>
      <w:r w:rsidRPr="00EA09EB">
        <w:rPr>
          <w:rFonts w:hint="cs"/>
          <w:rtl/>
        </w:rPr>
        <w:t>. وكفى به فخراً</w:t>
      </w:r>
      <w:r w:rsidRPr="00064619">
        <w:rPr>
          <w:rFonts w:cs="Taher"/>
          <w:sz w:val="32"/>
          <w:vertAlign w:val="superscript"/>
          <w:rtl/>
          <w:lang w:bidi="ar-LB"/>
        </w:rPr>
        <w:t>(</w:t>
      </w:r>
      <w:r w:rsidRPr="00064619">
        <w:rPr>
          <w:rStyle w:val="FootnoteReference"/>
          <w:rFonts w:cs="Taher"/>
          <w:sz w:val="32"/>
          <w:rtl/>
          <w:lang w:bidi="ar-LB"/>
        </w:rPr>
        <w:footnoteReference w:id="653"/>
      </w:r>
      <w:r w:rsidRPr="00064619">
        <w:rPr>
          <w:rFonts w:cs="Taher"/>
          <w:sz w:val="32"/>
          <w:vertAlign w:val="superscript"/>
          <w:rtl/>
          <w:lang w:bidi="ar-LB"/>
        </w:rPr>
        <w:t>)</w:t>
      </w:r>
      <w:r w:rsidRPr="00EA09EB">
        <w:rPr>
          <w:rFonts w:hint="cs"/>
          <w:rtl/>
        </w:rPr>
        <w:t>. بالإضافة إلى توثيقه من قِبَل فقيهٍ كبيرٍ، كالشهيد الثاني في «الدراية»</w:t>
      </w:r>
      <w:r w:rsidRPr="00064619">
        <w:rPr>
          <w:rFonts w:cs="Taher"/>
          <w:sz w:val="32"/>
          <w:vertAlign w:val="superscript"/>
          <w:rtl/>
        </w:rPr>
        <w:t>(</w:t>
      </w:r>
      <w:r w:rsidRPr="00064619">
        <w:rPr>
          <w:rStyle w:val="FootnoteReference"/>
          <w:rFonts w:cs="Taher"/>
          <w:sz w:val="32"/>
          <w:rtl/>
        </w:rPr>
        <w:footnoteReference w:id="654"/>
      </w:r>
      <w:r w:rsidRPr="00064619">
        <w:rPr>
          <w:rFonts w:cs="Taher"/>
          <w:sz w:val="32"/>
          <w:vertAlign w:val="superscript"/>
          <w:rtl/>
        </w:rPr>
        <w:t>)</w:t>
      </w:r>
      <w:r w:rsidRPr="00EA09EB">
        <w:rPr>
          <w:rFonts w:hint="cs"/>
          <w:rtl/>
        </w:rPr>
        <w:t>. وعلى هذا فعدم توثيقه غير صحيح. وروايةُ عمر بن حنظلة موثَّقةٌ.</w:t>
      </w:r>
    </w:p>
    <w:p w:rsidR="00EA09EB" w:rsidRPr="00EA09EB" w:rsidRDefault="00EA09EB" w:rsidP="007A340E">
      <w:pPr>
        <w:ind w:firstLine="283"/>
        <w:rPr>
          <w:rtl/>
        </w:rPr>
      </w:pPr>
      <w:r w:rsidRPr="007A340E">
        <w:rPr>
          <w:rFonts w:hint="cs"/>
          <w:b/>
          <w:bCs/>
          <w:rtl/>
        </w:rPr>
        <w:t>الثاني</w:t>
      </w:r>
      <w:r w:rsidRPr="00EA09EB">
        <w:rPr>
          <w:rFonts w:hint="cs"/>
          <w:rtl/>
        </w:rPr>
        <w:t>: إنّ عمر بن حنظلة كثير الرواية</w:t>
      </w:r>
      <w:r w:rsidRPr="00064619">
        <w:rPr>
          <w:rFonts w:cs="Taher"/>
          <w:sz w:val="32"/>
          <w:vertAlign w:val="superscript"/>
          <w:rtl/>
          <w:lang w:bidi="ar-LB"/>
        </w:rPr>
        <w:t>(</w:t>
      </w:r>
      <w:r w:rsidRPr="00064619">
        <w:rPr>
          <w:rStyle w:val="FootnoteReference"/>
          <w:rFonts w:cs="Taher"/>
          <w:sz w:val="32"/>
          <w:rtl/>
          <w:lang w:bidi="ar-LB"/>
        </w:rPr>
        <w:footnoteReference w:id="655"/>
      </w:r>
      <w:r w:rsidRPr="00064619">
        <w:rPr>
          <w:rFonts w:cs="Taher"/>
          <w:sz w:val="32"/>
          <w:vertAlign w:val="superscript"/>
          <w:rtl/>
          <w:lang w:bidi="ar-LB"/>
        </w:rPr>
        <w:t>)</w:t>
      </w:r>
      <w:r w:rsidRPr="00EA09EB">
        <w:rPr>
          <w:rFonts w:hint="cs"/>
          <w:rtl/>
        </w:rPr>
        <w:t>، ويُعَدّ من مشاهير الرواة. وكثرة الرواية أمارة على وثاقة الراوي</w:t>
      </w:r>
      <w:r w:rsidRPr="00064619">
        <w:rPr>
          <w:rFonts w:cs="Taher"/>
          <w:sz w:val="32"/>
          <w:vertAlign w:val="superscript"/>
          <w:rtl/>
          <w:lang w:bidi="ar-LB"/>
        </w:rPr>
        <w:t>(</w:t>
      </w:r>
      <w:r w:rsidRPr="00064619">
        <w:rPr>
          <w:rStyle w:val="FootnoteReference"/>
          <w:rFonts w:cs="Taher"/>
          <w:sz w:val="32"/>
          <w:rtl/>
          <w:lang w:bidi="ar-LB"/>
        </w:rPr>
        <w:footnoteReference w:id="656"/>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الثالث</w:t>
      </w:r>
      <w:r w:rsidRPr="00EA09EB">
        <w:rPr>
          <w:rFonts w:hint="cs"/>
          <w:rtl/>
        </w:rPr>
        <w:t>: لقد تلقّى الأصحاب هذه الرواية بالقبول. وهي منذ القِدَم مشهورةٌ بأنّها مقبولة. ويعدُّ العمل بهذه الرواية في أبواب مختلفة من الفقه، مثل: القضاء، والتعادل والتراجيح، وأخيراً ولاية الفقيه، دليلاً مهمّاً على اعتبار سندها، وجابراً لضعف هذا السند</w:t>
      </w:r>
      <w:r w:rsidRPr="00064619">
        <w:rPr>
          <w:rFonts w:cs="Taher"/>
          <w:sz w:val="32"/>
          <w:vertAlign w:val="superscript"/>
          <w:rtl/>
          <w:lang w:bidi="ar-LB"/>
        </w:rPr>
        <w:t>(</w:t>
      </w:r>
      <w:r w:rsidRPr="00064619">
        <w:rPr>
          <w:rStyle w:val="FootnoteReference"/>
          <w:rFonts w:cs="Taher"/>
          <w:sz w:val="32"/>
          <w:rtl/>
          <w:lang w:bidi="ar-LB"/>
        </w:rPr>
        <w:footnoteReference w:id="657"/>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الثالثة</w:t>
      </w:r>
      <w:r w:rsidRPr="00EA09EB">
        <w:rPr>
          <w:rFonts w:hint="cs"/>
          <w:rtl/>
        </w:rPr>
        <w:t>: إنّ المراد من عبارة «مَنْ كان منكم ممَّنْ قد روى حديثنا، ونظر في حلالنا وحرامنا، وعرف أحكامنا» هو فقهاء الإمامية؛ وذلك لأسباب ثلاثة:</w:t>
      </w:r>
    </w:p>
    <w:p w:rsidR="00EA09EB" w:rsidRPr="00EA09EB" w:rsidRDefault="00EA09EB" w:rsidP="007A340E">
      <w:pPr>
        <w:ind w:firstLine="283"/>
        <w:rPr>
          <w:rtl/>
        </w:rPr>
      </w:pPr>
      <w:r w:rsidRPr="007A340E">
        <w:rPr>
          <w:rFonts w:hint="cs"/>
          <w:b/>
          <w:bCs/>
          <w:rtl/>
        </w:rPr>
        <w:t>الأول</w:t>
      </w:r>
      <w:r w:rsidRPr="00EA09EB">
        <w:rPr>
          <w:rFonts w:hint="cs"/>
          <w:rtl/>
        </w:rPr>
        <w:t xml:space="preserve">: إنّ رواية الحديث وحدها من دون دراية غير كافية. ولذلك فإنّ صفة كون الراوي مطَّلعاً على الحلال والحرام، وعالماً بالأحكام، المذكورة في ذيل الحديث، تُعَدّ قرينة قطعيّة على عدم كفاية روايته للحديث. </w:t>
      </w:r>
    </w:p>
    <w:p w:rsidR="00EA09EB" w:rsidRPr="00EA09EB" w:rsidRDefault="00EA09EB" w:rsidP="007A340E">
      <w:pPr>
        <w:ind w:firstLine="283"/>
        <w:rPr>
          <w:rtl/>
        </w:rPr>
      </w:pPr>
      <w:r w:rsidRPr="007A340E">
        <w:rPr>
          <w:rFonts w:hint="cs"/>
          <w:b/>
          <w:bCs/>
          <w:rtl/>
        </w:rPr>
        <w:t>الثاني</w:t>
      </w:r>
      <w:r w:rsidRPr="00EA09EB">
        <w:rPr>
          <w:rFonts w:hint="cs"/>
          <w:rtl/>
        </w:rPr>
        <w:t>: لا يكفي الاطّلاع على الأحكام. وبعبارة أخرى: إنّ التقليد غير كافٍ، بل يُشترط أن يكون مجتهداً، ومستنبطاً للأحكام. وعبارة «ونظر في حلالنا وحرامنا وعرف أحكامنا» تدلّ على شرط الاجتهاد، وعدم كفاية العلم عن طريق التقليد.</w:t>
      </w:r>
    </w:p>
    <w:p w:rsidR="00EA09EB" w:rsidRPr="00EA09EB" w:rsidRDefault="00EA09EB" w:rsidP="007A340E">
      <w:pPr>
        <w:ind w:firstLine="283"/>
        <w:rPr>
          <w:rtl/>
        </w:rPr>
      </w:pPr>
      <w:r w:rsidRPr="007A340E">
        <w:rPr>
          <w:rFonts w:hint="cs"/>
          <w:b/>
          <w:bCs/>
          <w:rtl/>
        </w:rPr>
        <w:t>الثالث</w:t>
      </w:r>
      <w:r w:rsidRPr="00EA09EB">
        <w:rPr>
          <w:rFonts w:hint="cs"/>
          <w:rtl/>
        </w:rPr>
        <w:t>: إنّ كلمة «منكم» في صدر الحديث، وإضافة «حديث»، «حلال»، «حرام»، و«أحكام»، إلى «نا»، ظاهرةٌ بشكلٍ واضحٍ في اشتراط كون الراوي المقصود إماميّاً، أي إنّ الاجتهاد يجب أن يكون طبقاً لمذهب أهل البيت</w:t>
      </w:r>
      <w:r w:rsidR="007A340E">
        <w:rPr>
          <w:rFonts w:hint="cs"/>
          <w:rtl/>
        </w:rPr>
        <w:t>^</w:t>
      </w:r>
      <w:r w:rsidRPr="00EA09EB">
        <w:rPr>
          <w:rFonts w:hint="cs"/>
          <w:rtl/>
        </w:rPr>
        <w:t xml:space="preserve">. </w:t>
      </w:r>
    </w:p>
    <w:p w:rsidR="00EA09EB" w:rsidRPr="00EA09EB" w:rsidRDefault="00EA09EB" w:rsidP="00714EFE">
      <w:pPr>
        <w:pStyle w:val="Normal87"/>
        <w:rPr>
          <w:rtl/>
        </w:rPr>
      </w:pPr>
      <w:r w:rsidRPr="007A340E">
        <w:rPr>
          <w:rFonts w:hint="cs"/>
          <w:b/>
          <w:bCs/>
          <w:rtl/>
        </w:rPr>
        <w:t>الرابعة</w:t>
      </w:r>
      <w:r w:rsidRPr="00EA09EB">
        <w:rPr>
          <w:rFonts w:hint="cs"/>
          <w:rtl/>
        </w:rPr>
        <w:t>: إنّ عبارة «فإنّي قد جعلتُه عليكم حاكماً» هي نصٌّ في تعيين الفقهاء من قِبَل الإمام الصادق</w:t>
      </w:r>
      <w:r>
        <w:rPr>
          <w:rFonts w:hint="cs"/>
          <w:rtl/>
        </w:rPr>
        <w:t>×</w:t>
      </w:r>
      <w:r w:rsidRPr="00EA09EB">
        <w:rPr>
          <w:rFonts w:hint="cs"/>
          <w:rtl/>
        </w:rPr>
        <w:t>. وعلى هذا الأساس فإنّ المراد من عبارة «فليرضَوْا به حَكَماً» هو فقط تعيين حاكم شرعيّ، لا شيء آخر. وبعبارة أخرى: إن الإمام</w:t>
      </w:r>
      <w:r>
        <w:rPr>
          <w:rFonts w:hint="cs"/>
          <w:rtl/>
        </w:rPr>
        <w:t>×</w:t>
      </w:r>
      <w:r w:rsidRPr="00EA09EB">
        <w:rPr>
          <w:rFonts w:hint="cs"/>
          <w:rtl/>
        </w:rPr>
        <w:t xml:space="preserve"> نهى عن الرجوع إلى قضاة الجور وسلاطينه؛ وفي المقابل أمر الشيعة بأن يرضَوْا بحكم الفقهاء وأَمْرِهم. وعلى هذا فلا دلالة لهذه العبارة في الرواية على صلاحية انتخاب الناس لقاضي التحكيم، بل هي ظاهرة في القاضي والحاكم المعيَّن، ولا علاقة لرضا الطرفين في القاضي المعيَّن</w:t>
      </w:r>
      <w:r w:rsidRPr="00064619">
        <w:rPr>
          <w:rFonts w:cs="Taher"/>
          <w:sz w:val="32"/>
          <w:vertAlign w:val="superscript"/>
          <w:rtl/>
        </w:rPr>
        <w:t>(</w:t>
      </w:r>
      <w:r w:rsidRPr="00064619">
        <w:rPr>
          <w:rStyle w:val="FootnoteReference"/>
          <w:rFonts w:cs="Taher"/>
          <w:sz w:val="32"/>
          <w:rtl/>
        </w:rPr>
        <w:footnoteReference w:id="658"/>
      </w:r>
      <w:r w:rsidRPr="00064619">
        <w:rPr>
          <w:rFonts w:cs="Taher"/>
          <w:sz w:val="32"/>
          <w:vertAlign w:val="superscript"/>
          <w:rtl/>
        </w:rPr>
        <w:t>)</w:t>
      </w:r>
      <w:r w:rsidRPr="00EA09EB">
        <w:rPr>
          <w:rFonts w:hint="cs"/>
          <w:rtl/>
        </w:rPr>
        <w:t>. وكما هو الحال في الوالي المعيَّن كذلك هو في المتنازعين في القضاء، فالناس فيهما مكلَّفون بالرضا والقبول. وهكذا أيضاً في الولاية. وهذا هو معنى التسليم بحكم الله، لا شيء آخر.</w:t>
      </w:r>
    </w:p>
    <w:p w:rsidR="00EA09EB" w:rsidRPr="00EA09EB" w:rsidRDefault="00EA09EB" w:rsidP="00714EFE">
      <w:pPr>
        <w:pStyle w:val="Normal87"/>
        <w:rPr>
          <w:rtl/>
        </w:rPr>
      </w:pPr>
      <w:r w:rsidRPr="007A340E">
        <w:rPr>
          <w:rFonts w:hint="cs"/>
          <w:b/>
          <w:bCs/>
          <w:rtl/>
        </w:rPr>
        <w:t>الخامسة</w:t>
      </w:r>
      <w:r w:rsidRPr="00EA09EB">
        <w:rPr>
          <w:rFonts w:hint="cs"/>
          <w:rtl/>
        </w:rPr>
        <w:t>: إنّ تعيين الفقهاء من قِبَل الإمام الصادق</w:t>
      </w:r>
      <w:r>
        <w:rPr>
          <w:rFonts w:hint="cs"/>
          <w:rtl/>
        </w:rPr>
        <w:t>×</w:t>
      </w:r>
      <w:r w:rsidRPr="00EA09EB">
        <w:rPr>
          <w:rFonts w:hint="cs"/>
          <w:rtl/>
        </w:rPr>
        <w:t xml:space="preserve"> هو </w:t>
      </w:r>
      <w:r w:rsidRPr="007A340E">
        <w:rPr>
          <w:rFonts w:hint="cs"/>
          <w:b/>
          <w:bCs/>
          <w:rtl/>
        </w:rPr>
        <w:t>أولاً</w:t>
      </w:r>
      <w:r w:rsidRPr="00EA09EB">
        <w:rPr>
          <w:rFonts w:hint="cs"/>
          <w:rtl/>
        </w:rPr>
        <w:t>: ذو فائدة في زمان وجوده</w:t>
      </w:r>
      <w:r>
        <w:rPr>
          <w:rFonts w:hint="cs"/>
          <w:rtl/>
        </w:rPr>
        <w:t>×</w:t>
      </w:r>
      <w:r w:rsidRPr="00EA09EB">
        <w:rPr>
          <w:rFonts w:hint="cs"/>
          <w:rtl/>
        </w:rPr>
        <w:t xml:space="preserve">، وبعد وفاته، وليس لَغْواً؛ </w:t>
      </w:r>
      <w:r w:rsidRPr="007A340E">
        <w:rPr>
          <w:rFonts w:hint="cs"/>
          <w:b/>
          <w:bCs/>
          <w:rtl/>
        </w:rPr>
        <w:t>وثانياً</w:t>
      </w:r>
      <w:r w:rsidRPr="00EA09EB">
        <w:rPr>
          <w:rFonts w:hint="cs"/>
          <w:rtl/>
        </w:rPr>
        <w:t>: إن هذا التعيين لا ينتقض بوفاته، بل يحتاج إلى نقض من طرف الأئمّة اللاحقين</w:t>
      </w:r>
      <w:r w:rsidR="007A340E">
        <w:rPr>
          <w:rFonts w:hint="cs"/>
          <w:rtl/>
        </w:rPr>
        <w:t>^</w:t>
      </w:r>
      <w:r w:rsidRPr="00EA09EB">
        <w:rPr>
          <w:rFonts w:hint="cs"/>
          <w:rtl/>
        </w:rPr>
        <w:t xml:space="preserve">؛ </w:t>
      </w:r>
      <w:r w:rsidRPr="007A340E">
        <w:rPr>
          <w:rFonts w:hint="cs"/>
          <w:b/>
          <w:bCs/>
          <w:rtl/>
        </w:rPr>
        <w:t>وثالثاً</w:t>
      </w:r>
      <w:r w:rsidRPr="00EA09EB">
        <w:rPr>
          <w:rFonts w:hint="cs"/>
          <w:rtl/>
        </w:rPr>
        <w:t>: إن الأئمّة اللاحقين لم ينقضوا هذا التعيين. لذلك فإن تعيين الفقهاء مستمرّ في عصر الغيبة</w:t>
      </w:r>
      <w:r w:rsidRPr="00064619">
        <w:rPr>
          <w:rFonts w:cs="Taher"/>
          <w:sz w:val="32"/>
          <w:vertAlign w:val="superscript"/>
          <w:rtl/>
        </w:rPr>
        <w:t>(</w:t>
      </w:r>
      <w:r w:rsidRPr="00064619">
        <w:rPr>
          <w:rStyle w:val="FootnoteReference"/>
          <w:rFonts w:cs="Taher"/>
          <w:sz w:val="32"/>
          <w:rtl/>
        </w:rPr>
        <w:footnoteReference w:id="659"/>
      </w:r>
      <w:r w:rsidRPr="00064619">
        <w:rPr>
          <w:rFonts w:cs="Taher"/>
          <w:sz w:val="32"/>
          <w:vertAlign w:val="superscript"/>
          <w:rtl/>
        </w:rPr>
        <w:t>)</w:t>
      </w:r>
      <w:r w:rsidRPr="00EA09EB">
        <w:rPr>
          <w:rFonts w:hint="cs"/>
          <w:rtl/>
        </w:rPr>
        <w:t>.</w:t>
      </w:r>
    </w:p>
    <w:p w:rsidR="00EA09EB" w:rsidRPr="00EA09EB" w:rsidRDefault="00EA09EB" w:rsidP="00714EFE">
      <w:pPr>
        <w:pStyle w:val="Normal84"/>
        <w:rPr>
          <w:rtl/>
        </w:rPr>
      </w:pPr>
      <w:r w:rsidRPr="007A340E">
        <w:rPr>
          <w:rFonts w:hint="cs"/>
          <w:b/>
          <w:bCs/>
          <w:rtl/>
        </w:rPr>
        <w:t>السادسة</w:t>
      </w:r>
      <w:r w:rsidRPr="00EA09EB">
        <w:rPr>
          <w:rFonts w:hint="cs"/>
          <w:rtl/>
        </w:rPr>
        <w:t xml:space="preserve">: إنّ متعلَّق تعيين الفقهاء </w:t>
      </w:r>
      <w:r w:rsidRPr="00EA09EB">
        <w:rPr>
          <w:rtl/>
        </w:rPr>
        <w:t>ـ</w:t>
      </w:r>
      <w:r w:rsidRPr="00EA09EB">
        <w:rPr>
          <w:rFonts w:hint="cs"/>
          <w:rtl/>
        </w:rPr>
        <w:t xml:space="preserve"> أي ما عُيِّنوا لأجله </w:t>
      </w:r>
      <w:r w:rsidRPr="00EA09EB">
        <w:rPr>
          <w:rtl/>
        </w:rPr>
        <w:t>ـ</w:t>
      </w:r>
      <w:r w:rsidRPr="00EA09EB">
        <w:rPr>
          <w:rFonts w:hint="cs"/>
          <w:rtl/>
        </w:rPr>
        <w:t xml:space="preserve"> هو «الولاية التدبيريّة»، التي يُعَدّ القضاء أحد شؤونها. وهناك قرائن متعدِّدة في هذه الرواية على أنّ الإمام الصادق</w:t>
      </w:r>
      <w:r>
        <w:rPr>
          <w:rFonts w:hint="cs"/>
          <w:rtl/>
        </w:rPr>
        <w:t>×</w:t>
      </w:r>
      <w:r w:rsidRPr="00EA09EB">
        <w:rPr>
          <w:rFonts w:hint="cs"/>
          <w:rtl/>
        </w:rPr>
        <w:t xml:space="preserve"> كان في صدد تعيين الوالي، وهي</w:t>
      </w:r>
      <w:r w:rsidRPr="00064619">
        <w:rPr>
          <w:rFonts w:cs="Taher"/>
          <w:sz w:val="32"/>
          <w:vertAlign w:val="superscript"/>
          <w:rtl/>
        </w:rPr>
        <w:t>(</w:t>
      </w:r>
      <w:r w:rsidRPr="00064619">
        <w:rPr>
          <w:rStyle w:val="FootnoteReference"/>
          <w:rFonts w:cs="Taher"/>
          <w:sz w:val="32"/>
          <w:rtl/>
        </w:rPr>
        <w:footnoteReference w:id="660"/>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إن لفظ الحكم ظاهرٌ في الحاكمية، بمعنى الولاية، لا القضاء. والمراد من الحاكم هو الوالي. والقضاء أحد شؤون الولاية.</w:t>
      </w:r>
    </w:p>
    <w:p w:rsidR="00EA09EB" w:rsidRPr="00A32FC0" w:rsidRDefault="00EA09EB" w:rsidP="00EA09EB">
      <w:pPr>
        <w:rPr>
          <w:rtl/>
          <w:lang w:bidi="ar-LB"/>
        </w:rPr>
      </w:pPr>
      <w:r w:rsidRPr="00A32FC0">
        <w:rPr>
          <w:rFonts w:hint="cs"/>
          <w:rtl/>
          <w:lang w:bidi="ar-LB"/>
        </w:rPr>
        <w:t>2</w:t>
      </w:r>
      <w:r w:rsidRPr="00A32FC0">
        <w:rPr>
          <w:rtl/>
          <w:lang w:bidi="ar-LB"/>
        </w:rPr>
        <w:t>ـ</w:t>
      </w:r>
      <w:r w:rsidRPr="00A32FC0">
        <w:rPr>
          <w:rFonts w:hint="cs"/>
          <w:rtl/>
          <w:lang w:bidi="ar-LB"/>
        </w:rPr>
        <w:t xml:space="preserve"> إنّ المنازعات على قسمين: المنازعات التي لا تتَّضح إلاّ بحكم القاضي؛ والمنازعات التي يكون فيها الحقّ معلوماً، إلاّ أنّ أحد الطرفين لا يخضع لهذا الحقّ، وإحقاق الحقّ يحتاج إلى قوة إجرائيّة. </w:t>
      </w:r>
    </w:p>
    <w:p w:rsidR="00EA09EB" w:rsidRPr="00A32FC0" w:rsidRDefault="00EA09EB" w:rsidP="00EA09EB">
      <w:pPr>
        <w:rPr>
          <w:rtl/>
          <w:lang w:bidi="ar-LB"/>
        </w:rPr>
      </w:pPr>
      <w:r w:rsidRPr="00A32FC0">
        <w:rPr>
          <w:rFonts w:hint="cs"/>
          <w:rtl/>
          <w:lang w:bidi="ar-LB"/>
        </w:rPr>
        <w:t xml:space="preserve">والمرجع في منازعات القسم الأوّل هم القضاة؛ وفي القسم الثاني السلاطين والولاة. </w:t>
      </w:r>
    </w:p>
    <w:p w:rsidR="00EA09EB" w:rsidRPr="00A32FC0" w:rsidRDefault="00EA09EB" w:rsidP="00EA09EB">
      <w:pPr>
        <w:rPr>
          <w:rtl/>
          <w:lang w:bidi="ar-LB"/>
        </w:rPr>
      </w:pPr>
      <w:r w:rsidRPr="00A32FC0">
        <w:rPr>
          <w:rFonts w:hint="cs"/>
          <w:rtl/>
          <w:lang w:bidi="ar-LB"/>
        </w:rPr>
        <w:t>وذكر النزاع حول الدَّيْن والميراث في الرواية</w:t>
      </w:r>
      <w:r>
        <w:rPr>
          <w:rFonts w:hint="cs"/>
          <w:rtl/>
          <w:lang w:bidi="ar-LB"/>
        </w:rPr>
        <w:t>،</w:t>
      </w:r>
      <w:r w:rsidRPr="00A32FC0">
        <w:rPr>
          <w:rFonts w:hint="cs"/>
          <w:rtl/>
          <w:lang w:bidi="ar-LB"/>
        </w:rPr>
        <w:t xml:space="preserve"> وهما من القسم الأول، كان فقط من باب المثال. وبحسب الرواية فإنّ الفقهاء هم المرجع في جميع المنازعات. والمترتِّب على القسم الثاني من المنازعات أن يكون للفقهاء ولاية تدبيريّة.</w:t>
      </w:r>
    </w:p>
    <w:p w:rsidR="00EA09EB" w:rsidRPr="00A32FC0" w:rsidRDefault="00EA09EB" w:rsidP="00EA09EB">
      <w:pPr>
        <w:rPr>
          <w:rtl/>
          <w:lang w:bidi="ar-LB"/>
        </w:rPr>
      </w:pPr>
      <w:r w:rsidRPr="00A32FC0">
        <w:rPr>
          <w:rFonts w:hint="cs"/>
          <w:rtl/>
          <w:lang w:bidi="ar-LB"/>
        </w:rPr>
        <w:t>3</w:t>
      </w:r>
      <w:r w:rsidRPr="00A32FC0">
        <w:rPr>
          <w:rtl/>
          <w:lang w:bidi="ar-LB"/>
        </w:rPr>
        <w:t>ـ</w:t>
      </w:r>
      <w:r w:rsidRPr="00A32FC0">
        <w:rPr>
          <w:rFonts w:hint="cs"/>
          <w:rtl/>
          <w:lang w:bidi="ar-LB"/>
        </w:rPr>
        <w:t xml:space="preserve"> إن المراد من الطاغوت هو سلاطين الجور، وليس فقط قضاة الجور. وبقرينة المقابلة في الرواية فإن الفقهاء ليسوا فقط قضاةً عدولاً، بل هم ولاةٌ عدولٌ أيضاً. وعندما يُنهى الشيعة عن الرجوع إلى الطاغوت فلابدّ من آلية بديلة عن الرجوع إلى الطاغوت، ولابدّ أن تكون هذه الآلية دينيّةً عادلةً، كي يرجع الشيعة إليها. وهذا يعني قبول الولاية التدبيريّة للفقيه على الناس.</w:t>
      </w:r>
    </w:p>
    <w:p w:rsidR="00EA09EB" w:rsidRPr="00EA09EB" w:rsidRDefault="00EA09EB" w:rsidP="007A340E">
      <w:pPr>
        <w:ind w:firstLine="283"/>
        <w:rPr>
          <w:rtl/>
        </w:rPr>
      </w:pPr>
      <w:r w:rsidRPr="00EA09EB">
        <w:rPr>
          <w:rFonts w:hint="cs"/>
          <w:rtl/>
        </w:rPr>
        <w:t>4</w:t>
      </w:r>
      <w:r w:rsidRPr="00EA09EB">
        <w:rPr>
          <w:rtl/>
        </w:rPr>
        <w:t>ـ</w:t>
      </w:r>
      <w:r w:rsidRPr="00EA09EB">
        <w:rPr>
          <w:rFonts w:hint="cs"/>
          <w:rtl/>
        </w:rPr>
        <w:t xml:space="preserve"> إنّ الآية التي استشهد بها في الرواية ﴿</w:t>
      </w:r>
      <w:r w:rsidRPr="007A340E">
        <w:rPr>
          <w:b/>
          <w:bCs/>
          <w:rtl/>
        </w:rPr>
        <w:t>يُرِيدُونَ أَنْ يَتَحَاكَمُوا إِلَى الطَّاغُوتِ وَقَدْ أُمِرُوا أَنْ يَكْفُرُوا بِهِ</w:t>
      </w:r>
      <w:r w:rsidRPr="00EA09EB">
        <w:rPr>
          <w:rFonts w:hint="cs"/>
          <w:rtl/>
        </w:rPr>
        <w:t>﴾(النساء: 60) هي دليلٌ واضحٌ على إرادة الوالي من الطاغوت.</w:t>
      </w:r>
    </w:p>
    <w:p w:rsidR="00EA09EB" w:rsidRPr="00A32FC0" w:rsidRDefault="00EA09EB" w:rsidP="00EA09EB">
      <w:pPr>
        <w:rPr>
          <w:rtl/>
          <w:lang w:bidi="ar-LB"/>
        </w:rPr>
      </w:pPr>
      <w:r w:rsidRPr="00A32FC0">
        <w:rPr>
          <w:rFonts w:hint="cs"/>
          <w:rtl/>
          <w:lang w:bidi="ar-LB"/>
        </w:rPr>
        <w:t>5</w:t>
      </w:r>
      <w:r w:rsidRPr="00A32FC0">
        <w:rPr>
          <w:rtl/>
          <w:lang w:bidi="ar-LB"/>
        </w:rPr>
        <w:t>ـ</w:t>
      </w:r>
      <w:r w:rsidRPr="00A32FC0">
        <w:rPr>
          <w:rFonts w:hint="cs"/>
          <w:rtl/>
          <w:lang w:bidi="ar-LB"/>
        </w:rPr>
        <w:t xml:space="preserve"> إنّ عدولَ الإمام</w:t>
      </w:r>
      <w:r>
        <w:rPr>
          <w:rFonts w:hint="cs"/>
          <w:rtl/>
        </w:rPr>
        <w:t>×</w:t>
      </w:r>
      <w:r w:rsidRPr="00A32FC0">
        <w:rPr>
          <w:rFonts w:hint="cs"/>
          <w:rtl/>
          <w:lang w:bidi="ar-LB"/>
        </w:rPr>
        <w:t xml:space="preserve"> عن عبارة </w:t>
      </w:r>
      <w:r w:rsidRPr="00A32FC0">
        <w:rPr>
          <w:rFonts w:hint="cs"/>
          <w:rtl/>
        </w:rPr>
        <w:t>«</w:t>
      </w:r>
      <w:r w:rsidRPr="00A32FC0">
        <w:rPr>
          <w:rFonts w:hint="cs"/>
          <w:rtl/>
          <w:lang w:bidi="ar-LB"/>
        </w:rPr>
        <w:t>جعلتُه قاضياً</w:t>
      </w:r>
      <w:r w:rsidRPr="00A32FC0">
        <w:rPr>
          <w:rFonts w:hint="cs"/>
          <w:rtl/>
        </w:rPr>
        <w:t>»</w:t>
      </w:r>
      <w:r w:rsidRPr="00A32FC0">
        <w:rPr>
          <w:rFonts w:hint="cs"/>
          <w:rtl/>
          <w:lang w:bidi="ar-LB"/>
        </w:rPr>
        <w:t xml:space="preserve"> إلى عبارة </w:t>
      </w:r>
      <w:r w:rsidRPr="00A32FC0">
        <w:rPr>
          <w:rFonts w:hint="cs"/>
          <w:rtl/>
        </w:rPr>
        <w:t>«</w:t>
      </w:r>
      <w:r w:rsidRPr="00A32FC0">
        <w:rPr>
          <w:rFonts w:hint="cs"/>
          <w:rtl/>
          <w:lang w:bidi="ar-LB"/>
        </w:rPr>
        <w:t>جعلتُه حاكماً</w:t>
      </w:r>
      <w:r w:rsidRPr="00A32FC0">
        <w:rPr>
          <w:rFonts w:hint="cs"/>
          <w:rtl/>
        </w:rPr>
        <w:t>»</w:t>
      </w:r>
      <w:r w:rsidRPr="00A32FC0">
        <w:rPr>
          <w:rFonts w:hint="cs"/>
          <w:rtl/>
          <w:lang w:bidi="ar-LB"/>
        </w:rPr>
        <w:t xml:space="preserve"> دليلٌ على أنّ المراد هو أعمّ من القاضي، أي إن المراد هو الوالي.</w:t>
      </w:r>
    </w:p>
    <w:p w:rsidR="00EA09EB" w:rsidRPr="00A32FC0" w:rsidRDefault="00EA09EB" w:rsidP="00EA09EB">
      <w:pPr>
        <w:rPr>
          <w:rtl/>
          <w:lang w:bidi="ar-LB"/>
        </w:rPr>
      </w:pPr>
      <w:r w:rsidRPr="00A32FC0">
        <w:rPr>
          <w:rFonts w:hint="cs"/>
          <w:rtl/>
          <w:lang w:bidi="ar-LB"/>
        </w:rPr>
        <w:t>6</w:t>
      </w:r>
      <w:r w:rsidRPr="00A32FC0">
        <w:rPr>
          <w:rtl/>
          <w:lang w:bidi="ar-LB"/>
        </w:rPr>
        <w:t>ـ</w:t>
      </w:r>
      <w:r w:rsidRPr="00A32FC0">
        <w:rPr>
          <w:rFonts w:hint="cs"/>
          <w:rtl/>
          <w:lang w:bidi="ar-LB"/>
        </w:rPr>
        <w:t xml:space="preserve"> إن التعبير بـ </w:t>
      </w:r>
      <w:r w:rsidRPr="00A32FC0">
        <w:rPr>
          <w:rFonts w:hint="cs"/>
          <w:rtl/>
        </w:rPr>
        <w:t>«</w:t>
      </w:r>
      <w:r w:rsidRPr="00A32FC0">
        <w:rPr>
          <w:rFonts w:hint="cs"/>
          <w:rtl/>
          <w:lang w:bidi="ar-LB"/>
        </w:rPr>
        <w:t>على</w:t>
      </w:r>
      <w:r w:rsidRPr="00A32FC0">
        <w:rPr>
          <w:rFonts w:hint="cs"/>
          <w:rtl/>
        </w:rPr>
        <w:t>»</w:t>
      </w:r>
      <w:r w:rsidRPr="00A32FC0">
        <w:rPr>
          <w:rFonts w:hint="cs"/>
          <w:rtl/>
          <w:lang w:bidi="ar-LB"/>
        </w:rPr>
        <w:t xml:space="preserve"> في قول الإمام</w:t>
      </w:r>
      <w:r>
        <w:rPr>
          <w:rFonts w:hint="cs"/>
          <w:rtl/>
        </w:rPr>
        <w:t>×</w:t>
      </w:r>
      <w:r w:rsidRPr="00A32FC0">
        <w:rPr>
          <w:rFonts w:hint="cs"/>
          <w:rtl/>
          <w:lang w:bidi="ar-LB"/>
        </w:rPr>
        <w:t xml:space="preserve">: </w:t>
      </w:r>
      <w:r w:rsidRPr="00A32FC0">
        <w:rPr>
          <w:rFonts w:hint="cs"/>
          <w:rtl/>
        </w:rPr>
        <w:t>«</w:t>
      </w:r>
      <w:r w:rsidRPr="00A32FC0">
        <w:rPr>
          <w:rFonts w:hint="cs"/>
          <w:rtl/>
          <w:lang w:bidi="ar-LB"/>
        </w:rPr>
        <w:t>جعلته عليكم حاكماً</w:t>
      </w:r>
      <w:r w:rsidRPr="00A32FC0">
        <w:rPr>
          <w:rFonts w:hint="cs"/>
          <w:rtl/>
        </w:rPr>
        <w:t>»</w:t>
      </w:r>
      <w:r w:rsidRPr="00A32FC0">
        <w:rPr>
          <w:rFonts w:hint="cs"/>
          <w:rtl/>
          <w:lang w:bidi="ar-LB"/>
        </w:rPr>
        <w:t xml:space="preserve"> يتناسب مع الوالي الذي هو صاحب مقامٍ عالٍ ورفيعٍ، بينما الذي يتناسب مع القاضي أن يُقال: </w:t>
      </w:r>
      <w:r w:rsidRPr="00A32FC0">
        <w:rPr>
          <w:rFonts w:hint="cs"/>
          <w:rtl/>
        </w:rPr>
        <w:t>«</w:t>
      </w:r>
      <w:r w:rsidRPr="00A32FC0">
        <w:rPr>
          <w:rFonts w:hint="cs"/>
          <w:rtl/>
          <w:lang w:bidi="ar-LB"/>
        </w:rPr>
        <w:t>جعلته قاضياً بينكم</w:t>
      </w:r>
      <w:r w:rsidRPr="00A32FC0">
        <w:rPr>
          <w:rFonts w:hint="cs"/>
          <w:rtl/>
        </w:rPr>
        <w:t>»</w:t>
      </w:r>
      <w:r w:rsidRPr="00A32FC0">
        <w:rPr>
          <w:rFonts w:hint="cs"/>
          <w:rtl/>
          <w:lang w:bidi="ar-LB"/>
        </w:rPr>
        <w:t>.</w:t>
      </w:r>
    </w:p>
    <w:p w:rsidR="00EA09EB" w:rsidRPr="00A32FC0" w:rsidRDefault="00EA09EB" w:rsidP="00EA09EB">
      <w:pPr>
        <w:rPr>
          <w:rtl/>
          <w:lang w:bidi="ar-LB"/>
        </w:rPr>
      </w:pPr>
      <w:r w:rsidRPr="00A32FC0">
        <w:rPr>
          <w:rFonts w:hint="cs"/>
          <w:rtl/>
          <w:lang w:bidi="ar-LB"/>
        </w:rPr>
        <w:t>7</w:t>
      </w:r>
      <w:r w:rsidRPr="00A32FC0">
        <w:rPr>
          <w:rtl/>
          <w:lang w:bidi="ar-LB"/>
        </w:rPr>
        <w:t>ـ</w:t>
      </w:r>
      <w:r w:rsidRPr="00A32FC0">
        <w:rPr>
          <w:rFonts w:hint="cs"/>
          <w:rtl/>
          <w:lang w:bidi="ar-LB"/>
        </w:rPr>
        <w:t xml:space="preserve"> إنّ التعبير بـ </w:t>
      </w:r>
      <w:r w:rsidRPr="00A32FC0">
        <w:rPr>
          <w:rFonts w:hint="cs"/>
          <w:rtl/>
        </w:rPr>
        <w:t>«</w:t>
      </w:r>
      <w:r w:rsidRPr="00A32FC0">
        <w:rPr>
          <w:rFonts w:hint="cs"/>
          <w:rtl/>
          <w:lang w:bidi="ar-LB"/>
        </w:rPr>
        <w:t>السلطان</w:t>
      </w:r>
      <w:r w:rsidRPr="00A32FC0">
        <w:rPr>
          <w:rFonts w:hint="cs"/>
          <w:rtl/>
        </w:rPr>
        <w:t>»</w:t>
      </w:r>
      <w:r w:rsidRPr="00A32FC0">
        <w:rPr>
          <w:rFonts w:hint="cs"/>
          <w:rtl/>
          <w:lang w:bidi="ar-LB"/>
        </w:rPr>
        <w:t xml:space="preserve"> في صدر الرواية ظاهرٌ في الوالي. وبقرينة المقابلة يكون الفقيه العادل سلطاناً وقاضياً.</w:t>
      </w:r>
    </w:p>
    <w:p w:rsidR="00EA09EB" w:rsidRPr="00D91745" w:rsidRDefault="00EA09EB" w:rsidP="00EA09EB">
      <w:pPr>
        <w:rPr>
          <w:rtl/>
          <w:lang w:bidi="ar-LB"/>
        </w:rPr>
      </w:pPr>
      <w:r w:rsidRPr="00A32FC0">
        <w:rPr>
          <w:rFonts w:hint="cs"/>
          <w:rtl/>
          <w:lang w:bidi="ar-LB"/>
        </w:rPr>
        <w:t>8</w:t>
      </w:r>
      <w:r w:rsidRPr="00A32FC0">
        <w:rPr>
          <w:rtl/>
          <w:lang w:bidi="ar-LB"/>
        </w:rPr>
        <w:t>ـ</w:t>
      </w:r>
      <w:r w:rsidRPr="00A32FC0">
        <w:rPr>
          <w:rFonts w:hint="cs"/>
          <w:rtl/>
          <w:lang w:bidi="ar-LB"/>
        </w:rPr>
        <w:t xml:space="preserve"> بعد إثبات ضرورة وجود حكومة في كلّ زمان، وعدم جواز تعطيلها، وحيث إن المقبولة أيضاً نَهَت عن الرجوع إلى الطاغوت والسلطان الجائر، يظهر لنا من هاتين النقطتين بشكلٍ جليٍّ أنّ الشخص الحائز على الصفات المذكورة في هذه المقبولة هو الشخص المعيَّن لمنصب الولاية على الناس.</w:t>
      </w:r>
      <w:r w:rsidRPr="00D91745">
        <w:rPr>
          <w:rFonts w:hint="cs"/>
          <w:rtl/>
          <w:lang w:bidi="ar-LB"/>
        </w:rPr>
        <w:t xml:space="preserve"> </w:t>
      </w:r>
    </w:p>
    <w:p w:rsidR="00EA09EB" w:rsidRPr="00EA09EB" w:rsidRDefault="00EA09EB" w:rsidP="007A340E">
      <w:pPr>
        <w:ind w:firstLine="283"/>
      </w:pPr>
      <w:r w:rsidRPr="007A340E">
        <w:rPr>
          <w:rFonts w:hint="cs"/>
          <w:b/>
          <w:bCs/>
          <w:rtl/>
        </w:rPr>
        <w:t>السابعة</w:t>
      </w:r>
      <w:r w:rsidRPr="00EA09EB">
        <w:rPr>
          <w:rFonts w:hint="cs"/>
          <w:rtl/>
        </w:rPr>
        <w:t xml:space="preserve">: إن الولاية التدبيرية للفقهاء في هذه المقبولة لم تُقَيَّد بشيء. كما أنَّ حدود صلاحيّاتها لم تخصَّص أيضاً. فعلى هذا تكون صلاحيات الولي الفقيه عامّة، بل مطلقة؛ وذلك للأدلة التالية: </w:t>
      </w:r>
    </w:p>
    <w:p w:rsidR="00EA09EB" w:rsidRPr="00EA09EB" w:rsidRDefault="00EA09EB" w:rsidP="007A340E">
      <w:pPr>
        <w:ind w:firstLine="283"/>
        <w:rPr>
          <w:rtl/>
        </w:rPr>
      </w:pPr>
      <w:r w:rsidRPr="007A340E">
        <w:rPr>
          <w:rFonts w:hint="cs"/>
          <w:b/>
          <w:bCs/>
          <w:rtl/>
        </w:rPr>
        <w:t>أولاً</w:t>
      </w:r>
      <w:r w:rsidRPr="00EA09EB">
        <w:rPr>
          <w:rFonts w:hint="cs"/>
          <w:rtl/>
        </w:rPr>
        <w:t xml:space="preserve">: بقرينة المقابلة بين الفقيه والطاغوت (القاضي والسلطان الجائر) في الرواية، يتَّضح أنّ للفقيه جميع صلاحيّات السلطان العرفيّ. </w:t>
      </w:r>
    </w:p>
    <w:p w:rsidR="00EA09EB" w:rsidRPr="00EA09EB" w:rsidRDefault="00EA09EB" w:rsidP="007A340E">
      <w:pPr>
        <w:ind w:firstLine="283"/>
        <w:rPr>
          <w:rtl/>
        </w:rPr>
      </w:pPr>
      <w:r w:rsidRPr="007A340E">
        <w:rPr>
          <w:rFonts w:hint="cs"/>
          <w:b/>
          <w:bCs/>
          <w:rtl/>
        </w:rPr>
        <w:t>ثانياً</w:t>
      </w:r>
      <w:r w:rsidRPr="00EA09EB">
        <w:rPr>
          <w:rFonts w:hint="cs"/>
          <w:rtl/>
        </w:rPr>
        <w:t>: إنّ عبارتَيْ «جعلته عليكم حاكماً» و«فإذا حكم بحكمنا» مطلقتان أيضاً، وتشملان جميع شؤون الأئمّة المرتبطة بالحكم؛ لأن عبارة «حكم بحكمنا» لم تقيَّد بأيّ شأن خاصّ.</w:t>
      </w:r>
    </w:p>
    <w:p w:rsidR="00EA09EB" w:rsidRPr="00A32FC0" w:rsidRDefault="00EA09EB" w:rsidP="00EA09EB">
      <w:pPr>
        <w:rPr>
          <w:rtl/>
        </w:rPr>
      </w:pPr>
      <w:r w:rsidRPr="00A32FC0">
        <w:rPr>
          <w:rFonts w:hint="cs"/>
          <w:b/>
          <w:bCs/>
          <w:rtl/>
        </w:rPr>
        <w:t>ثالثاً</w:t>
      </w:r>
      <w:r w:rsidRPr="00A32FC0">
        <w:rPr>
          <w:rFonts w:hint="cs"/>
          <w:rtl/>
        </w:rPr>
        <w:t>: عُدَّ الردّ على الوليّ الفقيه في ذيل المقبولة كالردّ على الأئمّة</w:t>
      </w:r>
      <w:r w:rsidR="007A340E">
        <w:rPr>
          <w:rFonts w:hint="cs"/>
          <w:rtl/>
        </w:rPr>
        <w:t>^</w:t>
      </w:r>
      <w:r w:rsidRPr="00A32FC0">
        <w:rPr>
          <w:rFonts w:hint="cs"/>
          <w:rtl/>
        </w:rPr>
        <w:t>، ثمّ كالردّ على الله. وأحكام الله تعالى والأئمّة</w:t>
      </w:r>
      <w:r w:rsidR="007A340E">
        <w:rPr>
          <w:rFonts w:hint="cs"/>
          <w:rtl/>
        </w:rPr>
        <w:t>^</w:t>
      </w:r>
      <w:r w:rsidRPr="00A32FC0">
        <w:rPr>
          <w:rFonts w:hint="cs"/>
          <w:rtl/>
        </w:rPr>
        <w:t xml:space="preserve"> لا تقتصر على القضاء والإفتاء، بل تشمل الأحكام السلطانيّة والولائيّة أيضاً. وبما أنَّ حاكميّة الله والمعصومين وولايتهم مطلقة فحاكميّة الفقيه وولايته أيضاً مطلقةٌ. </w:t>
      </w:r>
    </w:p>
    <w:p w:rsidR="00EA09EB" w:rsidRPr="00EA09EB" w:rsidRDefault="00EA09EB" w:rsidP="00EA09EB">
      <w:pPr>
        <w:rPr>
          <w:rtl/>
        </w:rPr>
      </w:pPr>
      <w:r w:rsidRPr="00A32FC0">
        <w:rPr>
          <w:rFonts w:hint="cs"/>
          <w:rtl/>
        </w:rPr>
        <w:t>اعتبر جمع من الفقهاء في القرنين الأخيرين أنّ هذه المقدّمات غير تامّة، وناقشوا في الاستدلال بمقبولة عمر بن حنظلة؛ لإثبات الولاية التعيينيّة المطلقة للفقيه</w:t>
      </w:r>
      <w:r w:rsidRPr="00064619">
        <w:rPr>
          <w:rFonts w:cs="Taher"/>
          <w:vertAlign w:val="superscript"/>
          <w:rtl/>
        </w:rPr>
        <w:t>(</w:t>
      </w:r>
      <w:r w:rsidRPr="00064619">
        <w:rPr>
          <w:rStyle w:val="FootnoteReference"/>
          <w:rFonts w:cs="Taher"/>
          <w:sz w:val="32"/>
          <w:rtl/>
        </w:rPr>
        <w:footnoteReference w:id="661"/>
      </w:r>
      <w:r w:rsidRPr="00064619">
        <w:rPr>
          <w:rFonts w:cs="Taher"/>
          <w:vertAlign w:val="superscript"/>
          <w:rtl/>
        </w:rPr>
        <w:t>)</w:t>
      </w:r>
      <w:r w:rsidRPr="00EA09EB">
        <w:rPr>
          <w:rFonts w:hint="cs"/>
          <w:rtl/>
        </w:rPr>
        <w:t xml:space="preserve">. </w:t>
      </w:r>
    </w:p>
    <w:p w:rsidR="00EA09EB" w:rsidRPr="00A32FC0" w:rsidRDefault="00EA09EB" w:rsidP="00EA09EB">
      <w:pPr>
        <w:rPr>
          <w:rtl/>
        </w:rPr>
      </w:pPr>
      <w:r w:rsidRPr="00A32FC0">
        <w:rPr>
          <w:rFonts w:hint="cs"/>
          <w:rtl/>
        </w:rPr>
        <w:t>وفي ما يخصّ هذه المقدّمات السبع هناك آراء تخالف ما تقدّم، وهي:</w:t>
      </w:r>
    </w:p>
    <w:p w:rsidR="00EA09EB" w:rsidRPr="00EA09EB" w:rsidRDefault="00EA09EB" w:rsidP="007A340E">
      <w:pPr>
        <w:ind w:firstLine="283"/>
        <w:rPr>
          <w:rtl/>
        </w:rPr>
      </w:pPr>
      <w:r w:rsidRPr="00EA09EB">
        <w:rPr>
          <w:rFonts w:hint="cs"/>
          <w:rtl/>
        </w:rPr>
        <w:t>أمّا من حيث المقدّمة الأولى ـ أي عدم الإشكال في سند الرواية إلى ما قبل الراوي المباشر ـ فقد ضعّف الشهيد الثاني في «الدراية» محمد بن عيسى، وداوود بن الحصين</w:t>
      </w:r>
      <w:r w:rsidRPr="00064619">
        <w:rPr>
          <w:rFonts w:cs="Taher"/>
          <w:sz w:val="32"/>
          <w:vertAlign w:val="superscript"/>
          <w:rtl/>
        </w:rPr>
        <w:t>(</w:t>
      </w:r>
      <w:r w:rsidRPr="00064619">
        <w:rPr>
          <w:rStyle w:val="FootnoteReference"/>
          <w:rFonts w:cs="Taher"/>
          <w:sz w:val="32"/>
          <w:rtl/>
        </w:rPr>
        <w:footnoteReference w:id="662"/>
      </w:r>
      <w:r w:rsidRPr="00064619">
        <w:rPr>
          <w:rFonts w:cs="Taher"/>
          <w:sz w:val="32"/>
          <w:vertAlign w:val="superscript"/>
          <w:rtl/>
        </w:rPr>
        <w:t>)</w:t>
      </w:r>
      <w:r w:rsidRPr="00EA09EB">
        <w:rPr>
          <w:rFonts w:hint="cs"/>
          <w:rtl/>
        </w:rPr>
        <w:t>، إلاّ أنّه اعتبر أنّ مقبوليّتها جابرةٌ لضعف سندها. وحيث إنّ أكثر الفقهاء لم يرَوْا إشكالاً في هذين الراويين، وبالتالي لم يرَوْا إشكالاً في سند الرواية (إلى ما قبل الراوي المباشر)، فيمكن اعتبار المقدّمة الأولى تامّةً.</w:t>
      </w:r>
    </w:p>
    <w:p w:rsidR="00EA09EB" w:rsidRPr="00A32FC0" w:rsidRDefault="00EA09EB" w:rsidP="00EA09EB">
      <w:pPr>
        <w:rPr>
          <w:rtl/>
        </w:rPr>
      </w:pPr>
      <w:r w:rsidRPr="00A32FC0">
        <w:rPr>
          <w:rFonts w:hint="cs"/>
          <w:rtl/>
        </w:rPr>
        <w:t>وأمّا من حيث المقدّمة الثانية ـ أي عدم الإشكال في الراوي المباشر عمر بن حنظلة ـ فقد أُشْكِل على الأدلة الثلاثة التي جَوَّزَتْ العمل برواية عمر بن حنظلة.</w:t>
      </w:r>
    </w:p>
    <w:p w:rsidR="00EA09EB" w:rsidRPr="00A32FC0" w:rsidRDefault="00EA09EB" w:rsidP="00EA09EB">
      <w:pPr>
        <w:rPr>
          <w:rtl/>
        </w:rPr>
      </w:pPr>
      <w:r w:rsidRPr="00EA09EB">
        <w:rPr>
          <w:rFonts w:hint="cs"/>
          <w:rtl/>
        </w:rPr>
        <w:t>فالدليل الأول لتوثيق عمر بن حنظلة مردودٌ؛ لعدم جواز التمسُّك بالروايتين المذكورتين في توثيق عمر بن حنظلة؛ لأنّ الراوي في الرواية المنقولة في فروع «الكافي»، وهو يزيد بن خليفة، واقفيّ، ولم تثبت وثاقته</w:t>
      </w:r>
      <w:r w:rsidRPr="00064619">
        <w:rPr>
          <w:rFonts w:cs="Taher"/>
          <w:vertAlign w:val="superscript"/>
          <w:rtl/>
        </w:rPr>
        <w:t>(</w:t>
      </w:r>
      <w:r w:rsidRPr="00064619">
        <w:rPr>
          <w:rStyle w:val="FootnoteReference"/>
          <w:rFonts w:cs="Taher"/>
          <w:sz w:val="32"/>
          <w:rtl/>
        </w:rPr>
        <w:footnoteReference w:id="663"/>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rPr>
        <w:t>أما الرواية الثانية فيرويها عمر بن حنظلة نفسه. والاستناد إليها لإثبات وثاقته دورٌ باطل</w:t>
      </w:r>
      <w:r w:rsidRPr="00064619">
        <w:rPr>
          <w:rFonts w:cs="Taher"/>
          <w:vertAlign w:val="superscript"/>
          <w:rtl/>
        </w:rPr>
        <w:t>(</w:t>
      </w:r>
      <w:r w:rsidRPr="00064619">
        <w:rPr>
          <w:rStyle w:val="FootnoteReference"/>
          <w:rFonts w:cs="Taher"/>
          <w:sz w:val="32"/>
          <w:rtl/>
        </w:rPr>
        <w:footnoteReference w:id="664"/>
      </w:r>
      <w:r w:rsidRPr="00064619">
        <w:rPr>
          <w:rFonts w:cs="Taher"/>
          <w:vertAlign w:val="superscript"/>
          <w:rtl/>
        </w:rPr>
        <w:t>)</w:t>
      </w:r>
      <w:r w:rsidRPr="00EA09EB">
        <w:rPr>
          <w:rFonts w:hint="cs"/>
          <w:rtl/>
        </w:rPr>
        <w:t xml:space="preserve">. </w:t>
      </w:r>
    </w:p>
    <w:p w:rsidR="00EA09EB" w:rsidRPr="00A32FC0" w:rsidRDefault="00EA09EB" w:rsidP="00EA09EB">
      <w:pPr>
        <w:rPr>
          <w:rtl/>
        </w:rPr>
      </w:pPr>
      <w:r w:rsidRPr="00A32FC0">
        <w:rPr>
          <w:rFonts w:hint="cs"/>
          <w:rtl/>
        </w:rPr>
        <w:t xml:space="preserve">وأمّا ادعاء توثيق الشهيد الثاني له في القرن العاشر فهو توثيقٌ مدركيٌّ. والظاهر أنّه لا يوجد أيّ مدرك غير مقبوليّتها، وعمل الأصحاب بها. وسوف نتعرَّض للإشكالات الواردة على هذا المدرك في مناقشات الأدلّة اللاحقة. </w:t>
      </w:r>
    </w:p>
    <w:p w:rsidR="00EA09EB" w:rsidRPr="00A32FC0" w:rsidRDefault="00EA09EB" w:rsidP="00EA09EB">
      <w:pPr>
        <w:rPr>
          <w:rtl/>
        </w:rPr>
      </w:pPr>
      <w:r w:rsidRPr="00A32FC0">
        <w:rPr>
          <w:rFonts w:hint="cs"/>
          <w:rtl/>
        </w:rPr>
        <w:t xml:space="preserve">وعلى </w:t>
      </w:r>
      <w:r>
        <w:rPr>
          <w:rFonts w:hint="cs"/>
          <w:rtl/>
        </w:rPr>
        <w:t>أيّ</w:t>
      </w:r>
      <w:r w:rsidRPr="00A32FC0">
        <w:rPr>
          <w:rFonts w:hint="cs"/>
          <w:rtl/>
        </w:rPr>
        <w:t xml:space="preserve"> حال فإنّ أغلبية الفقهاء اعتبروا هذه الرواية غير موثَّقة.</w:t>
      </w:r>
    </w:p>
    <w:p w:rsidR="00EA09EB" w:rsidRPr="00A32FC0" w:rsidRDefault="00EA09EB" w:rsidP="00EA09EB">
      <w:pPr>
        <w:rPr>
          <w:rtl/>
        </w:rPr>
      </w:pPr>
      <w:r w:rsidRPr="00A32FC0">
        <w:rPr>
          <w:rFonts w:hint="cs"/>
          <w:rtl/>
        </w:rPr>
        <w:t>وأما الدليل الثاني فإنّ عمر بن حنظلة بنقله ما يقارب السبعين رواية يُعَدّ كثير الرواية، إلاّ أنّ كثرة الرواية وحدها ليست دليلاً على وثاقة الراوي. فهذه «الكبرى» لا دليل عليها. نعم، إذا كان الراوي مثل: إبراهيم بن هاشم، الذي يعدّ من المشاهير الذين لا يحتاجون إلى توثيق، فعندها يمكن أن تكون كثرة الرواية دليلاً على الوثاقة. ولا يوجد بين أيدينا دليلٌ على أن عمر بن حنظلة كان من مشاهير عصره.</w:t>
      </w:r>
    </w:p>
    <w:p w:rsidR="00EA09EB" w:rsidRPr="00A32FC0" w:rsidRDefault="00EA09EB" w:rsidP="00EA09EB">
      <w:pPr>
        <w:rPr>
          <w:rtl/>
        </w:rPr>
      </w:pPr>
      <w:r w:rsidRPr="00A32FC0">
        <w:rPr>
          <w:rFonts w:hint="cs"/>
          <w:rtl/>
        </w:rPr>
        <w:t>إذاً العمدة والأساس في قبول رواية عمر بن حنظلة هو الدليل الثالث، أي تلقّي الأصحاب لها بالقبول.</w:t>
      </w:r>
    </w:p>
    <w:p w:rsidR="00EA09EB" w:rsidRPr="00553A5A" w:rsidRDefault="00EA09EB" w:rsidP="00714EFE">
      <w:pPr>
        <w:pStyle w:val="Normal84"/>
        <w:rPr>
          <w:rtl/>
        </w:rPr>
      </w:pPr>
      <w:r w:rsidRPr="00EA09EB">
        <w:rPr>
          <w:rFonts w:hint="cs"/>
          <w:rtl/>
        </w:rPr>
        <w:t>والظاهر أنّ أوّل فقيه قال: إن رواية عمر بن حنظلة «مقبولة» هو الشهيد الثاني. وقد صرَّح بضعف هذه الرواية عدّة مرات في كتبه المختلفة، لكنّه أضاف: «</w:t>
      </w:r>
      <w:r w:rsidRPr="00EA09EB">
        <w:rPr>
          <w:rtl/>
        </w:rPr>
        <w:t>ومع ما ترى في هذا ال</w:t>
      </w:r>
      <w:r w:rsidRPr="00EA09EB">
        <w:rPr>
          <w:rFonts w:hint="cs"/>
          <w:rtl/>
        </w:rPr>
        <w:t>إ</w:t>
      </w:r>
      <w:r w:rsidRPr="00EA09EB">
        <w:rPr>
          <w:rtl/>
        </w:rPr>
        <w:t xml:space="preserve">سناد قد قبلوا </w:t>
      </w:r>
      <w:r w:rsidRPr="00EA09EB">
        <w:rPr>
          <w:rFonts w:hint="cs"/>
          <w:rtl/>
        </w:rPr>
        <w:t>ـ</w:t>
      </w:r>
      <w:r w:rsidRPr="00EA09EB">
        <w:rPr>
          <w:rtl/>
        </w:rPr>
        <w:t xml:space="preserve"> الأصحاب </w:t>
      </w:r>
      <w:r w:rsidRPr="00EA09EB">
        <w:rPr>
          <w:rFonts w:hint="cs"/>
          <w:rtl/>
        </w:rPr>
        <w:t>ـ</w:t>
      </w:r>
      <w:r w:rsidRPr="00EA09EB">
        <w:rPr>
          <w:rtl/>
        </w:rPr>
        <w:t xml:space="preserve"> متنه، وعملوا بمضمونه، بل</w:t>
      </w:r>
      <w:r w:rsidRPr="00EA09EB">
        <w:rPr>
          <w:rFonts w:hint="cs"/>
          <w:rtl/>
        </w:rPr>
        <w:t xml:space="preserve"> </w:t>
      </w:r>
      <w:r w:rsidRPr="00EA09EB">
        <w:rPr>
          <w:rtl/>
        </w:rPr>
        <w:t>جعلوه عمدة التفق</w:t>
      </w:r>
      <w:r w:rsidRPr="00EA09EB">
        <w:rPr>
          <w:rFonts w:hint="cs"/>
          <w:rtl/>
        </w:rPr>
        <w:t>ّ</w:t>
      </w:r>
      <w:r w:rsidRPr="00EA09EB">
        <w:rPr>
          <w:rtl/>
        </w:rPr>
        <w:t>ه، واستنبطوا منه شرائطه كل</w:t>
      </w:r>
      <w:r w:rsidRPr="00EA09EB">
        <w:rPr>
          <w:rFonts w:hint="cs"/>
          <w:rtl/>
        </w:rPr>
        <w:t>ّ</w:t>
      </w:r>
      <w:r w:rsidRPr="00EA09EB">
        <w:rPr>
          <w:rtl/>
        </w:rPr>
        <w:t>ها، وسم</w:t>
      </w:r>
      <w:r w:rsidRPr="00EA09EB">
        <w:rPr>
          <w:rFonts w:hint="cs"/>
          <w:rtl/>
        </w:rPr>
        <w:t>ّ</w:t>
      </w:r>
      <w:r w:rsidRPr="00EA09EB">
        <w:rPr>
          <w:rtl/>
        </w:rPr>
        <w:t>وه مقبولا</w:t>
      </w:r>
      <w:r w:rsidRPr="00EA09EB">
        <w:rPr>
          <w:rFonts w:hint="cs"/>
          <w:rtl/>
        </w:rPr>
        <w:t>ً.</w:t>
      </w:r>
      <w:r w:rsidRPr="00EA09EB">
        <w:rPr>
          <w:rtl/>
        </w:rPr>
        <w:t xml:space="preserve"> ومثله في تضاعيف أحاديث الفقه</w:t>
      </w:r>
      <w:r w:rsidRPr="00EA09EB">
        <w:rPr>
          <w:rFonts w:hint="cs"/>
          <w:rtl/>
        </w:rPr>
        <w:t xml:space="preserve"> </w:t>
      </w:r>
      <w:r w:rsidRPr="00EA09EB">
        <w:rPr>
          <w:rtl/>
        </w:rPr>
        <w:t>كثير</w:t>
      </w:r>
      <w:r w:rsidRPr="00EA09EB">
        <w:rPr>
          <w:rFonts w:hint="cs"/>
          <w:rtl/>
        </w:rPr>
        <w:t>ٌ»</w:t>
      </w:r>
      <w:r w:rsidRPr="00064619">
        <w:rPr>
          <w:rFonts w:cs="Taher"/>
          <w:vertAlign w:val="superscript"/>
          <w:rtl/>
        </w:rPr>
        <w:t>(</w:t>
      </w:r>
      <w:r w:rsidRPr="00064619">
        <w:rPr>
          <w:rStyle w:val="FootnoteReference"/>
          <w:rFonts w:cs="Taher"/>
          <w:sz w:val="32"/>
          <w:rtl/>
        </w:rPr>
        <w:footnoteReference w:id="665"/>
      </w:r>
      <w:r w:rsidRPr="00064619">
        <w:rPr>
          <w:rFonts w:cs="Taher"/>
          <w:vertAlign w:val="superscript"/>
          <w:rtl/>
        </w:rPr>
        <w:t>)</w:t>
      </w:r>
      <w:r w:rsidRPr="00553A5A">
        <w:rPr>
          <w:rFonts w:hint="cs"/>
          <w:rtl/>
        </w:rPr>
        <w:t>.</w:t>
      </w:r>
    </w:p>
    <w:p w:rsidR="00EA09EB" w:rsidRPr="00EA09EB" w:rsidRDefault="00EA09EB" w:rsidP="00714EFE">
      <w:pPr>
        <w:rPr>
          <w:rtl/>
        </w:rPr>
      </w:pPr>
      <w:r w:rsidRPr="00A32FC0">
        <w:rPr>
          <w:rFonts w:hint="cs"/>
          <w:rtl/>
        </w:rPr>
        <w:t>وكتب في «المسالك»، في بحث القضاء، بعد إقراره بضعف سند روايَتَيْ عمر بن حنظلة وأبي خديجة: «لكنَّهما مشتهران بين الأصحاب، متَّفَقٌ على العمل بمضمونهما بينهم، فكان ذلك جابراً للضعف عندهم»</w:t>
      </w:r>
      <w:r w:rsidRPr="00064619">
        <w:rPr>
          <w:rFonts w:cs="Taher"/>
          <w:vertAlign w:val="superscript"/>
          <w:rtl/>
        </w:rPr>
        <w:t>(</w:t>
      </w:r>
      <w:r w:rsidRPr="00064619">
        <w:rPr>
          <w:rStyle w:val="FootnoteReference"/>
          <w:rFonts w:cs="Taher"/>
          <w:sz w:val="32"/>
          <w:rtl/>
        </w:rPr>
        <w:footnoteReference w:id="666"/>
      </w:r>
      <w:r w:rsidRPr="00064619">
        <w:rPr>
          <w:rFonts w:cs="Taher"/>
          <w:vertAlign w:val="superscript"/>
          <w:rtl/>
        </w:rPr>
        <w:t>)</w:t>
      </w:r>
      <w:r w:rsidRPr="00EA09EB">
        <w:rPr>
          <w:rFonts w:hint="cs"/>
          <w:rtl/>
        </w:rPr>
        <w:t>.</w:t>
      </w:r>
    </w:p>
    <w:p w:rsidR="00EA09EB" w:rsidRPr="00A32FC0" w:rsidRDefault="00EA09EB" w:rsidP="00EA09EB">
      <w:pPr>
        <w:rPr>
          <w:rtl/>
        </w:rPr>
      </w:pPr>
      <w:r w:rsidRPr="00A32FC0">
        <w:rPr>
          <w:rFonts w:hint="cs"/>
          <w:rtl/>
        </w:rPr>
        <w:t>وفي مناقشة هذا الدليل يمكن الإشارة إلى النقاط التالية:</w:t>
      </w:r>
    </w:p>
    <w:p w:rsidR="00EA09EB" w:rsidRPr="00EA09EB" w:rsidRDefault="00EA09EB" w:rsidP="007A340E">
      <w:pPr>
        <w:ind w:firstLine="283"/>
        <w:rPr>
          <w:rtl/>
        </w:rPr>
      </w:pPr>
      <w:r w:rsidRPr="007A340E">
        <w:rPr>
          <w:rFonts w:hint="cs"/>
          <w:b/>
          <w:bCs/>
          <w:rtl/>
        </w:rPr>
        <w:t>أولاً</w:t>
      </w:r>
      <w:r w:rsidRPr="00EA09EB">
        <w:rPr>
          <w:rFonts w:hint="cs"/>
          <w:rtl/>
        </w:rPr>
        <w:t>: يرى الفقيه الكبير المعاصر السيد الخوئيّ أنّ مقبولية هذه الرواية غير ثابتة</w:t>
      </w:r>
      <w:r w:rsidRPr="00064619">
        <w:rPr>
          <w:rFonts w:cs="Taher"/>
          <w:sz w:val="32"/>
          <w:vertAlign w:val="superscript"/>
          <w:rtl/>
        </w:rPr>
        <w:t>(</w:t>
      </w:r>
      <w:r w:rsidRPr="00064619">
        <w:rPr>
          <w:rStyle w:val="FootnoteReference"/>
          <w:rFonts w:cs="Taher"/>
          <w:sz w:val="32"/>
          <w:rtl/>
        </w:rPr>
        <w:footnoteReference w:id="667"/>
      </w:r>
      <w:r w:rsidRPr="00064619">
        <w:rPr>
          <w:rFonts w:cs="Taher"/>
          <w:sz w:val="32"/>
          <w:vertAlign w:val="superscript"/>
          <w:rtl/>
        </w:rPr>
        <w:t>)</w:t>
      </w:r>
      <w:r w:rsidRPr="00EA09EB">
        <w:rPr>
          <w:rFonts w:hint="cs"/>
          <w:rtl/>
        </w:rPr>
        <w:t xml:space="preserve">. </w:t>
      </w:r>
    </w:p>
    <w:p w:rsidR="00EA09EB" w:rsidRPr="00EA09EB" w:rsidRDefault="00EA09EB" w:rsidP="007A340E">
      <w:pPr>
        <w:ind w:firstLine="283"/>
        <w:rPr>
          <w:rtl/>
        </w:rPr>
      </w:pPr>
      <w:r w:rsidRPr="007A340E">
        <w:rPr>
          <w:rFonts w:hint="cs"/>
          <w:b/>
          <w:bCs/>
          <w:rtl/>
        </w:rPr>
        <w:t>ثانياً</w:t>
      </w:r>
      <w:r w:rsidRPr="00EA09EB">
        <w:rPr>
          <w:rFonts w:hint="cs"/>
          <w:rtl/>
        </w:rPr>
        <w:t xml:space="preserve">: ليست القيمة العلمية لتلقّي الرواية بالقبول عمليّاً أكثر من قيمة الشهرة العمليّة، والإجماع المنقول. وعلى هذا فإنّ جميع الإشكالات التي تَرِدُ على الشهرة والإجماع تَرِدُ أيضاً على المقبولة. </w:t>
      </w:r>
    </w:p>
    <w:p w:rsidR="00EA09EB" w:rsidRPr="00EA09EB" w:rsidRDefault="00EA09EB" w:rsidP="007A340E">
      <w:pPr>
        <w:ind w:firstLine="283"/>
        <w:rPr>
          <w:rtl/>
        </w:rPr>
      </w:pPr>
      <w:r w:rsidRPr="007A340E">
        <w:rPr>
          <w:rFonts w:hint="cs"/>
          <w:b/>
          <w:bCs/>
          <w:rtl/>
        </w:rPr>
        <w:t>ثالثاً</w:t>
      </w:r>
      <w:r w:rsidRPr="00EA09EB">
        <w:rPr>
          <w:rFonts w:hint="cs"/>
          <w:rtl/>
        </w:rPr>
        <w:t xml:space="preserve">: إنّ هذه الشهرة والمقبولية والعمل بالمضمون تقتصر على بحث القضاء فقط. أمّا في بحث ولاية الفقيه على الناس فرواية عمر بن حنظلة ليست مقبولةً، ولا مشهورةً؛ فقد بَدَأ الاستناد إلى هذه الرواية منذ عصر المحقِّق الكركيّ والشهيد الثاني وما بعد، وفي القرون الأربعة الأخيرة لم يكن هذا الاستناد اتّفاقياً حتّى يمكن أن يقال بمقبوليتها أو شهرتها المتأخِّرة. وعلى فرض إثبات الاتّفاق عليها فلن يكون ذلك مفيداً. وسوف نتعرَّض إلى التلازم المدَّعى بين القضاء والولاية خلال مناقشتنا للمقدّمات اللاحقة. </w:t>
      </w:r>
    </w:p>
    <w:p w:rsidR="00EA09EB" w:rsidRPr="00A32FC0" w:rsidRDefault="00EA09EB" w:rsidP="00EA09EB">
      <w:pPr>
        <w:rPr>
          <w:rtl/>
          <w:lang w:bidi="ar-LB"/>
        </w:rPr>
      </w:pPr>
      <w:r w:rsidRPr="00A32FC0">
        <w:rPr>
          <w:rFonts w:hint="cs"/>
          <w:rtl/>
          <w:lang w:bidi="ar-LB"/>
        </w:rPr>
        <w:t>إنّ التبعيض في مضامين الرواية [قبول بعضها، وردّ بعضها الآخر] أمرٌ شائعٌ في الفقه، كما هو الحال في هذه الرواية، فإنّ كثيراً من الفقهاء لم يعملوا بالضوابط الرجاليّة المذكورة في الرواية، ولكنَّهم استدلّوا بها في باب القضاء. ومسألة ولاية الفقيه أيضاً هي محلّ بحث واختلاف بين الفقهاء.</w:t>
      </w:r>
    </w:p>
    <w:p w:rsidR="00EA09EB" w:rsidRPr="00EA09EB" w:rsidRDefault="00EA09EB" w:rsidP="00B57E2A">
      <w:pPr>
        <w:ind w:firstLine="283"/>
        <w:rPr>
          <w:rtl/>
        </w:rPr>
      </w:pPr>
      <w:r w:rsidRPr="007A340E">
        <w:rPr>
          <w:rFonts w:hint="cs"/>
          <w:b/>
          <w:bCs/>
          <w:rtl/>
        </w:rPr>
        <w:t>رابعاً</w:t>
      </w:r>
      <w:r w:rsidRPr="00EA09EB">
        <w:rPr>
          <w:rFonts w:hint="cs"/>
          <w:rtl/>
        </w:rPr>
        <w:t>: إنّ عمل الفقهاء بروايةٍ لا يمكن أن يؤمِّن اعتبارها وصحّة الاستناد إليها، وخاصّة في مسألة مهمّة كولاية الفقيه. وإنّ تأمين اعتبار كهذا يضع المسألة موضع الاتّهام والشبهة، أي شبهة الدور</w:t>
      </w:r>
      <w:r w:rsidR="00B57E2A">
        <w:rPr>
          <w:rFonts w:hint="cs"/>
          <w:rtl/>
        </w:rPr>
        <w:t>:</w:t>
      </w:r>
      <w:r w:rsidRPr="00EA09EB">
        <w:rPr>
          <w:rFonts w:hint="cs"/>
          <w:rtl/>
        </w:rPr>
        <w:t xml:space="preserve"> فإنّ الفقهاء قد اتَّفقوا أن يعملوا برواية تجعل الفقهاء مراجع في الأمور كافّة. وبدون عمل الفقهاء بهذه الرواية فإنّها تعدّ ضعيفةً وغير معتبرة. إنّ قبول أو عدم قبول ولاية الفقيه على الناس له تأثيرٌ مهمٌّ في جميع المسائل الاجتماعيّة في الإسلام. فهكذا مسألة مهمة لا يمكن إثباتها بأدلّة غير محكمة. وفي المسائل التي تَدُرُّ على الفقهاء نفعاً كبيراً من الأَوْلى أن يُغَضّ النظر عن دليل القبول العمليّ للفقهاء، وأن يكون الرأي في هذه المسألة طبقاً لسيرة السلف الصالح، أي أن يكون الجواب على استفتاء البئر بعد ملء البئر</w:t>
      </w:r>
      <w:r w:rsidRPr="00064619">
        <w:rPr>
          <w:rFonts w:cs="Taher"/>
          <w:sz w:val="32"/>
          <w:vertAlign w:val="superscript"/>
          <w:rtl/>
          <w:lang w:bidi="ar-LB"/>
        </w:rPr>
        <w:t>(</w:t>
      </w:r>
      <w:r w:rsidRPr="00064619">
        <w:rPr>
          <w:rStyle w:val="FootnoteReference"/>
          <w:rFonts w:cs="Taher"/>
          <w:sz w:val="32"/>
          <w:rtl/>
          <w:lang w:bidi="ar-LB"/>
        </w:rPr>
        <w:footnoteReference w:id="668"/>
      </w:r>
      <w:r w:rsidRPr="00064619">
        <w:rPr>
          <w:rFonts w:cs="Taher"/>
          <w:sz w:val="32"/>
          <w:vertAlign w:val="superscript"/>
          <w:rtl/>
          <w:lang w:bidi="ar-LB"/>
        </w:rPr>
        <w:t>)</w:t>
      </w:r>
      <w:r w:rsidRPr="00EA09EB">
        <w:rPr>
          <w:rFonts w:hint="cs"/>
          <w:rtl/>
        </w:rPr>
        <w:t>.</w:t>
      </w:r>
    </w:p>
    <w:p w:rsidR="00EA09EB" w:rsidRPr="00A32FC0" w:rsidRDefault="00EA09EB" w:rsidP="00714EFE">
      <w:pPr>
        <w:pStyle w:val="Normal84"/>
        <w:rPr>
          <w:rtl/>
        </w:rPr>
      </w:pPr>
      <w:r w:rsidRPr="00A32FC0">
        <w:rPr>
          <w:rFonts w:hint="cs"/>
          <w:rtl/>
        </w:rPr>
        <w:t>ومع هذا كلّه فإن أغلب الفقهاء أقرّوا بالقبول العمليّ لرواية عمر بن حنظلة، وغضّوا النظر عن إشكالاتها السنديّة. ونحن أيضاً سوف نفترض صحّة السند، وننتقل إلى بحث الدلالة.</w:t>
      </w:r>
    </w:p>
    <w:p w:rsidR="00EA09EB" w:rsidRPr="00A32FC0" w:rsidRDefault="00EA09EB" w:rsidP="00714EFE">
      <w:pPr>
        <w:pStyle w:val="Normal84"/>
        <w:rPr>
          <w:rtl/>
        </w:rPr>
      </w:pPr>
      <w:r w:rsidRPr="00A32FC0">
        <w:rPr>
          <w:rFonts w:hint="cs"/>
          <w:rtl/>
        </w:rPr>
        <w:t>وأمّا المقدمة الثالثة فهي في غاية الإتقان، وقد أَقَرَّ بها كافّة فقهائنا.</w:t>
      </w:r>
    </w:p>
    <w:p w:rsidR="00EA09EB" w:rsidRPr="00A32FC0" w:rsidRDefault="00EA09EB" w:rsidP="00714EFE">
      <w:pPr>
        <w:pStyle w:val="Normal84"/>
        <w:rPr>
          <w:rtl/>
        </w:rPr>
      </w:pPr>
      <w:r w:rsidRPr="00A32FC0">
        <w:rPr>
          <w:rFonts w:hint="cs"/>
          <w:rtl/>
        </w:rPr>
        <w:t>وأمّا المقدّمة الرابعة فهي تامّة عند أكثر الفقهاء، أي إن عبارة «إنّي قد جعلته عليكم حاكماً» هي نصٌّ في تعيين الفقهاء من قِبَل الإمام الصادق</w:t>
      </w:r>
      <w:r>
        <w:rPr>
          <w:rFonts w:hint="cs"/>
          <w:rtl/>
        </w:rPr>
        <w:t>×</w:t>
      </w:r>
      <w:r w:rsidRPr="00A32FC0">
        <w:rPr>
          <w:rFonts w:hint="cs"/>
          <w:rtl/>
        </w:rPr>
        <w:t>، إلاّ أنّ هناك ثلاث مناقشات في هذه المقدّمة لابدّ من بحثها:</w:t>
      </w:r>
    </w:p>
    <w:p w:rsidR="00EA09EB" w:rsidRPr="00A32FC0" w:rsidRDefault="00EA09EB" w:rsidP="00714EFE">
      <w:pPr>
        <w:pStyle w:val="Normal84"/>
        <w:rPr>
          <w:rtl/>
        </w:rPr>
      </w:pPr>
      <w:r w:rsidRPr="00A32FC0">
        <w:rPr>
          <w:rFonts w:hint="cs"/>
          <w:b/>
          <w:bCs/>
          <w:rtl/>
        </w:rPr>
        <w:t>الأولى</w:t>
      </w:r>
      <w:r w:rsidRPr="00EA09EB">
        <w:rPr>
          <w:rFonts w:hint="cs"/>
          <w:rtl/>
        </w:rPr>
        <w:t>: إنّ لفظ «جَعَلَ» ليس بمعنى الإنشاء والإيجاد، بل بمعنى القول والتوصيف</w:t>
      </w:r>
      <w:r w:rsidRPr="00064619">
        <w:rPr>
          <w:rFonts w:cs="Taher"/>
          <w:vertAlign w:val="superscript"/>
          <w:rtl/>
        </w:rPr>
        <w:t>(</w:t>
      </w:r>
      <w:r w:rsidRPr="00064619">
        <w:rPr>
          <w:rStyle w:val="FootnoteReference"/>
          <w:rFonts w:cs="Taher"/>
          <w:sz w:val="32"/>
          <w:rtl/>
        </w:rPr>
        <w:footnoteReference w:id="669"/>
      </w:r>
      <w:r w:rsidRPr="00064619">
        <w:rPr>
          <w:rFonts w:cs="Taher"/>
          <w:vertAlign w:val="superscript"/>
          <w:rtl/>
        </w:rPr>
        <w:t>)</w:t>
      </w:r>
      <w:r w:rsidRPr="00A32FC0">
        <w:rPr>
          <w:rFonts w:hint="cs"/>
          <w:rtl/>
        </w:rPr>
        <w:t>. وعلى هذا الأساس يصبح قول الإمام الصادق</w:t>
      </w:r>
      <w:r>
        <w:rPr>
          <w:rFonts w:hint="cs"/>
          <w:rtl/>
        </w:rPr>
        <w:t>×</w:t>
      </w:r>
      <w:r w:rsidRPr="00A32FC0">
        <w:rPr>
          <w:rFonts w:hint="cs"/>
          <w:rtl/>
        </w:rPr>
        <w:t xml:space="preserve"> بهذا المعنى: «أُعْلِنُ أنّ </w:t>
      </w:r>
      <w:r w:rsidRPr="00714EFE">
        <w:rPr>
          <w:rFonts w:hint="cs"/>
          <w:sz w:val="26"/>
          <w:szCs w:val="28"/>
          <w:rtl/>
        </w:rPr>
        <w:t xml:space="preserve">الأفراد الصالحين لرفع نزاعاتكم هم الفقهاء، وأنتم تختارونهم </w:t>
      </w:r>
      <w:r w:rsidRPr="00A32FC0">
        <w:rPr>
          <w:rFonts w:hint="cs"/>
          <w:rtl/>
        </w:rPr>
        <w:t>برضاكم (فليرضوا به حكماً)». وعلى هذا فلا يمكن استفادة التعيين من هذه الرواية.</w:t>
      </w:r>
    </w:p>
    <w:p w:rsidR="00EA09EB" w:rsidRPr="00EA09EB" w:rsidRDefault="00EA09EB" w:rsidP="00714EFE">
      <w:pPr>
        <w:pStyle w:val="Normal84"/>
        <w:rPr>
          <w:rtl/>
        </w:rPr>
      </w:pPr>
      <w:r w:rsidRPr="00A32FC0">
        <w:rPr>
          <w:rFonts w:hint="cs"/>
          <w:rtl/>
        </w:rPr>
        <w:t>وهذه المناقشة غير تامّة؛ لأن الجعل بمعنى القول خلافٌ للظاهر بشكلٍ واضحٍ</w:t>
      </w:r>
      <w:r w:rsidRPr="00064619">
        <w:rPr>
          <w:rFonts w:cs="Taher"/>
          <w:vertAlign w:val="superscript"/>
          <w:rtl/>
        </w:rPr>
        <w:t>(</w:t>
      </w:r>
      <w:r w:rsidRPr="00064619">
        <w:rPr>
          <w:rStyle w:val="FootnoteReference"/>
          <w:rFonts w:cs="Taher"/>
          <w:sz w:val="32"/>
          <w:rtl/>
        </w:rPr>
        <w:footnoteReference w:id="670"/>
      </w:r>
      <w:r w:rsidRPr="00064619">
        <w:rPr>
          <w:rFonts w:cs="Taher"/>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الثانية</w:t>
      </w:r>
      <w:r w:rsidRPr="00EA09EB">
        <w:rPr>
          <w:rFonts w:hint="cs"/>
          <w:rtl/>
        </w:rPr>
        <w:t>: اعتبر المير عبد الفتاح الحسيني المراغي أنّ عبارة «إنّي قد جعلته عليكم حاكماً» دالّة على بيان الحكم، والجعل كاشفٌ عن الحكم</w:t>
      </w:r>
      <w:r w:rsidRPr="00064619">
        <w:rPr>
          <w:rFonts w:cs="Taher"/>
          <w:sz w:val="32"/>
          <w:vertAlign w:val="superscript"/>
          <w:rtl/>
          <w:lang w:bidi="ar-LB"/>
        </w:rPr>
        <w:t>(</w:t>
      </w:r>
      <w:r w:rsidRPr="00064619">
        <w:rPr>
          <w:rStyle w:val="FootnoteReference"/>
          <w:rFonts w:cs="Taher"/>
          <w:sz w:val="32"/>
          <w:rtl/>
          <w:lang w:bidi="ar-LB"/>
        </w:rPr>
        <w:footnoteReference w:id="671"/>
      </w:r>
      <w:r w:rsidRPr="00064619">
        <w:rPr>
          <w:rFonts w:cs="Taher"/>
          <w:sz w:val="32"/>
          <w:vertAlign w:val="superscript"/>
          <w:rtl/>
          <w:lang w:bidi="ar-LB"/>
        </w:rPr>
        <w:t>)</w:t>
      </w:r>
      <w:r w:rsidRPr="00EA09EB">
        <w:rPr>
          <w:rFonts w:hint="cs"/>
          <w:rtl/>
        </w:rPr>
        <w:t>. وعلى هذا الأساس لا يمكن إثبات التعيين. وهذه المناقشة أيضاً غير مقبولة؛ لأنّ المحقِّق المراغي لم يأتِ بدليلٍ على هذا الادّعاء. والظاهر من العبارة مخالِفٌ لرأيه.</w:t>
      </w:r>
    </w:p>
    <w:p w:rsidR="00EA09EB" w:rsidRPr="00EA09EB" w:rsidRDefault="00EA09EB" w:rsidP="00EA09EB">
      <w:pPr>
        <w:rPr>
          <w:rtl/>
        </w:rPr>
      </w:pPr>
      <w:r w:rsidRPr="007A340E">
        <w:rPr>
          <w:rFonts w:hint="cs"/>
          <w:b/>
          <w:bCs/>
          <w:rtl/>
        </w:rPr>
        <w:t>الثالثة</w:t>
      </w:r>
      <w:r w:rsidRPr="00EA09EB">
        <w:rPr>
          <w:rFonts w:hint="cs"/>
          <w:rtl/>
        </w:rPr>
        <w:t>: إنّ ظاهر عبارة «فليرضَوْا به حَكَماً» هو قاضي التحكيم، أي الحَكَم الذي يُعيَّن من قبل المترافعين. لذلك فإنّ لفظ الحاكم في العبارات السابقة لا يتعدّى هذا المعنى. وعلى هذا لا يمكن استفادة التعيين من الرواية. ويصبح معنى قول الإمام</w:t>
      </w:r>
      <w:r>
        <w:rPr>
          <w:rFonts w:hint="cs"/>
          <w:rtl/>
        </w:rPr>
        <w:t>×</w:t>
      </w:r>
      <w:r w:rsidRPr="00EA09EB">
        <w:rPr>
          <w:rFonts w:hint="cs"/>
          <w:rtl/>
        </w:rPr>
        <w:t xml:space="preserve"> هكذا: لا تتحاكموا إلى قضاة الجور، وأنا أُعيِّن لكم أيَّ فقيه تختارونه قاضياً بينكم. وبعبارة أخرى: إنّ الأهليّة للقضاء متوقِّفة على أمرين: </w:t>
      </w:r>
      <w:r w:rsidRPr="007A340E">
        <w:rPr>
          <w:rFonts w:hint="cs"/>
          <w:b/>
          <w:bCs/>
          <w:rtl/>
        </w:rPr>
        <w:t>الأول</w:t>
      </w:r>
      <w:r w:rsidRPr="00EA09EB">
        <w:rPr>
          <w:rFonts w:hint="cs"/>
          <w:rtl/>
        </w:rPr>
        <w:t xml:space="preserve">: حيازة جميع الشروط (الفقاهة)، </w:t>
      </w:r>
      <w:r w:rsidRPr="007A340E">
        <w:rPr>
          <w:rFonts w:hint="cs"/>
          <w:b/>
          <w:bCs/>
          <w:rtl/>
        </w:rPr>
        <w:t>الثاني</w:t>
      </w:r>
      <w:r w:rsidRPr="00EA09EB">
        <w:rPr>
          <w:rFonts w:hint="cs"/>
          <w:rtl/>
        </w:rPr>
        <w:t xml:space="preserve">: اختيار المترافعين ورضاهما. ومن هنا لا يمكن بناءً على هذه الرواية اعتبار رأي الناس لاغياً في إطار الشرع. وعلى هذا الأساس </w:t>
      </w:r>
      <w:r w:rsidRPr="007A340E">
        <w:rPr>
          <w:rFonts w:hint="cs"/>
          <w:b/>
          <w:bCs/>
          <w:rtl/>
        </w:rPr>
        <w:t>أوّلاً</w:t>
      </w:r>
      <w:r w:rsidRPr="00EA09EB">
        <w:rPr>
          <w:rFonts w:hint="cs"/>
          <w:rtl/>
        </w:rPr>
        <w:t xml:space="preserve">: إنّ الرواية تتحدَّث عن قاضي التحكيم، لا القاضي المعيَّن؛ </w:t>
      </w:r>
      <w:r w:rsidRPr="007A340E">
        <w:rPr>
          <w:rFonts w:hint="cs"/>
          <w:b/>
          <w:bCs/>
          <w:rtl/>
        </w:rPr>
        <w:t>وثانياً</w:t>
      </w:r>
      <w:r w:rsidRPr="00EA09EB">
        <w:rPr>
          <w:rFonts w:hint="cs"/>
          <w:rtl/>
        </w:rPr>
        <w:t>: تعيين قاضي التحكيم لا يتمّ إلاّ برضا المترافعين.</w:t>
      </w:r>
    </w:p>
    <w:p w:rsidR="00EA09EB" w:rsidRPr="00A32FC0" w:rsidRDefault="00EA09EB" w:rsidP="00EA09EB">
      <w:pPr>
        <w:rPr>
          <w:rtl/>
          <w:lang w:bidi="ar-LB"/>
        </w:rPr>
      </w:pPr>
      <w:r w:rsidRPr="00953053">
        <w:rPr>
          <w:rFonts w:hint="cs"/>
          <w:rtl/>
          <w:lang w:bidi="ar-LB"/>
        </w:rPr>
        <w:t>وتُعَدّ هذه المناقشة تامّة لو كان تعيين الإمام</w:t>
      </w:r>
      <w:r w:rsidRPr="00A32FC0">
        <w:rPr>
          <w:rFonts w:hint="cs"/>
          <w:rtl/>
          <w:lang w:bidi="ar-LB"/>
        </w:rPr>
        <w:t xml:space="preserve"> للفقهاء قضاةً متوقِّفاً على اختيار المترافعين، غير أنه يمكن أن تكون عبارة </w:t>
      </w:r>
      <w:r w:rsidRPr="00A32FC0">
        <w:rPr>
          <w:rFonts w:hint="cs"/>
          <w:rtl/>
        </w:rPr>
        <w:t>«</w:t>
      </w:r>
      <w:r w:rsidRPr="00A32FC0">
        <w:rPr>
          <w:rFonts w:hint="cs"/>
          <w:rtl/>
          <w:lang w:bidi="ar-LB"/>
        </w:rPr>
        <w:t>فإنّي جعلته عليكم حاكماً</w:t>
      </w:r>
      <w:r w:rsidRPr="00A32FC0">
        <w:rPr>
          <w:rFonts w:hint="cs"/>
          <w:rtl/>
        </w:rPr>
        <w:t>»</w:t>
      </w:r>
      <w:r w:rsidRPr="00A32FC0">
        <w:rPr>
          <w:rFonts w:hint="cs"/>
          <w:rtl/>
          <w:lang w:bidi="ar-LB"/>
        </w:rPr>
        <w:t xml:space="preserve"> هي علّة مقدَّمة على </w:t>
      </w:r>
      <w:r w:rsidRPr="00A32FC0">
        <w:rPr>
          <w:rFonts w:hint="cs"/>
          <w:rtl/>
        </w:rPr>
        <w:t>«</w:t>
      </w:r>
      <w:r w:rsidRPr="00A32FC0">
        <w:rPr>
          <w:rFonts w:hint="cs"/>
          <w:rtl/>
          <w:lang w:bidi="ar-LB"/>
        </w:rPr>
        <w:t>فليرضَوْا به حكماً</w:t>
      </w:r>
      <w:r w:rsidRPr="00A32FC0">
        <w:rPr>
          <w:rFonts w:hint="cs"/>
          <w:rtl/>
        </w:rPr>
        <w:t>»</w:t>
      </w:r>
      <w:r w:rsidRPr="00A32FC0">
        <w:rPr>
          <w:rFonts w:hint="cs"/>
          <w:rtl/>
          <w:lang w:bidi="ar-LB"/>
        </w:rPr>
        <w:t>، بمعنى أنّه لأنَّني أنا الذي عيَّنتُهم قضاةً عليكم أن ترضَوْا بحكمهم. وبملاحظة قوة احتمال التعليل لا يمكن قبول المناقشة الثالثة.</w:t>
      </w:r>
    </w:p>
    <w:p w:rsidR="00EA09EB" w:rsidRPr="00A32FC0" w:rsidRDefault="00EA09EB" w:rsidP="00EA09EB">
      <w:pPr>
        <w:rPr>
          <w:rtl/>
          <w:lang w:bidi="ar-LB"/>
        </w:rPr>
      </w:pPr>
      <w:r w:rsidRPr="00A32FC0">
        <w:rPr>
          <w:rFonts w:hint="cs"/>
          <w:rtl/>
          <w:lang w:bidi="ar-LB"/>
        </w:rPr>
        <w:t>وأمّا المقدّمة الخامسة فإنّ أكثر الفقهاء يرون أنّها تامّة. ولا يوجد أدنى شكٍّ في فائدة تعيين القاضي في عصر الإمام الصادق</w:t>
      </w:r>
      <w:r>
        <w:rPr>
          <w:rFonts w:hint="cs"/>
          <w:rtl/>
        </w:rPr>
        <w:t>×</w:t>
      </w:r>
      <w:r w:rsidRPr="00A32FC0">
        <w:rPr>
          <w:rFonts w:hint="cs"/>
          <w:rtl/>
          <w:lang w:bidi="ar-LB"/>
        </w:rPr>
        <w:t>، ولو أنّ هناك نقاشاً في تعيينه للولاة؛ لكونه غير مبسوط اليد. وهذا ما سوف نبحثه في المقدّمة التالية. وأما النقطتان: الثانية والثالثة فهما أيضاً تامّتان.</w:t>
      </w:r>
    </w:p>
    <w:p w:rsidR="00EA09EB" w:rsidRPr="00A32FC0" w:rsidRDefault="00EA09EB" w:rsidP="00EA09EB">
      <w:pPr>
        <w:rPr>
          <w:rtl/>
          <w:lang w:bidi="ar-LB"/>
        </w:rPr>
      </w:pPr>
      <w:r w:rsidRPr="00A32FC0">
        <w:rPr>
          <w:rFonts w:hint="cs"/>
          <w:rtl/>
          <w:lang w:bidi="ar-LB"/>
        </w:rPr>
        <w:t>وأمّا المقدّمة السادسة فإنّ البحث الأهمّ حول دلالة هذه الرواية يكمن في هذه المقدّمة.</w:t>
      </w:r>
    </w:p>
    <w:p w:rsidR="00EA09EB" w:rsidRPr="00A32FC0" w:rsidRDefault="00EA09EB" w:rsidP="00EA09EB">
      <w:pPr>
        <w:rPr>
          <w:rtl/>
          <w:lang w:bidi="ar-LB"/>
        </w:rPr>
      </w:pPr>
      <w:r w:rsidRPr="00A32FC0">
        <w:rPr>
          <w:rFonts w:hint="cs"/>
          <w:rtl/>
          <w:lang w:bidi="ar-LB"/>
        </w:rPr>
        <w:t>ما هو المنصب الذي يعيِّن الإمام الصادق</w:t>
      </w:r>
      <w:r>
        <w:rPr>
          <w:rFonts w:hint="cs"/>
          <w:rtl/>
        </w:rPr>
        <w:t>×</w:t>
      </w:r>
      <w:r w:rsidRPr="00A32FC0">
        <w:rPr>
          <w:rFonts w:hint="cs"/>
          <w:rtl/>
          <w:lang w:bidi="ar-LB"/>
        </w:rPr>
        <w:t xml:space="preserve"> الفقهاءَ فيه؟ </w:t>
      </w:r>
    </w:p>
    <w:p w:rsidR="00EA09EB" w:rsidRPr="00A32FC0" w:rsidRDefault="00EA09EB" w:rsidP="00EA09EB">
      <w:pPr>
        <w:rPr>
          <w:rtl/>
          <w:lang w:bidi="ar-LB"/>
        </w:rPr>
      </w:pPr>
      <w:r w:rsidRPr="00A32FC0">
        <w:rPr>
          <w:rFonts w:hint="cs"/>
          <w:rtl/>
          <w:lang w:bidi="ar-LB"/>
        </w:rPr>
        <w:t>ليس هناك شكٌّ في أنّ المستفاد من الرواية هو منصب القضاء للفقهاء</w:t>
      </w:r>
      <w:r>
        <w:rPr>
          <w:rFonts w:hint="cs"/>
          <w:rtl/>
          <w:lang w:bidi="ar-LB"/>
        </w:rPr>
        <w:t>،</w:t>
      </w:r>
      <w:r w:rsidRPr="00A32FC0">
        <w:rPr>
          <w:rFonts w:hint="cs"/>
          <w:rtl/>
          <w:lang w:bidi="ar-LB"/>
        </w:rPr>
        <w:t xml:space="preserve"> ولو أنّه لم يتّضح ـ كما مرّ سابقاً ـ أنّ الرواية تتحدَّث عن قاضي التحكيم أو القاضي المعيَّن، والبحث الأساسيّ هو: هل تثبت رواية عمر بن حنظلة للفقهاء ـ بالإضافة إلى منصب القضاء ـ الولاية التدبيريّة أم لا؟ </w:t>
      </w:r>
    </w:p>
    <w:p w:rsidR="00EA09EB" w:rsidRPr="00A32FC0" w:rsidRDefault="00EA09EB" w:rsidP="00EA09EB">
      <w:pPr>
        <w:rPr>
          <w:rtl/>
          <w:lang w:bidi="ar-LB"/>
        </w:rPr>
      </w:pPr>
      <w:r w:rsidRPr="00A32FC0">
        <w:rPr>
          <w:rFonts w:hint="cs"/>
          <w:rtl/>
          <w:lang w:bidi="ar-LB"/>
        </w:rPr>
        <w:t>أجاب جمعٌ كبيرٌ من الفقهاء عن هذا السؤال بالنفي. وكان لهم إشكالات هامّة على هذه المقدمة، ونحن نستعرضها على الشكل التالي:</w:t>
      </w:r>
    </w:p>
    <w:p w:rsidR="00EA09EB" w:rsidRPr="00EA09EB" w:rsidRDefault="00EA09EB" w:rsidP="00EA09EB">
      <w:pPr>
        <w:rPr>
          <w:rtl/>
        </w:rPr>
      </w:pPr>
      <w:r w:rsidRPr="007A340E">
        <w:rPr>
          <w:rFonts w:hint="cs"/>
          <w:b/>
          <w:bCs/>
          <w:rtl/>
        </w:rPr>
        <w:t>الإشكال الأوّل</w:t>
      </w:r>
      <w:r w:rsidRPr="00EA09EB">
        <w:rPr>
          <w:rFonts w:hint="cs"/>
          <w:rtl/>
        </w:rPr>
        <w:t>: إن عمر بن حنظلة كان قد سأل الإمام الصادق</w:t>
      </w:r>
      <w:r>
        <w:rPr>
          <w:rFonts w:hint="cs"/>
          <w:rtl/>
        </w:rPr>
        <w:t>×</w:t>
      </w:r>
      <w:r w:rsidRPr="00EA09EB">
        <w:rPr>
          <w:rFonts w:hint="cs"/>
          <w:rtl/>
        </w:rPr>
        <w:t xml:space="preserve"> حول المرجع في المرافعات بين الشيعة في ذلك الزمن، وما قاله الإمام</w:t>
      </w:r>
      <w:r>
        <w:rPr>
          <w:rFonts w:hint="cs"/>
          <w:rtl/>
        </w:rPr>
        <w:t>×</w:t>
      </w:r>
      <w:r w:rsidRPr="00EA09EB">
        <w:rPr>
          <w:rFonts w:hint="cs"/>
          <w:rtl/>
        </w:rPr>
        <w:t xml:space="preserve"> لابدّ أن يكون جواباً عن هذا السؤال. وتعيين الفقهاء قضاة هو الجواب عن هذا السؤال. أمّا حمل الرواية على تعيين الفقهاء للولاية في عصر الغيبة فهو يُعَدّ خروجاً عن مورد السؤال، وتركه بدون جواب، وهو قبيح. وإذا كان المراد من الولاية هو الولاية الكبرى والزعامة السياسيّة الثابتة للإمام الصادق</w:t>
      </w:r>
      <w:r>
        <w:rPr>
          <w:rFonts w:hint="cs"/>
          <w:rtl/>
        </w:rPr>
        <w:t>×</w:t>
      </w:r>
      <w:r w:rsidRPr="00EA09EB">
        <w:rPr>
          <w:rFonts w:hint="cs"/>
          <w:rtl/>
        </w:rPr>
        <w:t>، من وجهة نظر الشيعة، ومن بعده لأولاده المعصومين طيلة قرن من الزمن، فعلى هذا يكون تعيين الفقهاء للولاية الكبرى منتفياً بالفعل، ولمدة قرن من الزمن. وإنّ تجنُّب الإمام حلَّ مشكلة الشيعة في عصره ليجيب عن مشكلة إدارة المجتمع بعد قرن من الزمن لهو أمرٌ مستبعدٌ؛ لأن ذلك لا يصحّ أن يكون جواباً عن السؤال حول مشكلة معاصرة. وأمّا إذا كان المراد من الولاية ه</w:t>
      </w:r>
      <w:r w:rsidR="00B57E2A">
        <w:rPr>
          <w:rFonts w:hint="cs"/>
          <w:rtl/>
        </w:rPr>
        <w:t>و الولاية الصغرى، أي تعيين ولاة</w:t>
      </w:r>
      <w:r w:rsidRPr="00EA09EB">
        <w:rPr>
          <w:rFonts w:hint="cs"/>
          <w:rtl/>
        </w:rPr>
        <w:t xml:space="preserve"> وحكّام بإشراف وليّ الأمر والحاكم المطلق، فإنّ هذا، وإنْ كان لا يعدّ لغواً، لا بالفعل، ولا لقرنٍ لاحقٍ، كما لا يُعدّ تركاً للسؤال بدون جواب، إلاّ أنّه </w:t>
      </w:r>
      <w:r w:rsidRPr="007A340E">
        <w:rPr>
          <w:rFonts w:hint="cs"/>
          <w:b/>
          <w:bCs/>
          <w:rtl/>
        </w:rPr>
        <w:t>أولاً</w:t>
      </w:r>
      <w:r w:rsidRPr="00EA09EB">
        <w:rPr>
          <w:rFonts w:hint="cs"/>
          <w:rtl/>
        </w:rPr>
        <w:t xml:space="preserve">: الإمام الصادق لم يكن مبسوط اليد في ذلك الزمان، ليقوم بتعيين الولاة والحكام؛ </w:t>
      </w:r>
      <w:r w:rsidRPr="007A340E">
        <w:rPr>
          <w:rFonts w:hint="cs"/>
          <w:b/>
          <w:bCs/>
          <w:rtl/>
        </w:rPr>
        <w:t>وثانياً</w:t>
      </w:r>
      <w:r w:rsidRPr="00EA09EB">
        <w:rPr>
          <w:rFonts w:hint="cs"/>
          <w:rtl/>
        </w:rPr>
        <w:t xml:space="preserve">: لا يمكن لتعيين الفقهاء ولاةً وحكاماً فرعيّين أن يجعلنا نستنتج تعيينهم للولاية الكبرى والزعامة السياسيّة المطلقة؛ </w:t>
      </w:r>
      <w:r w:rsidRPr="007A340E">
        <w:rPr>
          <w:rFonts w:hint="cs"/>
          <w:b/>
          <w:bCs/>
          <w:rtl/>
        </w:rPr>
        <w:t>وثالثاً</w:t>
      </w:r>
      <w:r w:rsidRPr="00EA09EB">
        <w:rPr>
          <w:rFonts w:hint="cs"/>
          <w:rtl/>
        </w:rPr>
        <w:t>: بسبب عدم توفُّر المقدّمات اللازمة فإن الإمام الصادق</w:t>
      </w:r>
      <w:r>
        <w:rPr>
          <w:rFonts w:hint="cs"/>
          <w:rtl/>
        </w:rPr>
        <w:t>×</w:t>
      </w:r>
      <w:r w:rsidRPr="00EA09EB">
        <w:rPr>
          <w:rFonts w:hint="cs"/>
          <w:rtl/>
        </w:rPr>
        <w:t xml:space="preserve"> لم يكن بصدد القيام على السلطة الحاكمة في زمانه، حتّى يعيّن الولاة مقابلها، وإنّما كان في صدد حلّ مشاكل الشيعة في مسألة المنازعات القضائيّة، فهو لم يكن يتدخَّل في المسائل السياسيّة في ذلك الزمان، على الرغم من أنّ ذلك كان من حقّه، فكيف يعيِّن الفقهاء لأمرٍ هو نفسه يرى أن الظروف الحالية غير مساعدة على الانخراط فيه؟ وخصوصاً أنّ الشيعة في ذلك الزمان كانوا أقليّةً، ولم يكن من الممكن وصولهم إلى الحكم، وإقامة دولة في تلك الظروف</w:t>
      </w:r>
      <w:r w:rsidRPr="00064619">
        <w:rPr>
          <w:rFonts w:cs="Taher"/>
          <w:sz w:val="32"/>
          <w:vertAlign w:val="superscript"/>
          <w:rtl/>
          <w:lang w:bidi="ar-LB"/>
        </w:rPr>
        <w:t>(</w:t>
      </w:r>
      <w:r w:rsidRPr="00064619">
        <w:rPr>
          <w:rStyle w:val="FootnoteReference"/>
          <w:rFonts w:cs="Taher"/>
          <w:sz w:val="32"/>
          <w:rtl/>
          <w:lang w:bidi="ar-LB"/>
        </w:rPr>
        <w:footnoteReference w:id="672"/>
      </w:r>
      <w:r w:rsidRPr="00064619">
        <w:rPr>
          <w:rFonts w:cs="Taher"/>
          <w:sz w:val="32"/>
          <w:vertAlign w:val="superscript"/>
          <w:rtl/>
          <w:lang w:bidi="ar-LB"/>
        </w:rPr>
        <w:t>)</w:t>
      </w:r>
      <w:r w:rsidRPr="00EA09EB">
        <w:rPr>
          <w:rFonts w:hint="cs"/>
          <w:rtl/>
        </w:rPr>
        <w:t>.</w:t>
      </w:r>
    </w:p>
    <w:p w:rsidR="00EA09EB" w:rsidRPr="00A32FC0" w:rsidRDefault="00EA09EB" w:rsidP="00714EFE">
      <w:pPr>
        <w:pStyle w:val="Normal93"/>
        <w:rPr>
          <w:rtl/>
        </w:rPr>
      </w:pPr>
      <w:r w:rsidRPr="00A32FC0">
        <w:rPr>
          <w:rFonts w:hint="cs"/>
          <w:b/>
          <w:bCs/>
          <w:rtl/>
        </w:rPr>
        <w:t>الإشكال الثاني</w:t>
      </w:r>
      <w:r w:rsidRPr="00EA09EB">
        <w:rPr>
          <w:rFonts w:hint="cs"/>
          <w:rtl/>
        </w:rPr>
        <w:t>: إن أغلب استعمالات لفظ الحكومة ومشتقّاته (حاكم، حكم، محاكمة، تحاكم، و...) في الكتاب والسنّة كان في خصوص القضاء. وقد كان إطلاق الحاكم على الوالي من هذا الباب؛ لأن القضاء وفصل الخصومات كانا يعدّان من أهمّ وظائف الولاة. وعبارة «إني جعلته عليكم حاكماً» هي تماماً عبارة الإمام</w:t>
      </w:r>
      <w:r>
        <w:rPr>
          <w:rFonts w:hint="cs"/>
          <w:rtl/>
        </w:rPr>
        <w:t>×</w:t>
      </w:r>
      <w:r w:rsidRPr="00EA09EB">
        <w:rPr>
          <w:rFonts w:hint="cs"/>
          <w:rtl/>
        </w:rPr>
        <w:t xml:space="preserve"> نفسها التي جاءت في رواية أبي خديجة «إنّي جعلته قاضياً». وهذا يعني أنّ الحاكم هو القاضي. ومنشأ الشبهة هنا يرجع إلى أنّ لفظ الحاكم في اللغة الفارسيّة يستعمل في الوالي، إلا أنّه في اللغة العربية، التي تُعَدّ مرجع البحث والاستنباط الفقهيّ، فإنّ كلمة حاكم ظاهرةٌ في القاضي. لذلك فإنّ ظهور لفظ الحاكم في الولاية والزعامة (طبقاً للغة العربية، ولسان الكتاب والسنّة) مردودٌ قطعاً. وذكر كلمة السلطان من الرواية لا تُعَدّ دليلاً على إرادة الأعمّ من القضاء (أي الولاية)، فإن الرجوع إلى القاضي المعيّن من قبل السلطان هو نحو من الرجوع إلى السلطان نفسه. مع الإشارة إلى أنّه في بعض الأحيان </w:t>
      </w:r>
      <w:r w:rsidRPr="00EA09EB">
        <w:rPr>
          <w:rtl/>
        </w:rPr>
        <w:t>ـ</w:t>
      </w:r>
      <w:r w:rsidRPr="00EA09EB">
        <w:rPr>
          <w:rFonts w:hint="cs"/>
          <w:rtl/>
        </w:rPr>
        <w:t xml:space="preserve"> وخاصّة في الأمور الهامّة </w:t>
      </w:r>
      <w:r w:rsidRPr="00EA09EB">
        <w:rPr>
          <w:rtl/>
        </w:rPr>
        <w:t>ـ</w:t>
      </w:r>
      <w:r w:rsidRPr="00EA09EB">
        <w:rPr>
          <w:rFonts w:hint="cs"/>
          <w:rtl/>
        </w:rPr>
        <w:t xml:space="preserve"> كان السلطان بنفسه يقوم بالتصدّي للقضاء. وأمّا الآية المستشهَد بها في الرواية فإنّها </w:t>
      </w:r>
      <w:r w:rsidRPr="00EA09EB">
        <w:rPr>
          <w:rtl/>
        </w:rPr>
        <w:t>ـ</w:t>
      </w:r>
      <w:r w:rsidRPr="00EA09EB">
        <w:rPr>
          <w:rFonts w:hint="cs"/>
          <w:rtl/>
        </w:rPr>
        <w:t xml:space="preserve"> وبالالتفات إلى ظهورها ومناسبة نزولها </w:t>
      </w:r>
      <w:r w:rsidRPr="00EA09EB">
        <w:rPr>
          <w:rtl/>
        </w:rPr>
        <w:t>ـ</w:t>
      </w:r>
      <w:r w:rsidRPr="00EA09EB">
        <w:rPr>
          <w:rFonts w:hint="cs"/>
          <w:rtl/>
        </w:rPr>
        <w:t xml:space="preserve"> تتحدّث عن القضاء، لا الزعامة السياسيّة. كما أنّ التمسُّك بـ «على» بدل «بين» في قوله</w:t>
      </w:r>
      <w:r>
        <w:rPr>
          <w:rFonts w:hint="cs"/>
          <w:rtl/>
        </w:rPr>
        <w:t>×</w:t>
      </w:r>
      <w:r w:rsidRPr="00EA09EB">
        <w:rPr>
          <w:rFonts w:hint="cs"/>
          <w:rtl/>
        </w:rPr>
        <w:t>: «جعلته عليكم حاكماً» لا يؤمِّن لنا هنا ظهوراً في الزعامة السياسية؛ لأنّ القاضي أيضاً ـ بملاحظة نفوذ حكمه ـ يُعَدّ صاحب علوّ ورفعة. بالإضافة إلى أنّ المرجِّحات المذكورة في الرواية هي من القرائن التي تدلّ على أنّ المقصود من الرواية هو القضاء والإفتاء</w:t>
      </w:r>
      <w:r w:rsidRPr="00064619">
        <w:rPr>
          <w:rFonts w:cs="Taher"/>
          <w:vertAlign w:val="superscript"/>
          <w:rtl/>
        </w:rPr>
        <w:t>(</w:t>
      </w:r>
      <w:r w:rsidRPr="00064619">
        <w:rPr>
          <w:rStyle w:val="FootnoteReference"/>
          <w:rFonts w:cs="Taher"/>
          <w:sz w:val="32"/>
          <w:rtl/>
        </w:rPr>
        <w:footnoteReference w:id="673"/>
      </w:r>
      <w:r w:rsidRPr="00064619">
        <w:rPr>
          <w:rFonts w:cs="Taher"/>
          <w:vertAlign w:val="superscript"/>
          <w:rtl/>
        </w:rPr>
        <w:t>)</w:t>
      </w:r>
      <w:r w:rsidRPr="00A32FC0">
        <w:rPr>
          <w:rFonts w:hint="cs"/>
          <w:rtl/>
        </w:rPr>
        <w:t xml:space="preserve">. </w:t>
      </w:r>
    </w:p>
    <w:p w:rsidR="00EA09EB" w:rsidRPr="00EA09EB" w:rsidRDefault="00EA09EB" w:rsidP="00714EFE">
      <w:pPr>
        <w:pStyle w:val="Normal84"/>
        <w:rPr>
          <w:rtl/>
        </w:rPr>
      </w:pPr>
      <w:r w:rsidRPr="00A32FC0">
        <w:rPr>
          <w:rFonts w:hint="cs"/>
          <w:rtl/>
        </w:rPr>
        <w:t xml:space="preserve">فرواية عمر بن حنظلة تشير إلى مرجعيّة الفقهاء في الفتوى والقضاء في الشبهات الحكميّة والموضوعيّة، وليس لها </w:t>
      </w:r>
      <w:r>
        <w:rPr>
          <w:rFonts w:hint="cs"/>
          <w:rtl/>
        </w:rPr>
        <w:t>أيّ</w:t>
      </w:r>
      <w:r w:rsidRPr="00A32FC0">
        <w:rPr>
          <w:rFonts w:hint="cs"/>
          <w:rtl/>
        </w:rPr>
        <w:t xml:space="preserve"> دلالة على الإمارة والزعامة السياسيّة والولاية الشرعيّة للفقيه</w:t>
      </w:r>
      <w:r w:rsidRPr="00064619">
        <w:rPr>
          <w:rFonts w:cs="Taher"/>
          <w:vertAlign w:val="superscript"/>
          <w:rtl/>
        </w:rPr>
        <w:t>(</w:t>
      </w:r>
      <w:r w:rsidRPr="00064619">
        <w:rPr>
          <w:rStyle w:val="FootnoteReference"/>
          <w:rFonts w:cs="Taher"/>
          <w:sz w:val="32"/>
          <w:rtl/>
        </w:rPr>
        <w:footnoteReference w:id="674"/>
      </w:r>
      <w:r w:rsidRPr="00064619">
        <w:rPr>
          <w:rFonts w:cs="Taher"/>
          <w:vertAlign w:val="superscript"/>
          <w:rtl/>
        </w:rPr>
        <w:t>)</w:t>
      </w:r>
      <w:r w:rsidRPr="00EA09EB">
        <w:rPr>
          <w:rFonts w:hint="cs"/>
          <w:rtl/>
        </w:rPr>
        <w:t>.</w:t>
      </w:r>
    </w:p>
    <w:p w:rsidR="00EA09EB" w:rsidRDefault="00EA09EB" w:rsidP="00EA09EB">
      <w:pPr>
        <w:rPr>
          <w:rtl/>
          <w:lang w:bidi="ar-LB"/>
        </w:rPr>
      </w:pPr>
      <w:r w:rsidRPr="00A32FC0">
        <w:rPr>
          <w:rFonts w:hint="cs"/>
          <w:rtl/>
          <w:lang w:bidi="ar-LB"/>
        </w:rPr>
        <w:t>وأمّا المقدّمة السابعة فهي قطعاً غير تامّة؛ فإنّ رواية عمر بن حنظلة عندما تكون في صدد إثبات منصب القضاء للفقيه، ولا دلالة لها على الولاية، فمن الواضح أنّه لا يمكن أن يستدلَّ بها على الولاية المطلقة. وحتى لو قبلنا دلالتها على الولاية فهي ليست في مقام البيان، حتّى نستطيع أن نتمسَّك بإطلاقها.</w:t>
      </w:r>
    </w:p>
    <w:p w:rsidR="007A340E" w:rsidRPr="00714EFE" w:rsidRDefault="007A340E" w:rsidP="00EA09EB">
      <w:pPr>
        <w:rPr>
          <w:sz w:val="14"/>
          <w:szCs w:val="16"/>
          <w:rtl/>
          <w:lang w:bidi="ar-LB"/>
        </w:rPr>
      </w:pPr>
    </w:p>
    <w:p w:rsidR="00EA09EB" w:rsidRPr="00D91745" w:rsidRDefault="00EA09EB" w:rsidP="007A340E">
      <w:pPr>
        <w:pStyle w:val="Heading4"/>
        <w:rPr>
          <w:rtl/>
        </w:rPr>
      </w:pPr>
      <w:r w:rsidRPr="007A340E">
        <w:rPr>
          <w:rFonts w:hint="cs"/>
          <w:rtl/>
        </w:rPr>
        <w:t>نتيجة</w:t>
      </w:r>
      <w:r w:rsidRPr="00D91745">
        <w:rPr>
          <w:rFonts w:hint="cs"/>
          <w:rtl/>
        </w:rPr>
        <w:t xml:space="preserve"> </w:t>
      </w:r>
      <w:r w:rsidRPr="007A340E">
        <w:rPr>
          <w:rFonts w:hint="cs"/>
          <w:rtl/>
        </w:rPr>
        <w:t>البحث</w:t>
      </w:r>
    </w:p>
    <w:p w:rsidR="00EA09EB" w:rsidRPr="00EA09EB" w:rsidRDefault="00EA09EB" w:rsidP="00714EFE">
      <w:pPr>
        <w:pStyle w:val="Normal84"/>
        <w:rPr>
          <w:rtl/>
        </w:rPr>
      </w:pPr>
      <w:r w:rsidRPr="00EA09EB">
        <w:rPr>
          <w:rFonts w:hint="cs"/>
          <w:rtl/>
        </w:rPr>
        <w:t xml:space="preserve">تحصَّل لدينا أنّ رواية عمر بن حنظلة في ما يرتبط بالولاية التعيينيّة المطلقة للفقيه هي على النحو التالي: </w:t>
      </w:r>
      <w:r w:rsidRPr="007A340E">
        <w:rPr>
          <w:rFonts w:hint="cs"/>
          <w:b/>
          <w:bCs/>
          <w:rtl/>
        </w:rPr>
        <w:t>أولاً</w:t>
      </w:r>
      <w:r w:rsidRPr="00EA09EB">
        <w:rPr>
          <w:rFonts w:hint="cs"/>
          <w:rtl/>
        </w:rPr>
        <w:t xml:space="preserve">: إنّ الرواية ضعيفة من ناحية السند؛ بعمر بن حنظلة. ومقبوليتها العملية من قبل الفقهاء يقتصر على بحث القضاء، ولا يمكن تأمين اعتبار رواية تعدّ مستنداً ودليلاً على مسألة هامّة، كولاية الفقيه، بعمل الفقهاء أنفسهم بها. </w:t>
      </w:r>
    </w:p>
    <w:p w:rsidR="00EA09EB" w:rsidRPr="00EA09EB" w:rsidRDefault="00EA09EB" w:rsidP="00714EFE">
      <w:pPr>
        <w:pStyle w:val="Normal87"/>
        <w:rPr>
          <w:rtl/>
        </w:rPr>
      </w:pPr>
      <w:r w:rsidRPr="007A340E">
        <w:rPr>
          <w:rFonts w:hint="cs"/>
          <w:b/>
          <w:bCs/>
          <w:rtl/>
        </w:rPr>
        <w:t>وثانياً</w:t>
      </w:r>
      <w:r w:rsidRPr="00EA09EB">
        <w:rPr>
          <w:rFonts w:hint="cs"/>
          <w:rtl/>
        </w:rPr>
        <w:t>: إنّ الرواية تامّة من جهة دلالتها على تعيين فقهاء الإماميّة في منصب القضاء.</w:t>
      </w:r>
    </w:p>
    <w:p w:rsidR="00EA09EB" w:rsidRDefault="00EA09EB" w:rsidP="00714EFE">
      <w:pPr>
        <w:pStyle w:val="Normal87"/>
        <w:rPr>
          <w:rtl/>
        </w:rPr>
      </w:pPr>
      <w:r w:rsidRPr="007A340E">
        <w:rPr>
          <w:rFonts w:hint="cs"/>
          <w:b/>
          <w:bCs/>
          <w:rtl/>
        </w:rPr>
        <w:t>وثالثاً</w:t>
      </w:r>
      <w:r w:rsidRPr="00EA09EB">
        <w:rPr>
          <w:rFonts w:hint="cs"/>
          <w:rtl/>
        </w:rPr>
        <w:t>: لا دلالة للرواية على الولاية التدبيريّة والزعامة السياسيّة للفقهاء.</w:t>
      </w:r>
    </w:p>
    <w:p w:rsidR="007A340E" w:rsidRPr="00714EFE" w:rsidRDefault="007A340E" w:rsidP="007A340E">
      <w:pPr>
        <w:ind w:firstLine="283"/>
        <w:rPr>
          <w:sz w:val="14"/>
          <w:szCs w:val="16"/>
          <w:rtl/>
        </w:rPr>
      </w:pPr>
    </w:p>
    <w:p w:rsidR="00EA09EB" w:rsidRPr="00D91745" w:rsidRDefault="00EA09EB" w:rsidP="007A340E">
      <w:pPr>
        <w:pStyle w:val="Heading3"/>
        <w:rPr>
          <w:rtl/>
        </w:rPr>
      </w:pPr>
      <w:r w:rsidRPr="007A340E">
        <w:rPr>
          <w:rFonts w:hint="cs"/>
          <w:rtl/>
        </w:rPr>
        <w:t>الرواية</w:t>
      </w:r>
      <w:r w:rsidRPr="00D91745">
        <w:rPr>
          <w:rFonts w:hint="cs"/>
          <w:rtl/>
        </w:rPr>
        <w:t xml:space="preserve"> </w:t>
      </w:r>
      <w:r w:rsidRPr="007A340E">
        <w:rPr>
          <w:rFonts w:hint="cs"/>
          <w:rtl/>
        </w:rPr>
        <w:t>الثامنة</w:t>
      </w:r>
      <w:r w:rsidRPr="00D91745">
        <w:rPr>
          <w:rFonts w:hint="cs"/>
          <w:rtl/>
        </w:rPr>
        <w:t>: مشهورة أبي خديجة</w:t>
      </w:r>
    </w:p>
    <w:p w:rsidR="00EA09EB" w:rsidRPr="00A32FC0" w:rsidRDefault="00EA09EB" w:rsidP="00714EFE">
      <w:pPr>
        <w:pStyle w:val="Normal84"/>
        <w:rPr>
          <w:rtl/>
        </w:rPr>
      </w:pPr>
      <w:r w:rsidRPr="00EA09EB">
        <w:rPr>
          <w:rFonts w:hint="cs"/>
          <w:rtl/>
        </w:rPr>
        <w:t>«روى الشيخ بإسناده عن أبي خديجة، قال: بعثني أبو عبد الله</w:t>
      </w:r>
      <w:r>
        <w:rPr>
          <w:rFonts w:hint="cs"/>
          <w:rtl/>
        </w:rPr>
        <w:t>×</w:t>
      </w:r>
      <w:r w:rsidRPr="00EA09EB">
        <w:rPr>
          <w:rFonts w:hint="cs"/>
          <w:rtl/>
        </w:rPr>
        <w:t xml:space="preserve"> إلى أصحابنا، فقال: قُلْ لهم: إيّاكم إذا وقعت بينكم خصومةٌ أو تداري [تدارؤٌ] في شيءٍ من الأخذ والعطاء، أن تتحاكموا إلى أحدٍ من هؤلاء الفسّاق. اجعلوا بينكم رجلاً ممَّن قد عرف حلالنا وحرامنا، فإنّي قد جعلته قاضياً. وإيّاكم أن يخاصم بعضكم بعضاً إلى السلطان الجائر»</w:t>
      </w:r>
      <w:r w:rsidRPr="00064619">
        <w:rPr>
          <w:rFonts w:cs="Taher"/>
          <w:vertAlign w:val="superscript"/>
          <w:rtl/>
        </w:rPr>
        <w:t>(</w:t>
      </w:r>
      <w:r w:rsidRPr="00064619">
        <w:rPr>
          <w:rStyle w:val="FootnoteReference"/>
          <w:rFonts w:cs="Taher"/>
          <w:sz w:val="32"/>
          <w:rtl/>
        </w:rPr>
        <w:footnoteReference w:id="675"/>
      </w:r>
      <w:r w:rsidRPr="00064619">
        <w:rPr>
          <w:rFonts w:cs="Taher"/>
          <w:vertAlign w:val="superscript"/>
          <w:rtl/>
        </w:rPr>
        <w:t>)</w:t>
      </w:r>
      <w:r w:rsidRPr="00A32FC0">
        <w:rPr>
          <w:rFonts w:hint="cs"/>
          <w:rtl/>
        </w:rPr>
        <w:t>.</w:t>
      </w:r>
    </w:p>
    <w:p w:rsidR="00EA09EB" w:rsidRPr="00A32FC0" w:rsidRDefault="00EA09EB" w:rsidP="00EA09EB">
      <w:pPr>
        <w:rPr>
          <w:rtl/>
          <w:lang w:bidi="ar-LB"/>
        </w:rPr>
      </w:pPr>
      <w:r w:rsidRPr="00A32FC0">
        <w:rPr>
          <w:rFonts w:hint="cs"/>
          <w:rtl/>
          <w:lang w:bidi="ar-LB"/>
        </w:rPr>
        <w:t>نقل الكليني هذه الرواية بسنده في فروع «الكافي»</w:t>
      </w:r>
      <w:r w:rsidRPr="00064619">
        <w:rPr>
          <w:rFonts w:cs="Taher"/>
          <w:vertAlign w:val="superscript"/>
          <w:rtl/>
          <w:lang w:bidi="ar-LB"/>
        </w:rPr>
        <w:t>(</w:t>
      </w:r>
      <w:r w:rsidRPr="00064619">
        <w:rPr>
          <w:rStyle w:val="FootnoteReference"/>
          <w:rFonts w:cs="Taher"/>
          <w:sz w:val="32"/>
          <w:rtl/>
          <w:lang w:bidi="ar-LB"/>
        </w:rPr>
        <w:footnoteReference w:id="676"/>
      </w:r>
      <w:r w:rsidRPr="00064619">
        <w:rPr>
          <w:rFonts w:cs="Taher"/>
          <w:vertAlign w:val="superscript"/>
          <w:rtl/>
          <w:lang w:bidi="ar-LB"/>
        </w:rPr>
        <w:t>)</w:t>
      </w:r>
      <w:r w:rsidRPr="00EA09EB">
        <w:rPr>
          <w:rFonts w:hint="cs"/>
          <w:rtl/>
        </w:rPr>
        <w:t>. كما نقلها بسنده أيضاً الشيخ الصدوق في «مَنْ لا يحضره الفقيه»</w:t>
      </w:r>
      <w:r w:rsidRPr="00064619">
        <w:rPr>
          <w:rFonts w:cs="Taher"/>
          <w:vertAlign w:val="superscript"/>
          <w:rtl/>
        </w:rPr>
        <w:t>(</w:t>
      </w:r>
      <w:r w:rsidRPr="00064619">
        <w:rPr>
          <w:rStyle w:val="FootnoteReference"/>
          <w:rFonts w:cs="Taher"/>
          <w:sz w:val="32"/>
          <w:rtl/>
        </w:rPr>
        <w:footnoteReference w:id="677"/>
      </w:r>
      <w:r w:rsidRPr="00064619">
        <w:rPr>
          <w:rFonts w:cs="Taher"/>
          <w:vertAlign w:val="superscript"/>
          <w:rtl/>
        </w:rPr>
        <w:t>)</w:t>
      </w:r>
      <w:r w:rsidRPr="00A32FC0">
        <w:rPr>
          <w:rFonts w:hint="cs"/>
          <w:rtl/>
          <w:lang w:bidi="ar-LB"/>
        </w:rPr>
        <w:t xml:space="preserve">. </w:t>
      </w:r>
    </w:p>
    <w:p w:rsidR="00EA09EB" w:rsidRPr="00EA09EB" w:rsidRDefault="00EA09EB" w:rsidP="00714EFE">
      <w:pPr>
        <w:pStyle w:val="Normal84"/>
        <w:rPr>
          <w:rtl/>
        </w:rPr>
      </w:pPr>
      <w:r w:rsidRPr="00A32FC0">
        <w:rPr>
          <w:rFonts w:hint="cs"/>
          <w:rtl/>
        </w:rPr>
        <w:t>وقد تمسَّك بعض الفقهاء، ومنهم: الشيخ النجفي صاحب «الجواهر»، والسيد الخميني، بهذه الرواية لإثبات ولاية الفقيه على الناس</w:t>
      </w:r>
      <w:r w:rsidRPr="00064619">
        <w:rPr>
          <w:rFonts w:cs="Taher"/>
          <w:vertAlign w:val="superscript"/>
          <w:rtl/>
        </w:rPr>
        <w:t>(</w:t>
      </w:r>
      <w:r w:rsidRPr="00064619">
        <w:rPr>
          <w:rStyle w:val="FootnoteReference"/>
          <w:rFonts w:cs="Taher"/>
          <w:sz w:val="32"/>
          <w:rtl/>
        </w:rPr>
        <w:footnoteReference w:id="678"/>
      </w:r>
      <w:r w:rsidRPr="00064619">
        <w:rPr>
          <w:rFonts w:cs="Taher"/>
          <w:vertAlign w:val="superscript"/>
          <w:rtl/>
        </w:rPr>
        <w:t>)</w:t>
      </w:r>
      <w:r w:rsidRPr="00EA09EB">
        <w:rPr>
          <w:rFonts w:hint="cs"/>
          <w:rtl/>
        </w:rPr>
        <w:t xml:space="preserve">. </w:t>
      </w:r>
    </w:p>
    <w:p w:rsidR="00EA09EB" w:rsidRPr="00A32FC0" w:rsidRDefault="00EA09EB" w:rsidP="00714EFE">
      <w:pPr>
        <w:pStyle w:val="Normal84"/>
        <w:rPr>
          <w:rtl/>
        </w:rPr>
      </w:pPr>
      <w:r w:rsidRPr="00A32FC0">
        <w:rPr>
          <w:rFonts w:hint="cs"/>
          <w:rtl/>
        </w:rPr>
        <w:t>وكيفية الاستدلال بهذه الرواية شبيهة جدّاً بكيفية الاستدلال برواية عمر بن حنظلة. ولذلك سوف نشير بشكل مختصر إلى المقدّمات المشتركة بين الروايتين؛ وأمّا المقدّمات المستقلّة فسوف نبحثها بشكل مفصَّل:</w:t>
      </w:r>
    </w:p>
    <w:p w:rsidR="00EA09EB" w:rsidRPr="00A32FC0" w:rsidRDefault="00EA09EB" w:rsidP="00714EFE">
      <w:pPr>
        <w:pStyle w:val="Normal84"/>
        <w:rPr>
          <w:rtl/>
        </w:rPr>
      </w:pPr>
      <w:r w:rsidRPr="00A32FC0">
        <w:rPr>
          <w:rFonts w:hint="cs"/>
          <w:b/>
          <w:bCs/>
          <w:rtl/>
        </w:rPr>
        <w:t>الأولى</w:t>
      </w:r>
      <w:r w:rsidRPr="00A32FC0">
        <w:rPr>
          <w:rFonts w:hint="cs"/>
          <w:rtl/>
        </w:rPr>
        <w:t>: إن سند الرواية، وصولاً إلى الراوي المباشر أبي خديجة، لا إشكال فيه؛ لأن أبا الجهم الوارد في سند «التهذيب» هو كنية مشتركة بين بكير بن أعين وثوير بن أبي فاختة، والأوّل ثقة</w:t>
      </w:r>
      <w:r>
        <w:rPr>
          <w:rFonts w:hint="cs"/>
          <w:rtl/>
        </w:rPr>
        <w:t>؛</w:t>
      </w:r>
      <w:r w:rsidRPr="00A32FC0">
        <w:rPr>
          <w:rFonts w:hint="cs"/>
          <w:rtl/>
        </w:rPr>
        <w:t xml:space="preserve"> والثاني ممدوح.</w:t>
      </w:r>
    </w:p>
    <w:p w:rsidR="00EA09EB" w:rsidRPr="00EA09EB" w:rsidRDefault="00EA09EB" w:rsidP="00EA09EB">
      <w:pPr>
        <w:rPr>
          <w:rtl/>
        </w:rPr>
      </w:pPr>
      <w:r w:rsidRPr="00A32FC0">
        <w:rPr>
          <w:rFonts w:hint="cs"/>
          <w:rtl/>
          <w:lang w:bidi="ar-LB"/>
        </w:rPr>
        <w:t xml:space="preserve">وأحمد بن عائذ الوارد في سند </w:t>
      </w:r>
      <w:r w:rsidRPr="00A32FC0">
        <w:rPr>
          <w:rFonts w:hint="cs"/>
          <w:rtl/>
        </w:rPr>
        <w:t>«</w:t>
      </w:r>
      <w:r w:rsidRPr="00A32FC0">
        <w:rPr>
          <w:rFonts w:hint="cs"/>
          <w:rtl/>
          <w:lang w:bidi="ar-LB"/>
        </w:rPr>
        <w:t>مَنْ لا يحضره الفقيه</w:t>
      </w:r>
      <w:r w:rsidRPr="00A32FC0">
        <w:rPr>
          <w:rFonts w:hint="cs"/>
          <w:rtl/>
        </w:rPr>
        <w:t>»</w:t>
      </w:r>
      <w:r w:rsidRPr="00A32FC0">
        <w:rPr>
          <w:rFonts w:hint="cs"/>
          <w:rtl/>
          <w:lang w:bidi="ar-LB"/>
        </w:rPr>
        <w:t xml:space="preserve"> ثقة أيضاً</w:t>
      </w:r>
      <w:r w:rsidRPr="00064619">
        <w:rPr>
          <w:rFonts w:cs="Taher"/>
          <w:vertAlign w:val="superscript"/>
          <w:rtl/>
          <w:lang w:bidi="ar-LB"/>
        </w:rPr>
        <w:t>(</w:t>
      </w:r>
      <w:r w:rsidRPr="00064619">
        <w:rPr>
          <w:rStyle w:val="FootnoteReference"/>
          <w:rFonts w:cs="Taher"/>
          <w:sz w:val="32"/>
          <w:rtl/>
          <w:lang w:bidi="ar-LB"/>
        </w:rPr>
        <w:footnoteReference w:id="679"/>
      </w:r>
      <w:r w:rsidRPr="00064619">
        <w:rPr>
          <w:rFonts w:cs="Taher"/>
          <w:vertAlign w:val="superscript"/>
          <w:rtl/>
          <w:lang w:bidi="ar-LB"/>
        </w:rPr>
        <w:t>)</w:t>
      </w:r>
      <w:r w:rsidRPr="00EA09EB">
        <w:rPr>
          <w:rFonts w:hint="cs"/>
          <w:rtl/>
        </w:rPr>
        <w:t>.</w:t>
      </w:r>
    </w:p>
    <w:p w:rsidR="00EA09EB" w:rsidRPr="00EA09EB" w:rsidRDefault="00EA09EB" w:rsidP="00714EFE">
      <w:pPr>
        <w:pStyle w:val="Normal93"/>
        <w:rPr>
          <w:rtl/>
        </w:rPr>
      </w:pPr>
      <w:r w:rsidRPr="007A340E">
        <w:rPr>
          <w:rFonts w:hint="cs"/>
          <w:b/>
          <w:bCs/>
          <w:rtl/>
        </w:rPr>
        <w:t>الثانية</w:t>
      </w:r>
      <w:r w:rsidRPr="00EA09EB">
        <w:rPr>
          <w:rFonts w:hint="cs"/>
          <w:rtl/>
        </w:rPr>
        <w:t>: لا إشكال في سند الرواية من حيث الراوي المباشر، وهو أبو خديجة سالم بن مكرم؛ لأن تضعيف الشيخ الطوسي لأبي خديجة في «الفهرست»</w:t>
      </w:r>
      <w:r w:rsidRPr="00064619">
        <w:rPr>
          <w:rFonts w:cs="Taher"/>
          <w:sz w:val="32"/>
          <w:vertAlign w:val="superscript"/>
          <w:rtl/>
        </w:rPr>
        <w:t>(</w:t>
      </w:r>
      <w:r w:rsidRPr="00064619">
        <w:rPr>
          <w:rStyle w:val="FootnoteReference"/>
          <w:rFonts w:cs="Taher"/>
          <w:sz w:val="32"/>
          <w:rtl/>
        </w:rPr>
        <w:footnoteReference w:id="680"/>
      </w:r>
      <w:r w:rsidRPr="00064619">
        <w:rPr>
          <w:rFonts w:cs="Taher"/>
          <w:sz w:val="32"/>
          <w:vertAlign w:val="superscript"/>
          <w:rtl/>
        </w:rPr>
        <w:t>)</w:t>
      </w:r>
      <w:r w:rsidRPr="00EA09EB">
        <w:rPr>
          <w:rFonts w:hint="cs"/>
          <w:rtl/>
        </w:rPr>
        <w:t xml:space="preserve"> ـ بالإضافة إلى أنّه معارض بتوثيق الشيخ نفسه في موضع آخر</w:t>
      </w:r>
      <w:r w:rsidRPr="00064619">
        <w:rPr>
          <w:rFonts w:cs="Taher"/>
          <w:sz w:val="32"/>
          <w:vertAlign w:val="superscript"/>
          <w:rtl/>
        </w:rPr>
        <w:t>(</w:t>
      </w:r>
      <w:r w:rsidRPr="00064619">
        <w:rPr>
          <w:rStyle w:val="FootnoteReference"/>
          <w:rFonts w:cs="Taher"/>
          <w:sz w:val="32"/>
          <w:rtl/>
        </w:rPr>
        <w:footnoteReference w:id="681"/>
      </w:r>
      <w:r w:rsidRPr="00064619">
        <w:rPr>
          <w:rFonts w:cs="Taher"/>
          <w:sz w:val="32"/>
          <w:vertAlign w:val="superscript"/>
          <w:rtl/>
        </w:rPr>
        <w:t>)</w:t>
      </w:r>
      <w:r w:rsidRPr="00EA09EB">
        <w:rPr>
          <w:rFonts w:hint="cs"/>
          <w:rtl/>
        </w:rPr>
        <w:t xml:space="preserve"> ـ معارضٌ بتوثيق النجاشي له. وبملاحظة ترجيح توثيقات النجاشي</w:t>
      </w:r>
      <w:r w:rsidRPr="00064619">
        <w:rPr>
          <w:rFonts w:cs="Taher"/>
          <w:sz w:val="32"/>
          <w:vertAlign w:val="superscript"/>
          <w:rtl/>
        </w:rPr>
        <w:t>(</w:t>
      </w:r>
      <w:r w:rsidRPr="00064619">
        <w:rPr>
          <w:rStyle w:val="FootnoteReference"/>
          <w:rFonts w:cs="Taher"/>
          <w:sz w:val="32"/>
          <w:rtl/>
        </w:rPr>
        <w:footnoteReference w:id="682"/>
      </w:r>
      <w:r w:rsidRPr="00064619">
        <w:rPr>
          <w:rFonts w:cs="Taher"/>
          <w:sz w:val="32"/>
          <w:vertAlign w:val="superscript"/>
          <w:rtl/>
        </w:rPr>
        <w:t>)</w:t>
      </w:r>
      <w:r w:rsidRPr="00EA09EB">
        <w:rPr>
          <w:rFonts w:hint="cs"/>
          <w:rtl/>
        </w:rPr>
        <w:t xml:space="preserve"> على توثيقات الشيخ، ثمّ توثيق الكشّي له</w:t>
      </w:r>
      <w:r w:rsidRPr="00064619">
        <w:rPr>
          <w:rFonts w:cs="Taher"/>
          <w:sz w:val="32"/>
          <w:vertAlign w:val="superscript"/>
          <w:rtl/>
        </w:rPr>
        <w:t>(</w:t>
      </w:r>
      <w:r w:rsidRPr="00064619">
        <w:rPr>
          <w:rStyle w:val="FootnoteReference"/>
          <w:rFonts w:cs="Taher"/>
          <w:sz w:val="32"/>
          <w:rtl/>
        </w:rPr>
        <w:footnoteReference w:id="683"/>
      </w:r>
      <w:r w:rsidRPr="00064619">
        <w:rPr>
          <w:rFonts w:cs="Taher"/>
          <w:sz w:val="32"/>
          <w:vertAlign w:val="superscript"/>
          <w:rtl/>
        </w:rPr>
        <w:t>)</w:t>
      </w:r>
      <w:r w:rsidRPr="00EA09EB">
        <w:rPr>
          <w:rFonts w:hint="cs"/>
          <w:rtl/>
        </w:rPr>
        <w:t>، واحتمال أن يكون الشيخ قد اشتبه بين سالم بن أبي سلمة (الضعيف) وبين سالم بن مكرم (الموثَّق)؛ بسبب اشتراكهما في الكنية «أبو سلمة»</w:t>
      </w:r>
      <w:r w:rsidRPr="00064619">
        <w:rPr>
          <w:rFonts w:cs="Taher"/>
          <w:sz w:val="32"/>
          <w:vertAlign w:val="superscript"/>
          <w:rtl/>
        </w:rPr>
        <w:t>(</w:t>
      </w:r>
      <w:r w:rsidRPr="00064619">
        <w:rPr>
          <w:rStyle w:val="FootnoteReference"/>
          <w:rFonts w:cs="Taher"/>
          <w:sz w:val="32"/>
          <w:rtl/>
        </w:rPr>
        <w:footnoteReference w:id="684"/>
      </w:r>
      <w:r w:rsidRPr="00064619">
        <w:rPr>
          <w:rFonts w:cs="Taher"/>
          <w:sz w:val="32"/>
          <w:vertAlign w:val="superscript"/>
          <w:rtl/>
        </w:rPr>
        <w:t>)</w:t>
      </w:r>
      <w:r w:rsidRPr="00EA09EB">
        <w:rPr>
          <w:rFonts w:hint="cs"/>
          <w:rtl/>
        </w:rPr>
        <w:t>، هذا كلّه يجعل السند خالياً من أيّ مشكلة. بالإضافة إلى أنّ العلاّمة الحلّي</w:t>
      </w:r>
      <w:r w:rsidRPr="00064619">
        <w:rPr>
          <w:rFonts w:cs="Taher"/>
          <w:sz w:val="32"/>
          <w:vertAlign w:val="superscript"/>
          <w:rtl/>
        </w:rPr>
        <w:t>(</w:t>
      </w:r>
      <w:r w:rsidRPr="00064619">
        <w:rPr>
          <w:rStyle w:val="FootnoteReference"/>
          <w:rFonts w:cs="Taher"/>
          <w:sz w:val="32"/>
          <w:rtl/>
        </w:rPr>
        <w:footnoteReference w:id="685"/>
      </w:r>
      <w:r w:rsidRPr="00064619">
        <w:rPr>
          <w:rFonts w:cs="Taher"/>
          <w:sz w:val="32"/>
          <w:vertAlign w:val="superscript"/>
          <w:rtl/>
        </w:rPr>
        <w:t>)</w:t>
      </w:r>
      <w:r w:rsidRPr="00EA09EB">
        <w:rPr>
          <w:rFonts w:hint="cs"/>
          <w:rtl/>
        </w:rPr>
        <w:t xml:space="preserve"> قد عدّ أبا خديجة معتبراً. وإنّ الشهيد الثاني قد اعتبر العمل بروايات أبي خديجة متَّفقاً عليه</w:t>
      </w:r>
      <w:r w:rsidRPr="00064619">
        <w:rPr>
          <w:rFonts w:cs="Taher"/>
          <w:sz w:val="32"/>
          <w:vertAlign w:val="superscript"/>
          <w:rtl/>
        </w:rPr>
        <w:t>(</w:t>
      </w:r>
      <w:r w:rsidRPr="00064619">
        <w:rPr>
          <w:rStyle w:val="FootnoteReference"/>
          <w:rFonts w:cs="Taher"/>
          <w:sz w:val="32"/>
          <w:rtl/>
        </w:rPr>
        <w:footnoteReference w:id="686"/>
      </w:r>
      <w:r w:rsidRPr="00064619">
        <w:rPr>
          <w:rFonts w:cs="Taher"/>
          <w:sz w:val="32"/>
          <w:vertAlign w:val="superscript"/>
          <w:rtl/>
        </w:rPr>
        <w:t>)</w:t>
      </w:r>
      <w:r w:rsidRPr="00EA09EB">
        <w:rPr>
          <w:rFonts w:hint="cs"/>
          <w:rtl/>
        </w:rPr>
        <w:t>. وفي النهاية فإنّ شهرة العمل بهذه الرواية بين الأصحاب رافعة لأيّ إبهام في سندها. كما أن طريق الشيخ إلى أبي خديجة صحيحٌ أيضاً</w:t>
      </w:r>
      <w:r w:rsidRPr="00064619">
        <w:rPr>
          <w:rFonts w:cs="Taher"/>
          <w:sz w:val="32"/>
          <w:vertAlign w:val="superscript"/>
          <w:rtl/>
        </w:rPr>
        <w:t>(</w:t>
      </w:r>
      <w:r w:rsidRPr="00064619">
        <w:rPr>
          <w:rStyle w:val="FootnoteReference"/>
          <w:rFonts w:cs="Taher"/>
          <w:sz w:val="32"/>
          <w:rtl/>
        </w:rPr>
        <w:footnoteReference w:id="687"/>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الثالثة</w:t>
      </w:r>
      <w:r w:rsidRPr="00EA09EB">
        <w:rPr>
          <w:rFonts w:hint="cs"/>
          <w:rtl/>
        </w:rPr>
        <w:t>: إنّ المراد من عبارة «رجلاً قد عرف حلالنا وحرامنا» هو الفقيه. فمعرفة الحلال والحرام عن طريق الأئمّة</w:t>
      </w:r>
      <w:r w:rsidR="007A340E">
        <w:rPr>
          <w:rFonts w:hint="cs"/>
          <w:rtl/>
        </w:rPr>
        <w:t>^</w:t>
      </w:r>
      <w:r w:rsidRPr="00EA09EB">
        <w:rPr>
          <w:rFonts w:hint="cs"/>
          <w:rtl/>
        </w:rPr>
        <w:t xml:space="preserve"> يدلّ على شرط الفقاهة.</w:t>
      </w:r>
    </w:p>
    <w:p w:rsidR="00EA09EB" w:rsidRPr="00EA09EB" w:rsidRDefault="00EA09EB" w:rsidP="00EA09EB">
      <w:pPr>
        <w:rPr>
          <w:rtl/>
        </w:rPr>
      </w:pPr>
      <w:r w:rsidRPr="007A340E">
        <w:rPr>
          <w:rFonts w:hint="cs"/>
          <w:b/>
          <w:bCs/>
          <w:rtl/>
        </w:rPr>
        <w:t>الرابعة</w:t>
      </w:r>
      <w:r w:rsidRPr="00EA09EB">
        <w:rPr>
          <w:rFonts w:hint="cs"/>
          <w:rtl/>
        </w:rPr>
        <w:t>: إنّ عبارة «فإنّي قد جعلته قاضياً» هي في تعيين الفقهاء من قبل الإمام الصادق</w:t>
      </w:r>
      <w:r>
        <w:rPr>
          <w:rFonts w:hint="cs"/>
          <w:rtl/>
        </w:rPr>
        <w:t>×</w:t>
      </w:r>
      <w:r w:rsidRPr="00EA09EB">
        <w:rPr>
          <w:rFonts w:hint="cs"/>
          <w:rtl/>
        </w:rPr>
        <w:t>.</w:t>
      </w:r>
    </w:p>
    <w:p w:rsidR="00EA09EB" w:rsidRPr="00EA09EB" w:rsidRDefault="00EA09EB" w:rsidP="00EA09EB">
      <w:pPr>
        <w:rPr>
          <w:rtl/>
        </w:rPr>
      </w:pPr>
      <w:r w:rsidRPr="007A340E">
        <w:rPr>
          <w:rFonts w:hint="cs"/>
          <w:b/>
          <w:bCs/>
          <w:rtl/>
        </w:rPr>
        <w:t>الخامسة</w:t>
      </w:r>
      <w:r w:rsidRPr="00EA09EB">
        <w:rPr>
          <w:rFonts w:hint="cs"/>
          <w:rtl/>
        </w:rPr>
        <w:t>: إنّ تعيين الفقهاء من قِبَل الإمام الصادق</w:t>
      </w:r>
      <w:r>
        <w:rPr>
          <w:rFonts w:hint="cs"/>
          <w:rtl/>
        </w:rPr>
        <w:t>×</w:t>
      </w:r>
      <w:r w:rsidRPr="00EA09EB">
        <w:rPr>
          <w:rFonts w:hint="cs"/>
          <w:rtl/>
        </w:rPr>
        <w:t xml:space="preserve"> لا ينتقض بموته</w:t>
      </w:r>
      <w:r>
        <w:rPr>
          <w:rFonts w:hint="cs"/>
          <w:rtl/>
        </w:rPr>
        <w:t>×</w:t>
      </w:r>
      <w:r w:rsidRPr="00EA09EB">
        <w:rPr>
          <w:rFonts w:hint="cs"/>
          <w:rtl/>
        </w:rPr>
        <w:t>، بل يحتاج إلى نقض من الأئمّة اللاحقين</w:t>
      </w:r>
      <w:r w:rsidR="007A340E">
        <w:rPr>
          <w:rFonts w:hint="cs"/>
          <w:rtl/>
        </w:rPr>
        <w:t>^</w:t>
      </w:r>
      <w:r w:rsidRPr="00EA09EB">
        <w:rPr>
          <w:rFonts w:hint="cs"/>
          <w:rtl/>
        </w:rPr>
        <w:t>. كما أنّ أحداً من الأئمّة اللاحقين</w:t>
      </w:r>
      <w:r w:rsidR="007A340E">
        <w:rPr>
          <w:rFonts w:hint="cs"/>
          <w:rtl/>
        </w:rPr>
        <w:t>^</w:t>
      </w:r>
      <w:r w:rsidRPr="00EA09EB">
        <w:rPr>
          <w:rFonts w:hint="cs"/>
          <w:rtl/>
        </w:rPr>
        <w:t xml:space="preserve"> لم ينقض هذا التعيين. لذلك فإنّ تعيين الفقهاء مستمرّ في عصر الغيبة.</w:t>
      </w:r>
    </w:p>
    <w:p w:rsidR="00EA09EB" w:rsidRPr="00EA09EB" w:rsidRDefault="00EA09EB" w:rsidP="00714EFE">
      <w:pPr>
        <w:pStyle w:val="Normal84"/>
        <w:rPr>
          <w:rtl/>
        </w:rPr>
      </w:pPr>
      <w:r w:rsidRPr="007A340E">
        <w:rPr>
          <w:rFonts w:hint="cs"/>
          <w:b/>
          <w:bCs/>
          <w:rtl/>
        </w:rPr>
        <w:t>السادسة</w:t>
      </w:r>
      <w:r w:rsidRPr="00EA09EB">
        <w:rPr>
          <w:rFonts w:hint="cs"/>
          <w:rtl/>
        </w:rPr>
        <w:t>: إنّ متعلَّق تعيين الفقهاء (ما عُيِّنوا له) هو الولاية التدبيريّة. والقضاء هو أحد وظائف الولاية. وقد تمَّت الإشارة إلى نوعين من أنواع النزاع: النزاع الذي يفصل فيه القاضي؛ والنزاع الذي يحتاج الفصل فيه إلى قوّة وسلطة. ولفظ السلطان في الرواية هو إشارة إلى النوع الثاني من النزاعات. ومن الواضح أنّ النهي هو عن الرجوع إلى السلطان. وبقرينة المقابلة لا يبقى أمامنا سوى استبدال القاضي والسلطان الجائر بالفقيه، وليس هذا سوى تعبير عن ولاية الفقيه</w:t>
      </w:r>
      <w:r w:rsidRPr="00064619">
        <w:rPr>
          <w:rFonts w:cs="Taher"/>
          <w:sz w:val="32"/>
          <w:vertAlign w:val="superscript"/>
          <w:rtl/>
        </w:rPr>
        <w:t>(</w:t>
      </w:r>
      <w:r w:rsidRPr="00064619">
        <w:rPr>
          <w:rStyle w:val="FootnoteReference"/>
          <w:rFonts w:cs="Taher"/>
          <w:sz w:val="32"/>
          <w:rtl/>
        </w:rPr>
        <w:footnoteReference w:id="688"/>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b/>
          <w:bCs/>
          <w:rtl/>
          <w:lang w:bidi="ar-LB"/>
        </w:rPr>
        <w:t>السابعة</w:t>
      </w:r>
      <w:r w:rsidRPr="00A32FC0">
        <w:rPr>
          <w:rFonts w:hint="cs"/>
          <w:rtl/>
          <w:lang w:bidi="ar-LB"/>
        </w:rPr>
        <w:t>: لا يوجد في الرواية ما يقيِّد أو يخصِّص تعيين الفقهاء للولاية التدبيريّة. لذلك فإنّ ولايتهم عامّة، بل مطلقة.</w:t>
      </w:r>
    </w:p>
    <w:p w:rsidR="00EA09EB" w:rsidRPr="00EA09EB" w:rsidRDefault="00EA09EB" w:rsidP="00EA09EB">
      <w:pPr>
        <w:rPr>
          <w:rtl/>
        </w:rPr>
      </w:pPr>
      <w:r w:rsidRPr="00A32FC0">
        <w:rPr>
          <w:rFonts w:hint="cs"/>
          <w:rtl/>
          <w:lang w:bidi="ar-LB"/>
        </w:rPr>
        <w:t>لقد ناقش جمع كبير من الفقهاء في الاستدلال برواية أبي خديجة</w:t>
      </w:r>
      <w:r w:rsidRPr="00064619">
        <w:rPr>
          <w:rFonts w:cs="Taher"/>
          <w:vertAlign w:val="superscript"/>
          <w:rtl/>
          <w:lang w:bidi="ar-LB"/>
        </w:rPr>
        <w:t>(</w:t>
      </w:r>
      <w:r w:rsidRPr="00064619">
        <w:rPr>
          <w:rStyle w:val="FootnoteReference"/>
          <w:rFonts w:cs="Taher"/>
          <w:sz w:val="32"/>
          <w:rtl/>
          <w:lang w:bidi="ar-LB"/>
        </w:rPr>
        <w:footnoteReference w:id="689"/>
      </w:r>
      <w:r w:rsidRPr="00064619">
        <w:rPr>
          <w:rFonts w:cs="Taher"/>
          <w:vertAlign w:val="superscript"/>
          <w:rtl/>
          <w:lang w:bidi="ar-LB"/>
        </w:rPr>
        <w:t>)</w:t>
      </w:r>
      <w:r w:rsidRPr="00EA09EB">
        <w:rPr>
          <w:rFonts w:hint="cs"/>
          <w:rtl/>
        </w:rPr>
        <w:t>. وسوف نستعرض هذه المناقشات طبقاً لترتيب المقدّمات المذكورة.</w:t>
      </w:r>
    </w:p>
    <w:p w:rsidR="00EA09EB" w:rsidRPr="00A32FC0" w:rsidRDefault="00EA09EB" w:rsidP="00EA09EB">
      <w:pPr>
        <w:rPr>
          <w:rtl/>
          <w:lang w:bidi="ar-LB"/>
        </w:rPr>
      </w:pPr>
      <w:r w:rsidRPr="00A32FC0">
        <w:rPr>
          <w:rFonts w:hint="cs"/>
          <w:rtl/>
          <w:lang w:bidi="ar-LB"/>
        </w:rPr>
        <w:t>أمّا المقدمة الأولى فهي تامّة.</w:t>
      </w:r>
    </w:p>
    <w:p w:rsidR="00EA09EB" w:rsidRPr="00EA09EB" w:rsidRDefault="00EA09EB" w:rsidP="007A340E">
      <w:pPr>
        <w:ind w:firstLine="283"/>
        <w:rPr>
          <w:rtl/>
        </w:rPr>
      </w:pPr>
      <w:r w:rsidRPr="00EA09EB">
        <w:rPr>
          <w:rFonts w:hint="cs"/>
          <w:rtl/>
        </w:rPr>
        <w:t xml:space="preserve">وأمّا المقدّمة الثانية فإنّها وإنْ كانت تامّة عند أكثر الفقهاء، إلاّ أنه </w:t>
      </w:r>
      <w:r w:rsidRPr="007A340E">
        <w:rPr>
          <w:rFonts w:hint="cs"/>
          <w:b/>
          <w:bCs/>
          <w:rtl/>
        </w:rPr>
        <w:t>أولاً</w:t>
      </w:r>
      <w:r w:rsidRPr="00EA09EB">
        <w:rPr>
          <w:rFonts w:hint="cs"/>
          <w:rtl/>
        </w:rPr>
        <w:t>: قد توقَّف العلاّمة الحلّي في أبي خديجة في «الخلاصة»؛ لأن الأقوال في توثيقه متعارضة</w:t>
      </w:r>
      <w:r w:rsidRPr="00064619">
        <w:rPr>
          <w:rFonts w:cs="Taher"/>
          <w:sz w:val="32"/>
          <w:vertAlign w:val="superscript"/>
          <w:rtl/>
          <w:lang w:bidi="ar-LB"/>
        </w:rPr>
        <w:t>(</w:t>
      </w:r>
      <w:r w:rsidRPr="00064619">
        <w:rPr>
          <w:rStyle w:val="FootnoteReference"/>
          <w:rFonts w:cs="Taher"/>
          <w:sz w:val="32"/>
          <w:rtl/>
          <w:lang w:bidi="ar-LB"/>
        </w:rPr>
        <w:footnoteReference w:id="690"/>
      </w:r>
      <w:r w:rsidRPr="00064619">
        <w:rPr>
          <w:rFonts w:cs="Taher"/>
          <w:sz w:val="32"/>
          <w:vertAlign w:val="superscript"/>
          <w:rtl/>
          <w:lang w:bidi="ar-LB"/>
        </w:rPr>
        <w:t>)</w:t>
      </w:r>
      <w:r w:rsidRPr="00EA09EB">
        <w:rPr>
          <w:rFonts w:hint="cs"/>
          <w:rtl/>
        </w:rPr>
        <w:t xml:space="preserve">؛ </w:t>
      </w:r>
      <w:r w:rsidRPr="007A340E">
        <w:rPr>
          <w:rFonts w:hint="cs"/>
          <w:b/>
          <w:bCs/>
          <w:rtl/>
        </w:rPr>
        <w:t>وثانياً</w:t>
      </w:r>
      <w:r w:rsidRPr="00EA09EB">
        <w:rPr>
          <w:rFonts w:hint="cs"/>
          <w:rtl/>
        </w:rPr>
        <w:t>: ذكر الميرزا النائيني أنّ أبا خديجة انحرف فترة من حياته، باتّباعه أبا الخطّاب، الذي كان ملحداً، إلى أن هداه الله وعاد إلى الصراط المستقيم. ولذلك فالاعتماد على أحاديثه مشكل؛ لأنه من غير المعلوم في أيّ حالة كان عندما نقل هذا الحديث. إنّ عبارة «بعثني» وإنْ كانت ظاهرة بأنّه كان في حالة صحة الاعتقاد، إلاّ أنّها تُعَدّ شهادةً منه في حقّ نفسه. ومن الواضح أنّ هذا غير مقبول</w:t>
      </w:r>
      <w:r w:rsidRPr="00064619">
        <w:rPr>
          <w:rFonts w:cs="Taher"/>
          <w:sz w:val="32"/>
          <w:vertAlign w:val="superscript"/>
          <w:rtl/>
          <w:lang w:bidi="ar-LB"/>
        </w:rPr>
        <w:t>(</w:t>
      </w:r>
      <w:r w:rsidRPr="00064619">
        <w:rPr>
          <w:rStyle w:val="FootnoteReference"/>
          <w:rFonts w:cs="Taher"/>
          <w:sz w:val="32"/>
          <w:rtl/>
          <w:lang w:bidi="ar-LB"/>
        </w:rPr>
        <w:footnoteReference w:id="691"/>
      </w:r>
      <w:r w:rsidRPr="00064619">
        <w:rPr>
          <w:rFonts w:cs="Taher"/>
          <w:sz w:val="32"/>
          <w:vertAlign w:val="superscript"/>
          <w:rtl/>
          <w:lang w:bidi="ar-LB"/>
        </w:rPr>
        <w:t>)</w:t>
      </w:r>
      <w:r w:rsidRPr="00EA09EB">
        <w:rPr>
          <w:rFonts w:hint="cs"/>
          <w:rtl/>
        </w:rPr>
        <w:t xml:space="preserve">؛ </w:t>
      </w:r>
      <w:r w:rsidRPr="007A340E">
        <w:rPr>
          <w:rFonts w:hint="cs"/>
          <w:b/>
          <w:bCs/>
          <w:rtl/>
        </w:rPr>
        <w:t>وثالثاً</w:t>
      </w:r>
      <w:r w:rsidRPr="00EA09EB">
        <w:rPr>
          <w:rFonts w:hint="cs"/>
          <w:rtl/>
        </w:rPr>
        <w:t>: لم تثبت شهرة هذه الرواية بين الأصحاب. وعلى فرض ثبوت شهرتها فهي ليست جابرةً لضعفها.</w:t>
      </w:r>
    </w:p>
    <w:p w:rsidR="00EA09EB" w:rsidRPr="00A32FC0" w:rsidRDefault="00EA09EB" w:rsidP="00714EFE">
      <w:pPr>
        <w:pStyle w:val="Normal84"/>
        <w:rPr>
          <w:rtl/>
        </w:rPr>
      </w:pPr>
      <w:r w:rsidRPr="00A32FC0">
        <w:rPr>
          <w:rFonts w:hint="cs"/>
          <w:rtl/>
        </w:rPr>
        <w:t>وأمّا المقدّمة الثالثة فهي تامّة، بناءً على نقل التهذيب. ففي الرواية المنقولة في «مَنْ لا يحضره الفقيه» هناك اختلافٌ يسيرٌ. فبدل عبارة «قد عرف حلالنا وحرامنا» جاءت عبارة «يعلم شيئاً من قضايانا»، التي تعدّ أضعف دلالةً على الاجتهاد والفقاهة من العبارة السابقة، ويمكن انطباقها على المقلِّد المطَّلِع، وإنْ كان ظهورها في المجتهد أقوى. وأمّا في الرواية المنقولة في «الكافي» فقد جاءت العبارة نفسها مختلفة عن العبارتين السابقتين، حيث قال: «شيئاً من قضائنا». وظهور هذه العبارة في الاجتهاد والفقاهة أضعف من ظهور سابقتَيْها. ومع هذا كلّه يمكن استظهار شرط الفقاهة في النقول الثلاثة.</w:t>
      </w:r>
    </w:p>
    <w:p w:rsidR="00EA09EB" w:rsidRPr="00EA09EB" w:rsidRDefault="00EA09EB" w:rsidP="007A340E">
      <w:pPr>
        <w:ind w:firstLine="283"/>
        <w:rPr>
          <w:rtl/>
        </w:rPr>
      </w:pPr>
      <w:r w:rsidRPr="00EA09EB">
        <w:rPr>
          <w:rFonts w:hint="cs"/>
          <w:rtl/>
        </w:rPr>
        <w:t>وأمّا المقدّمة الرابعة فهي تامّة أيضاً عند أكثر الفقهاء؛ فإن رواية أبي خديجة وإنْ كان ظهورها في القاضي أقوى، بالمقارنة مع رواية عمر بن حنظلة، إلاّ أنّه لا يستبعد احتمال إرادة قاضي التحكيم هنا. إلاّ إذا اعتبرنا عبارة «إني قد جعلته...» من باب التعليل في كلتا الروايتين، ممّا سوف ينفي احتمال أن يكون المراد قاضي التحكيم</w:t>
      </w:r>
      <w:r w:rsidRPr="00064619">
        <w:rPr>
          <w:rFonts w:cs="Taher"/>
          <w:sz w:val="32"/>
          <w:vertAlign w:val="superscript"/>
          <w:rtl/>
          <w:lang w:bidi="ar-LB"/>
        </w:rPr>
        <w:t>(</w:t>
      </w:r>
      <w:r w:rsidRPr="00064619">
        <w:rPr>
          <w:rStyle w:val="FootnoteReference"/>
          <w:rFonts w:cs="Taher"/>
          <w:sz w:val="32"/>
          <w:rtl/>
          <w:lang w:bidi="ar-LB"/>
        </w:rPr>
        <w:footnoteReference w:id="692"/>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وأمّا المقدّمة الخامسة فهي تامّة أيضاً.</w:t>
      </w:r>
    </w:p>
    <w:p w:rsidR="00EA09EB" w:rsidRPr="00EA09EB" w:rsidRDefault="00EA09EB" w:rsidP="00714EFE">
      <w:pPr>
        <w:pStyle w:val="Normal84"/>
        <w:rPr>
          <w:rtl/>
        </w:rPr>
      </w:pPr>
      <w:r w:rsidRPr="00EA09EB">
        <w:rPr>
          <w:rFonts w:hint="cs"/>
          <w:rtl/>
        </w:rPr>
        <w:t xml:space="preserve">وأمّا المقدّمة السادسة ففيها تكمن المشكلة الأساسيّة لهذه الرواية؛ فإن احتمال إرادة الولاية الناشئ من استعمال كلمة الحاكم في رواية عمر بن حنظلة ليس وارداً في رواية أبي خديجة، حيث استعملت فيها كلمة القاضي. هناك قرائن عديدة في الرواية تدلّ على تعيين الفقهاء قضاةً. وأمّا ذكر السلطان في ذيل الرواية فقد كان لسببين: </w:t>
      </w:r>
      <w:r w:rsidRPr="007A340E">
        <w:rPr>
          <w:rFonts w:hint="cs"/>
          <w:b/>
          <w:bCs/>
          <w:rtl/>
        </w:rPr>
        <w:t>أولاً</w:t>
      </w:r>
      <w:r w:rsidRPr="00EA09EB">
        <w:rPr>
          <w:rFonts w:hint="cs"/>
          <w:rtl/>
        </w:rPr>
        <w:t xml:space="preserve">: إنّ السلاطين هم الذين يعيّنون القضاة؛ </w:t>
      </w:r>
      <w:r w:rsidRPr="007A340E">
        <w:rPr>
          <w:rFonts w:hint="cs"/>
          <w:b/>
          <w:bCs/>
          <w:rtl/>
        </w:rPr>
        <w:t>وثانياً</w:t>
      </w:r>
      <w:r w:rsidRPr="00EA09EB">
        <w:rPr>
          <w:rFonts w:hint="cs"/>
          <w:rtl/>
        </w:rPr>
        <w:t xml:space="preserve">: في بعض الأحيان </w:t>
      </w:r>
      <w:r w:rsidRPr="00EA09EB">
        <w:rPr>
          <w:rtl/>
        </w:rPr>
        <w:t>ـ</w:t>
      </w:r>
      <w:r w:rsidRPr="00EA09EB">
        <w:rPr>
          <w:rFonts w:hint="cs"/>
          <w:rtl/>
        </w:rPr>
        <w:t xml:space="preserve"> وخاصّة في الأمور الهامّة </w:t>
      </w:r>
      <w:r w:rsidRPr="00EA09EB">
        <w:rPr>
          <w:rtl/>
        </w:rPr>
        <w:t>ـ</w:t>
      </w:r>
      <w:r w:rsidRPr="00EA09EB">
        <w:rPr>
          <w:rFonts w:hint="cs"/>
          <w:rtl/>
        </w:rPr>
        <w:t xml:space="preserve"> يتولّى السلاطين القضاء بأنفسهم. فلا دلالة لهذه الرواية على أكثر من القضاء</w:t>
      </w:r>
      <w:r w:rsidRPr="00064619">
        <w:rPr>
          <w:rFonts w:cs="Taher"/>
          <w:sz w:val="32"/>
          <w:vertAlign w:val="superscript"/>
          <w:rtl/>
        </w:rPr>
        <w:t>(</w:t>
      </w:r>
      <w:r w:rsidRPr="00064619">
        <w:rPr>
          <w:rStyle w:val="FootnoteReference"/>
          <w:rFonts w:cs="Taher"/>
          <w:sz w:val="32"/>
          <w:rtl/>
        </w:rPr>
        <w:footnoteReference w:id="693"/>
      </w:r>
      <w:r w:rsidRPr="00064619">
        <w:rPr>
          <w:rFonts w:cs="Taher"/>
          <w:sz w:val="32"/>
          <w:vertAlign w:val="superscript"/>
          <w:rtl/>
        </w:rPr>
        <w:t>)</w:t>
      </w:r>
      <w:r w:rsidRPr="00EA09EB">
        <w:rPr>
          <w:rFonts w:hint="cs"/>
          <w:rtl/>
        </w:rPr>
        <w:t>.</w:t>
      </w:r>
    </w:p>
    <w:p w:rsidR="00EA09EB" w:rsidRDefault="00EA09EB" w:rsidP="00EA09EB">
      <w:pPr>
        <w:rPr>
          <w:rtl/>
          <w:lang w:bidi="ar-LB"/>
        </w:rPr>
      </w:pPr>
      <w:r w:rsidRPr="00A32FC0">
        <w:rPr>
          <w:rFonts w:hint="cs"/>
          <w:rtl/>
          <w:lang w:bidi="ar-LB"/>
        </w:rPr>
        <w:t>وأمّا المقدّمة السابعة فهي باطلة</w:t>
      </w:r>
      <w:r>
        <w:rPr>
          <w:rFonts w:hint="cs"/>
          <w:rtl/>
          <w:lang w:bidi="ar-LB"/>
        </w:rPr>
        <w:t>،</w:t>
      </w:r>
      <w:r w:rsidRPr="00A32FC0">
        <w:rPr>
          <w:rFonts w:hint="cs"/>
          <w:rtl/>
          <w:lang w:bidi="ar-LB"/>
        </w:rPr>
        <w:t xml:space="preserve"> ولا دليل عليها.</w:t>
      </w:r>
    </w:p>
    <w:p w:rsidR="007A340E" w:rsidRPr="00A32FC0" w:rsidRDefault="007A340E" w:rsidP="00EA09EB">
      <w:pPr>
        <w:rPr>
          <w:rtl/>
          <w:lang w:bidi="ar-LB"/>
        </w:rPr>
      </w:pPr>
    </w:p>
    <w:p w:rsidR="00EA09EB" w:rsidRPr="00AB6BA6" w:rsidRDefault="00EA09EB" w:rsidP="007A340E">
      <w:pPr>
        <w:pStyle w:val="Heading4"/>
        <w:rPr>
          <w:rtl/>
        </w:rPr>
      </w:pPr>
      <w:r w:rsidRPr="007A340E">
        <w:rPr>
          <w:rFonts w:hint="cs"/>
          <w:rtl/>
        </w:rPr>
        <w:t>حاصل</w:t>
      </w:r>
      <w:r w:rsidRPr="00AB6BA6">
        <w:rPr>
          <w:rFonts w:hint="cs"/>
          <w:rtl/>
        </w:rPr>
        <w:t xml:space="preserve"> البحث</w:t>
      </w:r>
    </w:p>
    <w:p w:rsidR="00EA09EB" w:rsidRPr="00EA09EB" w:rsidRDefault="00EA09EB" w:rsidP="007A340E">
      <w:pPr>
        <w:ind w:firstLine="283"/>
        <w:rPr>
          <w:rtl/>
        </w:rPr>
      </w:pPr>
      <w:r w:rsidRPr="00EA09EB">
        <w:rPr>
          <w:rFonts w:hint="cs"/>
          <w:rtl/>
        </w:rPr>
        <w:t xml:space="preserve">في رواية أبي خديجة </w:t>
      </w:r>
      <w:r w:rsidRPr="007A340E">
        <w:rPr>
          <w:rFonts w:hint="cs"/>
          <w:b/>
          <w:bCs/>
          <w:rtl/>
        </w:rPr>
        <w:t>أولاً</w:t>
      </w:r>
      <w:r w:rsidRPr="00EA09EB">
        <w:rPr>
          <w:rFonts w:hint="cs"/>
          <w:rtl/>
        </w:rPr>
        <w:t xml:space="preserve">: السند لا يخلو من إشكال. والتمسُّك بالشهرة لجبر ضعف السند محلّ نقاش. </w:t>
      </w:r>
    </w:p>
    <w:p w:rsidR="00EA09EB" w:rsidRDefault="00EA09EB" w:rsidP="007A340E">
      <w:pPr>
        <w:ind w:firstLine="283"/>
        <w:rPr>
          <w:rtl/>
        </w:rPr>
      </w:pPr>
      <w:r w:rsidRPr="007A340E">
        <w:rPr>
          <w:rFonts w:hint="cs"/>
          <w:b/>
          <w:bCs/>
          <w:rtl/>
        </w:rPr>
        <w:t>ثانياً</w:t>
      </w:r>
      <w:r w:rsidRPr="00EA09EB">
        <w:rPr>
          <w:rFonts w:hint="cs"/>
          <w:rtl/>
        </w:rPr>
        <w:t>: إنّ هذه الرواية لا دلالة لها سوى على تعيين الفقهاء الإمامية لمنصب القضاء في المرافعات، وهي عاجزة عن إثبات ولاية الفقيه.</w:t>
      </w:r>
    </w:p>
    <w:p w:rsidR="007A340E" w:rsidRPr="00EA09EB" w:rsidRDefault="007A340E" w:rsidP="007A340E">
      <w:pPr>
        <w:ind w:firstLine="283"/>
        <w:rPr>
          <w:rtl/>
        </w:rPr>
      </w:pPr>
    </w:p>
    <w:p w:rsidR="00EA09EB" w:rsidRPr="00AB6BA6" w:rsidRDefault="00EA09EB" w:rsidP="007A340E">
      <w:pPr>
        <w:pStyle w:val="Heading4"/>
        <w:rPr>
          <w:rtl/>
        </w:rPr>
      </w:pPr>
      <w:r w:rsidRPr="007A340E">
        <w:rPr>
          <w:rFonts w:hint="cs"/>
          <w:rtl/>
        </w:rPr>
        <w:t>نتيجة</w:t>
      </w:r>
      <w:r w:rsidRPr="00AB6BA6">
        <w:rPr>
          <w:rFonts w:hint="cs"/>
          <w:rtl/>
        </w:rPr>
        <w:t xml:space="preserve"> البحث</w:t>
      </w:r>
    </w:p>
    <w:p w:rsidR="00714EFE" w:rsidRDefault="00EA09EB" w:rsidP="00714EFE">
      <w:pPr>
        <w:rPr>
          <w:rtl/>
          <w:lang w:bidi="ar-LB"/>
        </w:rPr>
      </w:pPr>
      <w:r w:rsidRPr="00A32FC0">
        <w:rPr>
          <w:rFonts w:hint="cs"/>
          <w:rtl/>
          <w:lang w:bidi="ar-LB"/>
        </w:rPr>
        <w:t>إنّ الروايات المنقولة عن الإمام الصادق</w:t>
      </w:r>
      <w:r>
        <w:rPr>
          <w:rFonts w:hint="cs"/>
          <w:rtl/>
        </w:rPr>
        <w:t>×</w:t>
      </w:r>
      <w:r w:rsidRPr="00A32FC0">
        <w:rPr>
          <w:rFonts w:hint="cs"/>
          <w:rtl/>
          <w:lang w:bidi="ar-LB"/>
        </w:rPr>
        <w:t xml:space="preserve"> لا تصلح دليلاً على ولاية الفقيه على الناس. فإنّ روايَتَيْ عمر بن حنظلة وأبي خديجة ـ على فرض خلوّهما من الإشكال السنديّ ـ تدلاّن على تعيين الفقهاء لمنصب القضاء، لا أكثر.</w:t>
      </w:r>
    </w:p>
    <w:p w:rsidR="00714EFE" w:rsidRDefault="00714EFE" w:rsidP="00714EFE">
      <w:pPr>
        <w:rPr>
          <w:rtl/>
          <w:lang w:bidi="ar-LB"/>
        </w:rPr>
      </w:pPr>
    </w:p>
    <w:p w:rsidR="00EA09EB" w:rsidRPr="00E2207F" w:rsidRDefault="00EA09EB" w:rsidP="00714EFE">
      <w:pPr>
        <w:pStyle w:val="Heading3"/>
        <w:jc w:val="center"/>
        <w:rPr>
          <w:rtl/>
          <w:lang w:bidi="ar-LB"/>
        </w:rPr>
      </w:pPr>
      <w:r w:rsidRPr="00E2207F">
        <w:rPr>
          <w:rFonts w:hint="cs"/>
          <w:rtl/>
          <w:lang w:bidi="ar-LB"/>
        </w:rPr>
        <w:t xml:space="preserve">أدلّة </w:t>
      </w:r>
      <w:r w:rsidRPr="007A340E">
        <w:rPr>
          <w:rFonts w:hint="cs"/>
          <w:rtl/>
        </w:rPr>
        <w:t>ولاية</w:t>
      </w:r>
      <w:r w:rsidRPr="00E2207F">
        <w:rPr>
          <w:rFonts w:hint="cs"/>
          <w:rtl/>
          <w:lang w:bidi="ar-LB"/>
        </w:rPr>
        <w:t xml:space="preserve"> </w:t>
      </w:r>
      <w:r w:rsidRPr="00714EFE">
        <w:rPr>
          <w:rFonts w:hint="cs"/>
          <w:rtl/>
        </w:rPr>
        <w:t>الفقيه</w:t>
      </w:r>
      <w:r w:rsidRPr="00E2207F">
        <w:rPr>
          <w:rFonts w:hint="cs"/>
          <w:rtl/>
          <w:lang w:bidi="ar-LB"/>
        </w:rPr>
        <w:t xml:space="preserve"> </w:t>
      </w:r>
      <w:r w:rsidRPr="00714EFE">
        <w:rPr>
          <w:rFonts w:hint="cs"/>
          <w:rtl/>
        </w:rPr>
        <w:t>في</w:t>
      </w:r>
      <w:r w:rsidRPr="00E2207F">
        <w:rPr>
          <w:rFonts w:hint="cs"/>
          <w:rtl/>
          <w:lang w:bidi="ar-LB"/>
        </w:rPr>
        <w:t xml:space="preserve"> </w:t>
      </w:r>
      <w:r w:rsidRPr="00714EFE">
        <w:rPr>
          <w:rFonts w:hint="cs"/>
          <w:rtl/>
        </w:rPr>
        <w:t>الروايات</w:t>
      </w:r>
      <w:r w:rsidRPr="00E2207F">
        <w:rPr>
          <w:rFonts w:hint="cs"/>
          <w:rtl/>
          <w:lang w:bidi="ar-LB"/>
        </w:rPr>
        <w:t xml:space="preserve"> </w:t>
      </w:r>
      <w:r w:rsidRPr="00714EFE">
        <w:rPr>
          <w:rFonts w:hint="cs"/>
          <w:rtl/>
        </w:rPr>
        <w:t>المنقولة</w:t>
      </w:r>
      <w:r w:rsidRPr="00E2207F">
        <w:rPr>
          <w:rFonts w:hint="cs"/>
          <w:rtl/>
          <w:lang w:bidi="ar-LB"/>
        </w:rPr>
        <w:t xml:space="preserve"> </w:t>
      </w:r>
      <w:r w:rsidRPr="00714EFE">
        <w:rPr>
          <w:rFonts w:hint="cs"/>
          <w:rtl/>
        </w:rPr>
        <w:t>عن</w:t>
      </w:r>
      <w:r w:rsidRPr="00E2207F">
        <w:rPr>
          <w:rFonts w:hint="cs"/>
          <w:rtl/>
          <w:lang w:bidi="ar-LB"/>
        </w:rPr>
        <w:t xml:space="preserve"> </w:t>
      </w:r>
      <w:r w:rsidRPr="00714EFE">
        <w:rPr>
          <w:rFonts w:hint="cs"/>
          <w:rtl/>
        </w:rPr>
        <w:t>الكاظم</w:t>
      </w:r>
      <w:r w:rsidRPr="007A340E">
        <w:rPr>
          <w:rFonts w:ascii="Mosawi" w:hAnsi="Mosawi" w:cs="Mosawi" w:hint="cs"/>
          <w:sz w:val="14"/>
          <w:szCs w:val="26"/>
          <w:rtl/>
        </w:rPr>
        <w:t>×</w:t>
      </w:r>
    </w:p>
    <w:p w:rsidR="00EA09EB" w:rsidRDefault="00EA09EB" w:rsidP="00714EFE">
      <w:pPr>
        <w:pStyle w:val="Normal93"/>
        <w:rPr>
          <w:rtl/>
        </w:rPr>
      </w:pPr>
      <w:r w:rsidRPr="00A32FC0">
        <w:rPr>
          <w:rFonts w:hint="cs"/>
          <w:rtl/>
        </w:rPr>
        <w:t>من جملة الروايات المنقولة عن الإمام الكاظم</w:t>
      </w:r>
      <w:r>
        <w:rPr>
          <w:rFonts w:hint="cs"/>
          <w:rtl/>
        </w:rPr>
        <w:t>×</w:t>
      </w:r>
      <w:r w:rsidRPr="00A32FC0">
        <w:rPr>
          <w:rFonts w:hint="cs"/>
          <w:rtl/>
        </w:rPr>
        <w:t xml:space="preserve"> روايةٌ واحدةٌ استُنِد إليها لإثبات ولاية الفقيه، وهي:</w:t>
      </w:r>
    </w:p>
    <w:p w:rsidR="007A340E" w:rsidRPr="00A32FC0" w:rsidRDefault="007A340E" w:rsidP="00EA09EB">
      <w:pPr>
        <w:rPr>
          <w:rtl/>
          <w:lang w:bidi="ar-LB"/>
        </w:rPr>
      </w:pPr>
    </w:p>
    <w:p w:rsidR="00EA09EB" w:rsidRPr="00AB6BA6" w:rsidRDefault="00EA09EB" w:rsidP="007A340E">
      <w:pPr>
        <w:pStyle w:val="Heading3"/>
        <w:rPr>
          <w:rtl/>
        </w:rPr>
      </w:pPr>
      <w:r w:rsidRPr="00AB6BA6">
        <w:rPr>
          <w:rFonts w:hint="cs"/>
          <w:rtl/>
        </w:rPr>
        <w:t>الرواية التاسعة: الفقهاء حصون الإسلا</w:t>
      </w:r>
      <w:r w:rsidRPr="007A340E">
        <w:rPr>
          <w:rFonts w:hint="cs"/>
          <w:rtl/>
        </w:rPr>
        <w:t>م</w:t>
      </w:r>
    </w:p>
    <w:p w:rsidR="00EA09EB" w:rsidRPr="00A32FC0" w:rsidRDefault="00EA09EB" w:rsidP="00714EFE">
      <w:pPr>
        <w:pStyle w:val="Normal93"/>
        <w:rPr>
          <w:rtl/>
        </w:rPr>
      </w:pPr>
      <w:r w:rsidRPr="00EA09EB">
        <w:rPr>
          <w:rFonts w:hint="cs"/>
          <w:rtl/>
        </w:rPr>
        <w:t>في «الكافي»: بسنده عن علي بن أبي حمزة، قال: سمعت أبا الحسن موسى بن جعفر</w:t>
      </w:r>
      <w:r>
        <w:rPr>
          <w:rFonts w:hint="cs"/>
          <w:rtl/>
        </w:rPr>
        <w:t>×</w:t>
      </w:r>
      <w:r w:rsidRPr="00EA09EB">
        <w:rPr>
          <w:rFonts w:hint="cs"/>
          <w:rtl/>
        </w:rPr>
        <w:t xml:space="preserve"> يقول: «إذا مات المؤمن بكت عليه الملائكة، وبقاع الأرض التي كان يعبد الله عليها، وأبواب السماء التي كان يصعد فيها بأعماله، وثلم في الإسلام ثلمة لا يسدّها شيء</w:t>
      </w:r>
      <w:r w:rsidR="00B57E2A">
        <w:rPr>
          <w:rFonts w:hint="cs"/>
          <w:rtl/>
        </w:rPr>
        <w:t>،</w:t>
      </w:r>
      <w:r w:rsidRPr="00EA09EB">
        <w:rPr>
          <w:rFonts w:hint="cs"/>
          <w:rtl/>
        </w:rPr>
        <w:t xml:space="preserve"> لأن المؤمنين الفقهاء حصون الإسلام، كحصن سور المدينة لها»</w:t>
      </w:r>
      <w:r w:rsidRPr="00064619">
        <w:rPr>
          <w:rFonts w:cs="Taher"/>
          <w:vertAlign w:val="superscript"/>
          <w:rtl/>
        </w:rPr>
        <w:t>(</w:t>
      </w:r>
      <w:r w:rsidRPr="00064619">
        <w:rPr>
          <w:rStyle w:val="FootnoteReference"/>
          <w:rFonts w:cs="Taher"/>
          <w:sz w:val="32"/>
          <w:rtl/>
        </w:rPr>
        <w:footnoteReference w:id="694"/>
      </w:r>
      <w:r w:rsidRPr="00064619">
        <w:rPr>
          <w:rFonts w:cs="Taher"/>
          <w:vertAlign w:val="superscript"/>
          <w:rtl/>
        </w:rPr>
        <w:t>)</w:t>
      </w:r>
      <w:r w:rsidRPr="00A32FC0">
        <w:rPr>
          <w:rFonts w:hint="cs"/>
          <w:rtl/>
        </w:rPr>
        <w:t>.</w:t>
      </w:r>
    </w:p>
    <w:p w:rsidR="00EA09EB" w:rsidRPr="00EA09EB" w:rsidRDefault="00EA09EB" w:rsidP="00EA09EB">
      <w:pPr>
        <w:rPr>
          <w:rtl/>
        </w:rPr>
      </w:pPr>
      <w:r w:rsidRPr="00A32FC0">
        <w:rPr>
          <w:rFonts w:hint="cs"/>
          <w:rtl/>
          <w:lang w:bidi="ar-LB"/>
        </w:rPr>
        <w:t>استند المحقِّق النراقي</w:t>
      </w:r>
      <w:r>
        <w:rPr>
          <w:rFonts w:hint="cs"/>
          <w:rtl/>
          <w:lang w:bidi="ar-LB"/>
        </w:rPr>
        <w:t xml:space="preserve"> والسيد</w:t>
      </w:r>
      <w:r w:rsidRPr="00A32FC0">
        <w:rPr>
          <w:rFonts w:hint="cs"/>
          <w:rtl/>
          <w:lang w:bidi="ar-LB"/>
        </w:rPr>
        <w:t xml:space="preserve"> الخميني والسيد </w:t>
      </w:r>
      <w:r>
        <w:rPr>
          <w:rFonts w:hint="cs"/>
          <w:rtl/>
          <w:lang w:bidi="ar-LB"/>
        </w:rPr>
        <w:t>الگلپايگاني</w:t>
      </w:r>
      <w:r w:rsidRPr="00A32FC0">
        <w:rPr>
          <w:rFonts w:hint="cs"/>
          <w:rtl/>
          <w:lang w:bidi="ar-LB"/>
        </w:rPr>
        <w:t xml:space="preserve"> إلى هذا الحديث؛ لإثبات ولاية الفقيه على الناس</w:t>
      </w:r>
      <w:r w:rsidRPr="00064619">
        <w:rPr>
          <w:rFonts w:cs="Taher"/>
          <w:vertAlign w:val="superscript"/>
          <w:rtl/>
          <w:lang w:bidi="ar-LB"/>
        </w:rPr>
        <w:t>(</w:t>
      </w:r>
      <w:r w:rsidRPr="00064619">
        <w:rPr>
          <w:rStyle w:val="FootnoteReference"/>
          <w:rFonts w:cs="Taher"/>
          <w:sz w:val="32"/>
          <w:rtl/>
          <w:lang w:bidi="ar-LB"/>
        </w:rPr>
        <w:footnoteReference w:id="695"/>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 xml:space="preserve">إنّ دلالة هذا الحديث على الولاية التعيينيّة المطلقة للفقيه متوقِّف على صحة المقدمات التالية: </w:t>
      </w:r>
    </w:p>
    <w:p w:rsidR="00EA09EB" w:rsidRPr="00EA09EB" w:rsidRDefault="00EA09EB" w:rsidP="007A340E">
      <w:pPr>
        <w:ind w:firstLine="283"/>
        <w:rPr>
          <w:rtl/>
        </w:rPr>
      </w:pPr>
      <w:r w:rsidRPr="007A340E">
        <w:rPr>
          <w:rFonts w:hint="cs"/>
          <w:b/>
          <w:bCs/>
          <w:rtl/>
        </w:rPr>
        <w:t>الأولى</w:t>
      </w:r>
      <w:r w:rsidRPr="00EA09EB">
        <w:rPr>
          <w:rFonts w:hint="cs"/>
          <w:rtl/>
        </w:rPr>
        <w:t>: وإنْ كان الراوي المباشر لهذا الحديث هو عليّ بن أبي حمزة البطائني، الذي اشتهر تضعيفه بين علماء الرجال والفقهاء</w:t>
      </w:r>
      <w:r w:rsidRPr="00064619">
        <w:rPr>
          <w:rFonts w:cs="Taher"/>
          <w:sz w:val="32"/>
          <w:vertAlign w:val="superscript"/>
          <w:rtl/>
          <w:lang w:bidi="ar-LB"/>
        </w:rPr>
        <w:t>(</w:t>
      </w:r>
      <w:r w:rsidRPr="00064619">
        <w:rPr>
          <w:rStyle w:val="FootnoteReference"/>
          <w:rFonts w:cs="Taher"/>
          <w:sz w:val="32"/>
          <w:rtl/>
          <w:lang w:bidi="ar-LB"/>
        </w:rPr>
        <w:footnoteReference w:id="696"/>
      </w:r>
      <w:r w:rsidRPr="00064619">
        <w:rPr>
          <w:rFonts w:cs="Taher"/>
          <w:sz w:val="32"/>
          <w:vertAlign w:val="superscript"/>
          <w:rtl/>
          <w:lang w:bidi="ar-LB"/>
        </w:rPr>
        <w:t>)</w:t>
      </w:r>
      <w:r w:rsidRPr="00EA09EB">
        <w:rPr>
          <w:rFonts w:hint="cs"/>
          <w:rtl/>
        </w:rPr>
        <w:t>، إلاّ أنه بالالتفات إلى النقاط التالية سوف يكون هذا الحديث معتبراً:</w:t>
      </w:r>
    </w:p>
    <w:p w:rsidR="00EA09EB" w:rsidRPr="00EA09EB" w:rsidRDefault="00EA09EB" w:rsidP="007A340E">
      <w:pPr>
        <w:ind w:firstLine="283"/>
        <w:rPr>
          <w:rtl/>
        </w:rPr>
      </w:pPr>
      <w:r w:rsidRPr="007A340E">
        <w:rPr>
          <w:rFonts w:hint="cs"/>
          <w:b/>
          <w:bCs/>
          <w:rtl/>
        </w:rPr>
        <w:t>أولاً</w:t>
      </w:r>
      <w:r w:rsidRPr="00EA09EB">
        <w:rPr>
          <w:rFonts w:hint="cs"/>
          <w:rtl/>
        </w:rPr>
        <w:t>: روى عنه الحسن بن محبوب، وهو من أصحاب الإجماع، الذين أجمعت العصابة على تصحيح ما يصحّ عنهم</w:t>
      </w:r>
      <w:r w:rsidRPr="00064619">
        <w:rPr>
          <w:rFonts w:cs="Taher"/>
          <w:sz w:val="32"/>
          <w:vertAlign w:val="superscript"/>
          <w:rtl/>
          <w:lang w:bidi="ar-LB"/>
        </w:rPr>
        <w:t>(</w:t>
      </w:r>
      <w:r w:rsidRPr="00064619">
        <w:rPr>
          <w:rStyle w:val="FootnoteReference"/>
          <w:rFonts w:cs="Taher"/>
          <w:sz w:val="32"/>
          <w:rtl/>
          <w:lang w:bidi="ar-LB"/>
        </w:rPr>
        <w:footnoteReference w:id="697"/>
      </w:r>
      <w:r w:rsidRPr="00064619">
        <w:rPr>
          <w:rFonts w:cs="Taher"/>
          <w:sz w:val="32"/>
          <w:vertAlign w:val="superscript"/>
          <w:rtl/>
          <w:lang w:bidi="ar-LB"/>
        </w:rPr>
        <w:t>)</w:t>
      </w:r>
      <w:r w:rsidRPr="00EA09EB">
        <w:rPr>
          <w:rFonts w:hint="cs"/>
          <w:rtl/>
        </w:rPr>
        <w:t xml:space="preserve">. </w:t>
      </w:r>
    </w:p>
    <w:p w:rsidR="00EA09EB" w:rsidRPr="00EA09EB" w:rsidRDefault="00EA09EB" w:rsidP="00714EFE">
      <w:pPr>
        <w:pStyle w:val="Normal87"/>
        <w:rPr>
          <w:rtl/>
        </w:rPr>
      </w:pPr>
      <w:r w:rsidRPr="007A340E">
        <w:rPr>
          <w:rFonts w:hint="cs"/>
          <w:b/>
          <w:bCs/>
          <w:rtl/>
        </w:rPr>
        <w:t>ثانياً</w:t>
      </w:r>
      <w:r w:rsidRPr="00EA09EB">
        <w:rPr>
          <w:rFonts w:hint="cs"/>
          <w:rtl/>
        </w:rPr>
        <w:t>: لقد ورد عليّ بن أبي حمزة في سند «كامل الزيارات»، و«تفسير عليّ بن إبراهيم القمّيّ»، ممّا يدلّ أيضاً على توثيقه</w:t>
      </w:r>
      <w:r w:rsidRPr="00064619">
        <w:rPr>
          <w:rFonts w:cs="Taher"/>
          <w:sz w:val="32"/>
          <w:vertAlign w:val="superscript"/>
          <w:rtl/>
        </w:rPr>
        <w:t>(</w:t>
      </w:r>
      <w:r w:rsidRPr="00064619">
        <w:rPr>
          <w:rStyle w:val="FootnoteReference"/>
          <w:rFonts w:cs="Taher"/>
          <w:sz w:val="32"/>
          <w:rtl/>
        </w:rPr>
        <w:footnoteReference w:id="698"/>
      </w:r>
      <w:r w:rsidRPr="00064619">
        <w:rPr>
          <w:rFonts w:cs="Taher"/>
          <w:sz w:val="32"/>
          <w:vertAlign w:val="superscript"/>
          <w:rtl/>
        </w:rPr>
        <w:t>)</w:t>
      </w:r>
      <w:r w:rsidRPr="00EA09EB">
        <w:rPr>
          <w:rFonts w:hint="cs"/>
          <w:rtl/>
        </w:rPr>
        <w:t>.</w:t>
      </w:r>
    </w:p>
    <w:p w:rsidR="00EA09EB" w:rsidRPr="00EA09EB" w:rsidRDefault="00EA09EB" w:rsidP="00714EFE">
      <w:pPr>
        <w:pStyle w:val="Normal87"/>
        <w:rPr>
          <w:rtl/>
        </w:rPr>
      </w:pPr>
      <w:r w:rsidRPr="007A340E">
        <w:rPr>
          <w:rFonts w:hint="cs"/>
          <w:b/>
          <w:bCs/>
          <w:rtl/>
        </w:rPr>
        <w:t>ثالثاً</w:t>
      </w:r>
      <w:r w:rsidRPr="00EA09EB">
        <w:rPr>
          <w:rFonts w:hint="cs"/>
          <w:rtl/>
        </w:rPr>
        <w:t>: عدّه الشيخ الطوسيّ في «عدّة الأصول» من جملة الأشخاص الذين تعمل الطائفة بأخبارهم</w:t>
      </w:r>
      <w:r w:rsidRPr="00064619">
        <w:rPr>
          <w:rFonts w:cs="Taher"/>
          <w:sz w:val="32"/>
          <w:vertAlign w:val="superscript"/>
          <w:rtl/>
        </w:rPr>
        <w:t>(</w:t>
      </w:r>
      <w:r w:rsidRPr="00064619">
        <w:rPr>
          <w:rStyle w:val="FootnoteReference"/>
          <w:rFonts w:cs="Taher"/>
          <w:sz w:val="32"/>
          <w:rtl/>
        </w:rPr>
        <w:footnoteReference w:id="699"/>
      </w:r>
      <w:r w:rsidRPr="00064619">
        <w:rPr>
          <w:rFonts w:cs="Taher"/>
          <w:sz w:val="32"/>
          <w:vertAlign w:val="superscript"/>
          <w:rtl/>
        </w:rPr>
        <w:t>)</w:t>
      </w:r>
      <w:r w:rsidRPr="00EA09EB">
        <w:rPr>
          <w:rFonts w:hint="cs"/>
          <w:rtl/>
        </w:rPr>
        <w:t>.</w:t>
      </w:r>
    </w:p>
    <w:p w:rsidR="00EA09EB" w:rsidRPr="00EA09EB" w:rsidRDefault="00EA09EB" w:rsidP="007D79F5">
      <w:pPr>
        <w:pStyle w:val="Normal84"/>
        <w:rPr>
          <w:rtl/>
        </w:rPr>
      </w:pPr>
      <w:r w:rsidRPr="007A340E">
        <w:rPr>
          <w:rFonts w:hint="cs"/>
          <w:b/>
          <w:bCs/>
          <w:rtl/>
        </w:rPr>
        <w:t>رابعاً</w:t>
      </w:r>
      <w:r w:rsidRPr="00EA09EB">
        <w:rPr>
          <w:rFonts w:hint="cs"/>
          <w:rtl/>
        </w:rPr>
        <w:t>: قال ابن الغضائري في ترجمة الحسن بن عليّ بن أبي حمزة: «أبوه أوثق منه». وهذا بمثابة توثيق له</w:t>
      </w:r>
      <w:r w:rsidRPr="00064619">
        <w:rPr>
          <w:rFonts w:cs="Taher"/>
          <w:sz w:val="32"/>
          <w:vertAlign w:val="superscript"/>
          <w:rtl/>
        </w:rPr>
        <w:t>(</w:t>
      </w:r>
      <w:r w:rsidRPr="00064619">
        <w:rPr>
          <w:rStyle w:val="FootnoteReference"/>
          <w:rFonts w:cs="Taher"/>
          <w:sz w:val="32"/>
          <w:rtl/>
        </w:rPr>
        <w:footnoteReference w:id="700"/>
      </w:r>
      <w:r w:rsidRPr="00064619">
        <w:rPr>
          <w:rFonts w:cs="Taher"/>
          <w:sz w:val="32"/>
          <w:vertAlign w:val="superscript"/>
          <w:rtl/>
        </w:rPr>
        <w:t>)</w:t>
      </w:r>
      <w:r w:rsidRPr="00EA09EB">
        <w:rPr>
          <w:rFonts w:hint="cs"/>
          <w:rtl/>
        </w:rPr>
        <w:t>.</w:t>
      </w:r>
    </w:p>
    <w:p w:rsidR="00EA09EB" w:rsidRPr="00EA09EB" w:rsidRDefault="00EA09EB" w:rsidP="007D79F5">
      <w:pPr>
        <w:pStyle w:val="Normal84"/>
        <w:rPr>
          <w:rtl/>
        </w:rPr>
      </w:pPr>
      <w:r w:rsidRPr="007A340E">
        <w:rPr>
          <w:rFonts w:hint="cs"/>
          <w:b/>
          <w:bCs/>
          <w:rtl/>
        </w:rPr>
        <w:t>خامساً</w:t>
      </w:r>
      <w:r w:rsidRPr="00EA09EB">
        <w:rPr>
          <w:rFonts w:hint="cs"/>
          <w:rtl/>
        </w:rPr>
        <w:t>: نقل عنه الكثيرون من أجلّة الأصحاب، مثل: صفوان بن يحيى، وابن أبي عمير، وغيرهما</w:t>
      </w:r>
      <w:r w:rsidRPr="00064619">
        <w:rPr>
          <w:rFonts w:cs="Taher"/>
          <w:sz w:val="32"/>
          <w:vertAlign w:val="superscript"/>
          <w:rtl/>
        </w:rPr>
        <w:t>(</w:t>
      </w:r>
      <w:r w:rsidRPr="00064619">
        <w:rPr>
          <w:rStyle w:val="FootnoteReference"/>
          <w:rFonts w:cs="Taher"/>
          <w:sz w:val="32"/>
          <w:rtl/>
        </w:rPr>
        <w:footnoteReference w:id="701"/>
      </w:r>
      <w:r w:rsidRPr="00064619">
        <w:rPr>
          <w:rFonts w:cs="Taher"/>
          <w:sz w:val="32"/>
          <w:vertAlign w:val="superscript"/>
          <w:rtl/>
        </w:rPr>
        <w:t>)</w:t>
      </w:r>
      <w:r w:rsidRPr="00EA09EB">
        <w:rPr>
          <w:rFonts w:hint="cs"/>
          <w:rtl/>
        </w:rPr>
        <w:t>.</w:t>
      </w:r>
    </w:p>
    <w:p w:rsidR="00EA09EB" w:rsidRPr="00EA09EB" w:rsidRDefault="00EA09EB" w:rsidP="007D79F5">
      <w:pPr>
        <w:pStyle w:val="Normal84"/>
        <w:rPr>
          <w:rtl/>
        </w:rPr>
      </w:pPr>
      <w:r w:rsidRPr="007A340E">
        <w:rPr>
          <w:rFonts w:hint="cs"/>
          <w:b/>
          <w:bCs/>
          <w:rtl/>
        </w:rPr>
        <w:t>سادساً</w:t>
      </w:r>
      <w:r w:rsidRPr="00EA09EB">
        <w:rPr>
          <w:rFonts w:hint="cs"/>
          <w:rtl/>
        </w:rPr>
        <w:t>: ربما يكون قد نقل هذه الرواية في زمن استقامته؛ لأنه أصبح واقفياً بعد وفاة الإمام الكاظم</w:t>
      </w:r>
      <w:r>
        <w:rPr>
          <w:rFonts w:hint="cs"/>
          <w:rtl/>
        </w:rPr>
        <w:t>×</w:t>
      </w:r>
      <w:r w:rsidRPr="00EA09EB">
        <w:rPr>
          <w:rFonts w:hint="cs"/>
          <w:rtl/>
        </w:rPr>
        <w:t>.</w:t>
      </w:r>
    </w:p>
    <w:p w:rsidR="00EA09EB" w:rsidRPr="00EA09EB" w:rsidRDefault="00EA09EB" w:rsidP="007D79F5">
      <w:pPr>
        <w:pStyle w:val="Normal84"/>
        <w:rPr>
          <w:rtl/>
        </w:rPr>
      </w:pPr>
      <w:r w:rsidRPr="007A340E">
        <w:rPr>
          <w:rFonts w:hint="cs"/>
          <w:b/>
          <w:bCs/>
          <w:rtl/>
        </w:rPr>
        <w:t>الثانية</w:t>
      </w:r>
      <w:r w:rsidRPr="00EA09EB">
        <w:rPr>
          <w:rFonts w:hint="cs"/>
          <w:rtl/>
        </w:rPr>
        <w:t>: إنّ رواية ابن رئاب</w:t>
      </w:r>
      <w:r w:rsidRPr="00064619">
        <w:rPr>
          <w:rFonts w:cs="Taher"/>
          <w:sz w:val="32"/>
          <w:vertAlign w:val="superscript"/>
          <w:rtl/>
        </w:rPr>
        <w:t>(</w:t>
      </w:r>
      <w:r w:rsidRPr="00064619">
        <w:rPr>
          <w:rStyle w:val="FootnoteReference"/>
          <w:rFonts w:cs="Taher"/>
          <w:sz w:val="32"/>
          <w:rtl/>
        </w:rPr>
        <w:footnoteReference w:id="702"/>
      </w:r>
      <w:r w:rsidRPr="00064619">
        <w:rPr>
          <w:rFonts w:cs="Taher"/>
          <w:sz w:val="32"/>
          <w:vertAlign w:val="superscript"/>
          <w:rtl/>
        </w:rPr>
        <w:t>)</w:t>
      </w:r>
      <w:r w:rsidRPr="00EA09EB">
        <w:rPr>
          <w:rFonts w:hint="cs"/>
          <w:rtl/>
        </w:rPr>
        <w:t>، التي جاءت بالمضمون نفسه لرواية ابن أبي حمزة، من دون لفظ «الفقهاء» (لأن المؤمنين حصون الإسلام)، هي الرواية نفسها بنقلٍ آخر؛ لأنّ زيادة لفظ على الرواية أمرٌ مستبعدٌ، أمّا سقوط كلمة منها فليس مستبعداً.</w:t>
      </w:r>
    </w:p>
    <w:p w:rsidR="00EA09EB" w:rsidRPr="00EA09EB" w:rsidRDefault="00EA09EB" w:rsidP="007D79F5">
      <w:pPr>
        <w:pStyle w:val="Normal87"/>
        <w:rPr>
          <w:rtl/>
        </w:rPr>
      </w:pPr>
      <w:r w:rsidRPr="007A340E">
        <w:rPr>
          <w:rFonts w:hint="cs"/>
          <w:b/>
          <w:bCs/>
          <w:rtl/>
        </w:rPr>
        <w:t>الثالثة</w:t>
      </w:r>
      <w:r w:rsidRPr="00EA09EB">
        <w:rPr>
          <w:rFonts w:hint="cs"/>
          <w:rtl/>
        </w:rPr>
        <w:t>: يستفاد من إطلاق عبارة «الفقهاء حصون الإسلام» أنّ الفقهاء ليسوا فقط حفظةً للشريعة وأحكامها، بل هم مأمورون أيضاً بتطبيقها وإجرائها. وهذه المهمة لا يمكن تطبيقها دون حيازة الزعامة السياسيّة والولاية التدبيريّة. وليس هناك ما يقيِّد هذا الإطلاق في الرواية</w:t>
      </w:r>
      <w:r w:rsidRPr="00064619">
        <w:rPr>
          <w:rFonts w:cs="Taher"/>
          <w:sz w:val="32"/>
          <w:vertAlign w:val="superscript"/>
          <w:rtl/>
        </w:rPr>
        <w:t>(</w:t>
      </w:r>
      <w:r w:rsidRPr="00064619">
        <w:rPr>
          <w:rStyle w:val="FootnoteReference"/>
          <w:rFonts w:cs="Taher"/>
          <w:sz w:val="32"/>
          <w:rtl/>
        </w:rPr>
        <w:footnoteReference w:id="703"/>
      </w:r>
      <w:r w:rsidRPr="00064619">
        <w:rPr>
          <w:rFonts w:cs="Taher"/>
          <w:sz w:val="32"/>
          <w:vertAlign w:val="superscript"/>
          <w:rtl/>
        </w:rPr>
        <w:t>)</w:t>
      </w:r>
      <w:r w:rsidRPr="00EA09EB">
        <w:rPr>
          <w:rFonts w:hint="cs"/>
          <w:rtl/>
        </w:rPr>
        <w:t>.</w:t>
      </w:r>
      <w:r w:rsidRPr="00A32FC0">
        <w:rPr>
          <w:rStyle w:val="FootnoteReference"/>
          <w:rFonts w:cs="Abz-1 (Lotus)"/>
          <w:sz w:val="32"/>
          <w:szCs w:val="32"/>
          <w:rtl/>
        </w:rPr>
        <w:t xml:space="preserve"> </w:t>
      </w:r>
      <w:r w:rsidRPr="00EA09EB">
        <w:rPr>
          <w:rFonts w:hint="cs"/>
          <w:rtl/>
        </w:rPr>
        <w:t>«وكيف كان، بعد ما عُلِم بالضرورة، ومرَّت الإشارة إليه، أن في الإسلام تشكيلات وحكومة بجميع شؤونها، لم يبقَ شكٌّ في أنّ الفقيه لا يكون حصناً للإسلام، كسور البلد له، إلاّ بأن يكون حافظاً لجميع الشؤون، من بسط العدالة، وإجراء الحدود، وسدّ الثغور، وأخذ الخراجات والماليّات، وصرفها في مصالح المسلمين، وتنصيب الولاة في الأصقاع، وإلاّ فصرف الأحكام ليس بإسلام. بل يمكن أن يقال: الإسلام هو الحكومة بشؤونها، والأحكام قوانين الإسلام، وهي شأن من شؤونها، بل الأحكام مطلوبات بالعَرَض وأمور آليّة لإجرائها وبسط العدالة. فكون الفقيه حصناً للإسلام، كحصن سور المدينة لها، لا معنى له إلاّ كونه والياً له نحو ما لرسول الله وللأئمة صلوات الله عليهم أجمعين من الولاية على جميع الأمور السلطانيّة»</w:t>
      </w:r>
      <w:r w:rsidRPr="00064619">
        <w:rPr>
          <w:rFonts w:cs="Taher"/>
          <w:sz w:val="32"/>
          <w:vertAlign w:val="superscript"/>
          <w:rtl/>
        </w:rPr>
        <w:t>(</w:t>
      </w:r>
      <w:r w:rsidRPr="00064619">
        <w:rPr>
          <w:rStyle w:val="FootnoteReference"/>
          <w:rFonts w:cs="Taher"/>
          <w:sz w:val="32"/>
          <w:rtl/>
        </w:rPr>
        <w:footnoteReference w:id="704"/>
      </w:r>
      <w:r w:rsidRPr="00064619">
        <w:rPr>
          <w:rFonts w:cs="Taher"/>
          <w:sz w:val="32"/>
          <w:vertAlign w:val="superscript"/>
          <w:rtl/>
        </w:rPr>
        <w:t>)</w:t>
      </w:r>
      <w:r w:rsidRPr="00EA09EB">
        <w:rPr>
          <w:rFonts w:hint="cs"/>
          <w:rtl/>
        </w:rPr>
        <w:t>.</w:t>
      </w:r>
    </w:p>
    <w:p w:rsidR="00EA09EB" w:rsidRPr="00EA09EB" w:rsidRDefault="00EA09EB" w:rsidP="007D79F5">
      <w:pPr>
        <w:pStyle w:val="Normal93"/>
        <w:rPr>
          <w:rtl/>
        </w:rPr>
      </w:pPr>
      <w:r w:rsidRPr="007A340E">
        <w:rPr>
          <w:rFonts w:hint="cs"/>
          <w:b/>
          <w:bCs/>
          <w:rtl/>
        </w:rPr>
        <w:t>الرابعة</w:t>
      </w:r>
      <w:r w:rsidRPr="00EA09EB">
        <w:rPr>
          <w:rFonts w:hint="cs"/>
          <w:rtl/>
        </w:rPr>
        <w:t>: إنّ القول بأنّ الفقهاء حصون الإسلام له دلالة التزاميّة على تعيينهم في منصب الولاية. وبعبارة أخرى: إنه لا يمكن حفظ الإسلام ببيان أحكامه وإجرائها إلاّ بتعيين الفقهاء في منصب الولاية.</w:t>
      </w:r>
    </w:p>
    <w:p w:rsidR="00EA09EB" w:rsidRPr="00A32FC0" w:rsidRDefault="00EA09EB" w:rsidP="007D79F5">
      <w:pPr>
        <w:pStyle w:val="Normal93"/>
        <w:rPr>
          <w:rtl/>
        </w:rPr>
      </w:pPr>
      <w:r w:rsidRPr="00A32FC0">
        <w:rPr>
          <w:rFonts w:hint="cs"/>
          <w:b/>
          <w:bCs/>
          <w:rtl/>
        </w:rPr>
        <w:t>الخامسة</w:t>
      </w:r>
      <w:r w:rsidRPr="00A32FC0">
        <w:rPr>
          <w:rFonts w:hint="cs"/>
          <w:rtl/>
        </w:rPr>
        <w:t>: يترتَّب على كون الفقهاء حصوناً للإسلام ثبوت جميع الصلاحيّات السلطانيّة للنبيّ</w:t>
      </w:r>
      <w:r w:rsidRPr="00A32FC0">
        <w:rPr>
          <w:rFonts w:hint="cs"/>
          <w:rtl/>
        </w:rPr>
        <w:sym w:font="Roumouz" w:char="F02D"/>
      </w:r>
      <w:r w:rsidRPr="00A32FC0">
        <w:rPr>
          <w:rFonts w:hint="cs"/>
          <w:rtl/>
        </w:rPr>
        <w:t xml:space="preserve"> والأئمّة</w:t>
      </w:r>
      <w:r w:rsidR="007A340E">
        <w:rPr>
          <w:rFonts w:hint="cs"/>
          <w:rtl/>
        </w:rPr>
        <w:t>^</w:t>
      </w:r>
      <w:r w:rsidRPr="00A32FC0">
        <w:rPr>
          <w:rFonts w:hint="cs"/>
          <w:rtl/>
        </w:rPr>
        <w:t xml:space="preserve"> لهم، أي الولاية العامّة. بالإضافة إلى أنّ هذه العبارة غير مقيَّدة. لذلك فإنّه من الممكن استنباط الولاية المطلقة للفقيه منها.</w:t>
      </w:r>
    </w:p>
    <w:p w:rsidR="00EA09EB" w:rsidRPr="00EA09EB" w:rsidRDefault="00EA09EB" w:rsidP="007D79F5">
      <w:pPr>
        <w:pStyle w:val="Normal84"/>
        <w:rPr>
          <w:rtl/>
        </w:rPr>
      </w:pPr>
      <w:r w:rsidRPr="00A32FC0">
        <w:rPr>
          <w:rFonts w:hint="cs"/>
          <w:rtl/>
        </w:rPr>
        <w:t>لقد ناقش جمعٌ من الفقهاء في صحّة الاستناد إلى هذه الرواية؛ لإثبات الولاية التعيينيّة المطلقة للفقيه</w:t>
      </w:r>
      <w:r w:rsidRPr="00064619">
        <w:rPr>
          <w:rFonts w:cs="Taher"/>
          <w:vertAlign w:val="superscript"/>
          <w:rtl/>
        </w:rPr>
        <w:t>(</w:t>
      </w:r>
      <w:r w:rsidRPr="00064619">
        <w:rPr>
          <w:rStyle w:val="FootnoteReference"/>
          <w:rFonts w:cs="Taher"/>
          <w:sz w:val="32"/>
          <w:rtl/>
        </w:rPr>
        <w:footnoteReference w:id="705"/>
      </w:r>
      <w:r w:rsidRPr="00064619">
        <w:rPr>
          <w:rFonts w:cs="Taher"/>
          <w:vertAlign w:val="superscript"/>
          <w:rtl/>
        </w:rPr>
        <w:t>)</w:t>
      </w:r>
      <w:r w:rsidRPr="00EA09EB">
        <w:rPr>
          <w:rFonts w:hint="cs"/>
          <w:rtl/>
        </w:rPr>
        <w:t>. وسوف نستعرض هذه المناقشات بحسب ترتيب المقدّمات:</w:t>
      </w:r>
    </w:p>
    <w:p w:rsidR="00EA09EB" w:rsidRPr="00A32FC0" w:rsidRDefault="00EA09EB" w:rsidP="00EA09EB">
      <w:pPr>
        <w:rPr>
          <w:rtl/>
          <w:lang w:bidi="ar-LB"/>
        </w:rPr>
      </w:pPr>
      <w:r w:rsidRPr="00A32FC0">
        <w:rPr>
          <w:rFonts w:hint="cs"/>
          <w:rtl/>
          <w:lang w:bidi="ar-LB"/>
        </w:rPr>
        <w:t xml:space="preserve">أمّا المقدّمة الأولى </w:t>
      </w:r>
      <w:r w:rsidRPr="00A32FC0">
        <w:rPr>
          <w:rtl/>
          <w:lang w:bidi="ar-LB"/>
        </w:rPr>
        <w:t>ـ</w:t>
      </w:r>
      <w:r w:rsidRPr="00A32FC0">
        <w:rPr>
          <w:rFonts w:hint="cs"/>
          <w:rtl/>
          <w:lang w:bidi="ar-LB"/>
        </w:rPr>
        <w:t xml:space="preserve"> سند الرواية </w:t>
      </w:r>
      <w:r w:rsidRPr="00A32FC0">
        <w:rPr>
          <w:rtl/>
          <w:lang w:bidi="ar-LB"/>
        </w:rPr>
        <w:t>ـ</w:t>
      </w:r>
      <w:r w:rsidRPr="00A32FC0">
        <w:rPr>
          <w:rFonts w:hint="cs"/>
          <w:rtl/>
          <w:lang w:bidi="ar-LB"/>
        </w:rPr>
        <w:t xml:space="preserve"> فهي غير معتبرة فقهيّاً</w:t>
      </w:r>
      <w:r>
        <w:rPr>
          <w:rFonts w:hint="cs"/>
          <w:rtl/>
          <w:lang w:bidi="ar-LB"/>
        </w:rPr>
        <w:t>؛</w:t>
      </w:r>
      <w:r w:rsidRPr="00A32FC0">
        <w:rPr>
          <w:rFonts w:hint="cs"/>
          <w:rtl/>
          <w:lang w:bidi="ar-LB"/>
        </w:rPr>
        <w:t xml:space="preserve"> لأنه:</w:t>
      </w:r>
    </w:p>
    <w:p w:rsidR="00EA09EB" w:rsidRPr="00EA09EB" w:rsidRDefault="00EA09EB" w:rsidP="007A340E">
      <w:pPr>
        <w:ind w:firstLine="283"/>
        <w:rPr>
          <w:rtl/>
        </w:rPr>
      </w:pPr>
      <w:r w:rsidRPr="007A340E">
        <w:rPr>
          <w:rFonts w:hint="cs"/>
          <w:b/>
          <w:bCs/>
          <w:rtl/>
        </w:rPr>
        <w:t>أولاً</w:t>
      </w:r>
      <w:r w:rsidRPr="00EA09EB">
        <w:rPr>
          <w:rFonts w:hint="cs"/>
          <w:rtl/>
        </w:rPr>
        <w:t>: مع وجود تصريح ابن فضّال، الدائر بين «الكذب والاتّهام» لعليّ بن حمزة البطائنيّ</w:t>
      </w:r>
      <w:r w:rsidRPr="00064619">
        <w:rPr>
          <w:rFonts w:cs="Taher"/>
          <w:sz w:val="32"/>
          <w:vertAlign w:val="superscript"/>
          <w:rtl/>
          <w:lang w:bidi="ar-LB"/>
        </w:rPr>
        <w:t>(</w:t>
      </w:r>
      <w:r w:rsidRPr="00064619">
        <w:rPr>
          <w:rStyle w:val="FootnoteReference"/>
          <w:rFonts w:cs="Taher"/>
          <w:sz w:val="32"/>
          <w:rtl/>
          <w:lang w:bidi="ar-LB"/>
        </w:rPr>
        <w:footnoteReference w:id="706"/>
      </w:r>
      <w:r w:rsidRPr="00064619">
        <w:rPr>
          <w:rFonts w:cs="Taher"/>
          <w:sz w:val="32"/>
          <w:vertAlign w:val="superscript"/>
          <w:rtl/>
          <w:lang w:bidi="ar-LB"/>
        </w:rPr>
        <w:t>)</w:t>
      </w:r>
      <w:r w:rsidRPr="00EA09EB">
        <w:rPr>
          <w:rFonts w:hint="cs"/>
          <w:rtl/>
        </w:rPr>
        <w:t>، فإنّ جميع التوثيقات المذكورة معارضة، ولا اعتبار لها.</w:t>
      </w:r>
    </w:p>
    <w:p w:rsidR="00EA09EB" w:rsidRPr="00EA09EB" w:rsidRDefault="00EA09EB" w:rsidP="007A340E">
      <w:pPr>
        <w:ind w:firstLine="283"/>
        <w:rPr>
          <w:rtl/>
        </w:rPr>
      </w:pPr>
      <w:r w:rsidRPr="007A340E">
        <w:rPr>
          <w:rFonts w:hint="cs"/>
          <w:b/>
          <w:bCs/>
          <w:rtl/>
        </w:rPr>
        <w:t>ثانياً</w:t>
      </w:r>
      <w:r w:rsidRPr="00EA09EB">
        <w:rPr>
          <w:rFonts w:hint="cs"/>
          <w:rtl/>
        </w:rPr>
        <w:t>: إنّ نقل الشيخ في «عدّة الأصول» مخدوشٌ بعدم وجود أيّ مورد في كلمات الأصحاب تمّ الاستناد به إلى رواياته المنفردة</w:t>
      </w:r>
      <w:r w:rsidRPr="00064619">
        <w:rPr>
          <w:rFonts w:cs="Taher"/>
          <w:sz w:val="32"/>
          <w:vertAlign w:val="superscript"/>
          <w:rtl/>
          <w:lang w:bidi="ar-LB"/>
        </w:rPr>
        <w:t>(</w:t>
      </w:r>
      <w:r w:rsidRPr="00064619">
        <w:rPr>
          <w:rStyle w:val="FootnoteReference"/>
          <w:rFonts w:cs="Taher"/>
          <w:sz w:val="32"/>
          <w:rtl/>
          <w:lang w:bidi="ar-LB"/>
        </w:rPr>
        <w:footnoteReference w:id="707"/>
      </w:r>
      <w:r w:rsidRPr="00064619">
        <w:rPr>
          <w:rFonts w:cs="Taher"/>
          <w:sz w:val="32"/>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ثالثاً</w:t>
      </w:r>
      <w:r w:rsidRPr="00EA09EB">
        <w:rPr>
          <w:rFonts w:hint="cs"/>
          <w:rtl/>
        </w:rPr>
        <w:t>: يمكن مناقشة توثيق ابن الغضائري بما يلي:</w:t>
      </w:r>
    </w:p>
    <w:p w:rsidR="00EA09EB" w:rsidRPr="00A32FC0" w:rsidRDefault="00EA09EB" w:rsidP="007D79F5">
      <w:pPr>
        <w:pStyle w:val="Normal87"/>
        <w:rPr>
          <w:rtl/>
        </w:rPr>
      </w:pPr>
      <w:r w:rsidRPr="00A32FC0">
        <w:rPr>
          <w:rFonts w:hint="cs"/>
          <w:rtl/>
        </w:rPr>
        <w:t>1ـ لم يثبت كون الكتاب المذكور للحسين بن عبيد الله الغضائري أو لابنه؛ لأن النجاشي لم يذكره في كتب</w:t>
      </w:r>
      <w:r>
        <w:rPr>
          <w:rFonts w:hint="cs"/>
          <w:rtl/>
        </w:rPr>
        <w:t xml:space="preserve"> استاذه</w:t>
      </w:r>
      <w:r w:rsidRPr="00A32FC0">
        <w:rPr>
          <w:rFonts w:hint="cs"/>
          <w:rtl/>
        </w:rPr>
        <w:t>. والحال أنّ النجاشي أكثر اطّلاعاً من غيره على كتب أستاذه، وتأليفه لرجال النجاشي كان لضبط هذه الكتب. بالإضافة إلى أنّ الشيخ الطوسي وغيره من أصحاب الرجال لم يذكروا هذا الكتاب.</w:t>
      </w:r>
    </w:p>
    <w:p w:rsidR="00EA09EB" w:rsidRPr="00EA09EB" w:rsidRDefault="00EA09EB" w:rsidP="007D79F5">
      <w:pPr>
        <w:pStyle w:val="Normal87"/>
        <w:rPr>
          <w:rtl/>
        </w:rPr>
      </w:pPr>
      <w:r w:rsidRPr="00EA09EB">
        <w:rPr>
          <w:rFonts w:hint="cs"/>
          <w:rtl/>
        </w:rPr>
        <w:t>2ـ إنّ الكلام الذي جاء في الكتاب المذكور حول الحسن بن علي بن أبي حمزة، من «أنه ضعيفٌ، وأبوه أوثق منه»، يدفع إلى القول أنّ الأوثق من الضعيف لا يُعَدّ موثَّقاً</w:t>
      </w:r>
      <w:r w:rsidRPr="00064619">
        <w:rPr>
          <w:rFonts w:cs="Taher"/>
          <w:sz w:val="32"/>
          <w:vertAlign w:val="superscript"/>
          <w:rtl/>
        </w:rPr>
        <w:t>(</w:t>
      </w:r>
      <w:r w:rsidRPr="00064619">
        <w:rPr>
          <w:rStyle w:val="FootnoteReference"/>
          <w:rFonts w:cs="Taher"/>
          <w:sz w:val="32"/>
          <w:rtl/>
        </w:rPr>
        <w:footnoteReference w:id="708"/>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b/>
          <w:bCs/>
          <w:rtl/>
          <w:lang w:bidi="ar-LB"/>
        </w:rPr>
        <w:t>رابعاً</w:t>
      </w:r>
      <w:r w:rsidRPr="00A32FC0">
        <w:rPr>
          <w:rFonts w:hint="cs"/>
          <w:rtl/>
          <w:lang w:bidi="ar-LB"/>
        </w:rPr>
        <w:t>: إنّ رواية أصحاب الإجماع عن راوٍ مشهور بالضعف لا تُعَدّ دليلاً على وثاقته. وهذه المسألة هي محلّ نقاش في علم الرجال.</w:t>
      </w:r>
    </w:p>
    <w:p w:rsidR="00EA09EB" w:rsidRPr="00A32FC0" w:rsidRDefault="00EA09EB" w:rsidP="00EA09EB">
      <w:pPr>
        <w:rPr>
          <w:rtl/>
          <w:lang w:bidi="ar-LB"/>
        </w:rPr>
      </w:pPr>
      <w:r w:rsidRPr="00A32FC0">
        <w:rPr>
          <w:rFonts w:hint="cs"/>
          <w:rtl/>
          <w:lang w:bidi="ar-LB"/>
        </w:rPr>
        <w:t xml:space="preserve">وأمّا المقدمة الثانية ففيها نقاش أيضاً؛ لأنّه بناءً على فرض تعدّد النقل ووحدة الرواية فإنّ رواية ابن رئاب الخالية من لفظ </w:t>
      </w:r>
      <w:r w:rsidRPr="00A32FC0">
        <w:rPr>
          <w:rFonts w:hint="cs"/>
          <w:rtl/>
        </w:rPr>
        <w:t>«</w:t>
      </w:r>
      <w:r w:rsidRPr="00A32FC0">
        <w:rPr>
          <w:rFonts w:hint="cs"/>
          <w:rtl/>
          <w:lang w:bidi="ar-LB"/>
        </w:rPr>
        <w:t>الفقهاء</w:t>
      </w:r>
      <w:r w:rsidRPr="00A32FC0">
        <w:rPr>
          <w:rFonts w:hint="cs"/>
          <w:rtl/>
        </w:rPr>
        <w:t>»</w:t>
      </w:r>
      <w:r w:rsidRPr="00A32FC0">
        <w:rPr>
          <w:rFonts w:hint="cs"/>
          <w:rtl/>
          <w:lang w:bidi="ar-LB"/>
        </w:rPr>
        <w:t xml:space="preserve"> هي أقرب إلى الصحّة؛ لأن التعليل الوارد في ذيل الرواية ـ بناءً على نقل ابن أبي حمزة ـ يُعَدّ تقييداً لصدر الرواية بالفرد النادر؛ حيث يُعَدّ المؤمن الفقيه بالنسبة إلى المؤمن المطلق قليلاً</w:t>
      </w:r>
      <w:r w:rsidRPr="00064619">
        <w:rPr>
          <w:rFonts w:cs="Taher"/>
          <w:vertAlign w:val="superscript"/>
          <w:rtl/>
          <w:lang w:bidi="ar-LB"/>
        </w:rPr>
        <w:t>(</w:t>
      </w:r>
      <w:r w:rsidRPr="00064619">
        <w:rPr>
          <w:rStyle w:val="FootnoteReference"/>
          <w:rFonts w:cs="Taher"/>
          <w:sz w:val="32"/>
          <w:rtl/>
          <w:lang w:bidi="ar-LB"/>
        </w:rPr>
        <w:footnoteReference w:id="709"/>
      </w:r>
      <w:r w:rsidRPr="00064619">
        <w:rPr>
          <w:rFonts w:cs="Taher"/>
          <w:vertAlign w:val="superscript"/>
          <w:rtl/>
          <w:lang w:bidi="ar-LB"/>
        </w:rPr>
        <w:t>)</w:t>
      </w:r>
      <w:r w:rsidRPr="00A32FC0">
        <w:rPr>
          <w:rFonts w:hint="cs"/>
          <w:rtl/>
          <w:lang w:bidi="ar-LB"/>
        </w:rPr>
        <w:t>.</w:t>
      </w:r>
    </w:p>
    <w:p w:rsidR="00EA09EB" w:rsidRPr="00A32FC0" w:rsidRDefault="00EA09EB" w:rsidP="007D79F5">
      <w:pPr>
        <w:pStyle w:val="Normal84"/>
        <w:rPr>
          <w:rtl/>
        </w:rPr>
      </w:pPr>
      <w:r w:rsidRPr="00A32FC0">
        <w:rPr>
          <w:rFonts w:hint="cs"/>
          <w:rtl/>
        </w:rPr>
        <w:t>وأمّا المقدّمة الثالثة فهي أيضاً غير تامة؛ لأنّ مجرد كون الفقهاء حصوناً للإسلام لا يدل على ولايتهم؛ حيث إنّ كونهم حصون الإسلام قد يعني إشرافهم على حفظ الأحكام الإلهية، حلالها وحرامها. كما جاء في حقّ بعض أجلاء أصحاب الأئمة</w:t>
      </w:r>
      <w:r w:rsidR="007A340E">
        <w:rPr>
          <w:rFonts w:hint="cs"/>
          <w:rtl/>
        </w:rPr>
        <w:t>^</w:t>
      </w:r>
      <w:r w:rsidRPr="00A32FC0">
        <w:rPr>
          <w:rFonts w:hint="cs"/>
          <w:rtl/>
        </w:rPr>
        <w:t>، من قبيل: زرارة بن أعين، ومحمد بن مسلم، من أنّه لولاهم لاندرست أحكام الإسلام، وهو تعبير آخر عن كون الفقيه حصناً. بل يمكن أن يقال: إنّ المتبادر من حفظ الإسلام، والقدر المتيقَّن منه، هو الحركة العلميّة التي تشمل أحكام الإسلام، والاستنباط، والتفسير، والدعوة، ودفع الشبهات عن ساحة الإسلام؛ وأمّا إجراء الأحكام وتنفيذها في المجتمع فهو أمرٌ آخر قد لا يكون مشمولاً في هذا الحديث. ألا يُعَدّ الإمام الصادق</w:t>
      </w:r>
      <w:r>
        <w:rPr>
          <w:rFonts w:hint="cs"/>
          <w:rtl/>
        </w:rPr>
        <w:t>×</w:t>
      </w:r>
      <w:r w:rsidRPr="00A32FC0">
        <w:rPr>
          <w:rFonts w:hint="cs"/>
          <w:rtl/>
        </w:rPr>
        <w:t>، الذي بيَّن أحكام الإسلام ومعارفه، وقام بتربية كبار علماء الإسلام، حصناً للإسلام؟</w:t>
      </w:r>
      <w:r w:rsidRPr="00064619">
        <w:rPr>
          <w:rFonts w:cs="Taher"/>
          <w:vertAlign w:val="superscript"/>
          <w:rtl/>
        </w:rPr>
        <w:t>(</w:t>
      </w:r>
      <w:r w:rsidRPr="00064619">
        <w:rPr>
          <w:rStyle w:val="FootnoteReference"/>
          <w:rFonts w:cs="Taher"/>
          <w:sz w:val="32"/>
          <w:rtl/>
        </w:rPr>
        <w:footnoteReference w:id="710"/>
      </w:r>
      <w:r w:rsidRPr="00064619">
        <w:rPr>
          <w:rFonts w:cs="Taher"/>
          <w:vertAlign w:val="superscript"/>
          <w:rtl/>
        </w:rPr>
        <w:t>)</w:t>
      </w:r>
      <w:r w:rsidRPr="00EA09EB">
        <w:rPr>
          <w:rFonts w:hint="cs"/>
          <w:rtl/>
        </w:rPr>
        <w:t xml:space="preserve"> بلى، إنّ الرواية لا تخلو من إشعار بإجراء الأحكام، إلاّ أن إثبات مسألة خطيرة وهامّة، مثل: ولاية الفقيه، لا يمكن أن يتمّ بمثل هذه الإشعارات</w:t>
      </w:r>
      <w:r w:rsidRPr="00064619">
        <w:rPr>
          <w:rFonts w:cs="Taher"/>
          <w:vertAlign w:val="superscript"/>
          <w:rtl/>
        </w:rPr>
        <w:t>(</w:t>
      </w:r>
      <w:r w:rsidRPr="00064619">
        <w:rPr>
          <w:rStyle w:val="FootnoteReference"/>
          <w:rFonts w:cs="Taher"/>
          <w:sz w:val="32"/>
          <w:rtl/>
        </w:rPr>
        <w:footnoteReference w:id="711"/>
      </w:r>
      <w:r w:rsidRPr="00064619">
        <w:rPr>
          <w:rFonts w:cs="Taher"/>
          <w:vertAlign w:val="superscript"/>
          <w:rtl/>
        </w:rPr>
        <w:t>)</w:t>
      </w:r>
      <w:r w:rsidRPr="00A32FC0">
        <w:rPr>
          <w:rFonts w:hint="cs"/>
          <w:rtl/>
        </w:rPr>
        <w:t>.</w:t>
      </w:r>
    </w:p>
    <w:p w:rsidR="00EA09EB" w:rsidRPr="00EA09EB" w:rsidRDefault="00EA09EB" w:rsidP="007D79F5">
      <w:pPr>
        <w:pStyle w:val="Normal84"/>
        <w:rPr>
          <w:rtl/>
        </w:rPr>
      </w:pPr>
      <w:r w:rsidRPr="00A32FC0">
        <w:rPr>
          <w:rFonts w:hint="cs"/>
          <w:rtl/>
        </w:rPr>
        <w:t>وأمّا المقدمة الرابعة فهي ـ كسابقاتها ـ غير تامّة؛ فإنّ عبارة «الفقهاء حصون الإسلام» لا تدلّ على تعيين الفقهاء</w:t>
      </w:r>
      <w:r w:rsidRPr="00064619">
        <w:rPr>
          <w:rFonts w:cs="Taher"/>
          <w:vertAlign w:val="superscript"/>
          <w:rtl/>
        </w:rPr>
        <w:t>(</w:t>
      </w:r>
      <w:r w:rsidRPr="00064619">
        <w:rPr>
          <w:rStyle w:val="FootnoteReference"/>
          <w:rFonts w:cs="Taher"/>
          <w:sz w:val="32"/>
          <w:rtl/>
        </w:rPr>
        <w:footnoteReference w:id="712"/>
      </w:r>
      <w:r w:rsidRPr="00064619">
        <w:rPr>
          <w:rFonts w:cs="Taher"/>
          <w:vertAlign w:val="superscript"/>
          <w:rtl/>
        </w:rPr>
        <w:t>)</w:t>
      </w:r>
      <w:r w:rsidRPr="00EA09EB">
        <w:rPr>
          <w:rFonts w:hint="cs"/>
          <w:rtl/>
        </w:rPr>
        <w:t>. ولم يقُمْ القائلون بالتعيين بتقديم أيّ دليلٍ على مثل هذا الاستدلال. ثم إنّه لا توجد ملازمة بين كون الشخص حصناً للإسلام وبين تعيينه من قبل الإمام</w:t>
      </w:r>
      <w:r>
        <w:rPr>
          <w:rFonts w:hint="cs"/>
          <w:rtl/>
        </w:rPr>
        <w:t>×</w:t>
      </w:r>
      <w:r w:rsidRPr="00EA09EB">
        <w:rPr>
          <w:rFonts w:hint="cs"/>
          <w:rtl/>
        </w:rPr>
        <w:t>. وتعيين الفقهاء ليس أمراً بديهيّاً، حتّى لا يحتاج القائلون به إلى دليل. وعلى فرض دلالتها على الإدارة السياسيّة فإنّ الرواية لا تَرُدُّ احتمالاً مؤدّاه أنّ الأمّة تقوم بانتخاب جمع من علماء الدين لإدارة شؤونها</w:t>
      </w:r>
      <w:r w:rsidRPr="00064619">
        <w:rPr>
          <w:rFonts w:cs="Taher"/>
          <w:vertAlign w:val="superscript"/>
          <w:rtl/>
        </w:rPr>
        <w:t>(</w:t>
      </w:r>
      <w:r w:rsidRPr="00064619">
        <w:rPr>
          <w:rStyle w:val="FootnoteReference"/>
          <w:rFonts w:cs="Taher"/>
          <w:sz w:val="32"/>
          <w:rtl/>
        </w:rPr>
        <w:footnoteReference w:id="713"/>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وأمّا المقدّمة الخامسة فهي غير تامّة أيضاً؛ لأنه:</w:t>
      </w:r>
    </w:p>
    <w:p w:rsidR="00EA09EB" w:rsidRPr="00EA09EB" w:rsidRDefault="00EA09EB" w:rsidP="007A340E">
      <w:pPr>
        <w:ind w:firstLine="283"/>
        <w:rPr>
          <w:rtl/>
        </w:rPr>
      </w:pPr>
      <w:r w:rsidRPr="007A340E">
        <w:rPr>
          <w:rFonts w:hint="cs"/>
          <w:b/>
          <w:bCs/>
          <w:rtl/>
        </w:rPr>
        <w:t>أولاً</w:t>
      </w:r>
      <w:r w:rsidRPr="00EA09EB">
        <w:rPr>
          <w:rFonts w:hint="cs"/>
          <w:rtl/>
        </w:rPr>
        <w:t>: بملاحظة النقاط السابقة فإنّ الرواية ليست في مقام إثبات ولاية الفقيه، حتّى يمكن البحث حول صلاحيّات الولاية، وعمومها، وإطلاقها.</w:t>
      </w:r>
    </w:p>
    <w:p w:rsidR="00EA09EB" w:rsidRDefault="00EA09EB" w:rsidP="007A340E">
      <w:pPr>
        <w:ind w:firstLine="283"/>
        <w:rPr>
          <w:rtl/>
        </w:rPr>
      </w:pPr>
      <w:r w:rsidRPr="007A340E">
        <w:rPr>
          <w:rFonts w:hint="cs"/>
          <w:b/>
          <w:bCs/>
          <w:rtl/>
        </w:rPr>
        <w:t>وثانياً</w:t>
      </w:r>
      <w:r w:rsidRPr="00EA09EB">
        <w:rPr>
          <w:rFonts w:hint="cs"/>
          <w:rtl/>
        </w:rPr>
        <w:t>: على فرض التسليم فإنّ الرواية ليست في مقام البيان، حتّى يمكن التمسُّك بإطلاقها.</w:t>
      </w:r>
    </w:p>
    <w:p w:rsidR="007A340E" w:rsidRPr="00EA09EB" w:rsidRDefault="007A340E" w:rsidP="007D79F5">
      <w:pPr>
        <w:pStyle w:val="Normal87"/>
        <w:rPr>
          <w:rtl/>
        </w:rPr>
      </w:pPr>
    </w:p>
    <w:p w:rsidR="00EA09EB" w:rsidRPr="00AB6BA6" w:rsidRDefault="00EA09EB" w:rsidP="007A340E">
      <w:pPr>
        <w:pStyle w:val="Heading4"/>
        <w:rPr>
          <w:rtl/>
        </w:rPr>
      </w:pPr>
      <w:r w:rsidRPr="007A340E">
        <w:rPr>
          <w:rFonts w:hint="cs"/>
          <w:rtl/>
        </w:rPr>
        <w:t>نتيجة</w:t>
      </w:r>
      <w:r w:rsidRPr="00AB6BA6">
        <w:rPr>
          <w:rFonts w:hint="cs"/>
          <w:rtl/>
        </w:rPr>
        <w:t xml:space="preserve"> البحث</w:t>
      </w:r>
    </w:p>
    <w:p w:rsidR="00EA09EB" w:rsidRPr="00A32FC0" w:rsidRDefault="00EA09EB" w:rsidP="00EA09EB">
      <w:pPr>
        <w:rPr>
          <w:rtl/>
          <w:lang w:bidi="ar-LB"/>
        </w:rPr>
      </w:pPr>
      <w:r w:rsidRPr="00EA09EB">
        <w:rPr>
          <w:rFonts w:hint="cs"/>
          <w:rtl/>
        </w:rPr>
        <w:t xml:space="preserve">إن رواية «الفقهاء حصون الإسلام» هي </w:t>
      </w:r>
      <w:r w:rsidRPr="00A32FC0">
        <w:rPr>
          <w:rFonts w:hint="cs"/>
          <w:b/>
          <w:bCs/>
          <w:rtl/>
          <w:lang w:bidi="ar-LB"/>
        </w:rPr>
        <w:t>أولاً</w:t>
      </w:r>
      <w:r w:rsidRPr="00EA09EB">
        <w:rPr>
          <w:rFonts w:hint="cs"/>
          <w:rtl/>
        </w:rPr>
        <w:t xml:space="preserve">: غير معتبرة سنداً؛ لوجود علي بن أبي حمزة البطائنيّ. </w:t>
      </w:r>
      <w:r w:rsidRPr="00A32FC0">
        <w:rPr>
          <w:rFonts w:hint="cs"/>
          <w:b/>
          <w:bCs/>
          <w:rtl/>
          <w:lang w:bidi="ar-LB"/>
        </w:rPr>
        <w:t>وثانياً</w:t>
      </w:r>
      <w:r w:rsidRPr="00EA09EB">
        <w:rPr>
          <w:rFonts w:hint="cs"/>
          <w:rtl/>
        </w:rPr>
        <w:t xml:space="preserve">: لا دلالة لها على ولاية الفقيه، بل تدلّ على رفعة شأن الفقهاء في حفظ الإسلام من الشبهات العلمية والتحريفات. </w:t>
      </w:r>
      <w:r w:rsidRPr="00A32FC0">
        <w:rPr>
          <w:rFonts w:hint="cs"/>
          <w:b/>
          <w:bCs/>
          <w:rtl/>
          <w:lang w:bidi="ar-LB"/>
        </w:rPr>
        <w:t>وثالثاً</w:t>
      </w:r>
      <w:r w:rsidRPr="00A32FC0">
        <w:rPr>
          <w:rFonts w:hint="cs"/>
          <w:rtl/>
          <w:lang w:bidi="ar-LB"/>
        </w:rPr>
        <w:t xml:space="preserve">: ليس هناك </w:t>
      </w:r>
      <w:r>
        <w:rPr>
          <w:rFonts w:hint="cs"/>
          <w:rtl/>
          <w:lang w:bidi="ar-LB"/>
        </w:rPr>
        <w:t>أيّ</w:t>
      </w:r>
      <w:r w:rsidRPr="00A32FC0">
        <w:rPr>
          <w:rFonts w:hint="cs"/>
          <w:rtl/>
          <w:lang w:bidi="ar-LB"/>
        </w:rPr>
        <w:t xml:space="preserve"> ملازمة بينها وبين التعيين.</w:t>
      </w:r>
    </w:p>
    <w:p w:rsidR="007A340E" w:rsidRDefault="00EA09EB" w:rsidP="007A340E">
      <w:pPr>
        <w:pStyle w:val="Heading2"/>
        <w:rPr>
          <w:rtl/>
          <w:lang w:bidi="ar-LB"/>
        </w:rPr>
      </w:pPr>
      <w:r w:rsidRPr="00A32FC0">
        <w:rPr>
          <w:rtl/>
          <w:lang w:bidi="ar-LB"/>
        </w:rPr>
        <w:br w:type="page"/>
      </w:r>
    </w:p>
    <w:p w:rsidR="007A340E" w:rsidRDefault="007A340E" w:rsidP="007A340E">
      <w:pPr>
        <w:rPr>
          <w:rtl/>
          <w:lang w:bidi="ar-LB"/>
        </w:rPr>
        <w:sectPr w:rsidR="007A340E" w:rsidSect="009003FC">
          <w:headerReference w:type="even" r:id="rId64"/>
          <w:headerReference w:type="default" r:id="rId65"/>
          <w:headerReference w:type="first" r:id="rId66"/>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57" w:name="_Toc413658839"/>
      <w:r w:rsidRPr="00E2207F">
        <w:rPr>
          <w:rFonts w:hint="cs"/>
          <w:rtl/>
          <w:lang w:bidi="ar-LB"/>
        </w:rPr>
        <w:t xml:space="preserve">الفصل </w:t>
      </w:r>
      <w:r w:rsidRPr="007A340E">
        <w:rPr>
          <w:rFonts w:hint="cs"/>
          <w:rtl/>
        </w:rPr>
        <w:t>العشرون</w:t>
      </w:r>
      <w:r w:rsidRPr="00E2207F">
        <w:rPr>
          <w:rFonts w:hint="cs"/>
          <w:rtl/>
          <w:lang w:bidi="ar-LB"/>
        </w:rPr>
        <w:t>: أدلّة ولاية الفقيه من الروايات المنقولة عن الإمام المهديّ</w:t>
      </w:r>
      <w:r w:rsidR="00B57E2A" w:rsidRPr="00B57E2A">
        <w:rPr>
          <w:rFonts w:ascii="Mosawi" w:hAnsi="Mosawi" w:cs="Mosawi"/>
          <w:b/>
          <w:bCs/>
          <w:rtl/>
          <w:lang w:bidi="ar-LB"/>
        </w:rPr>
        <w:t>×</w:t>
      </w:r>
      <w:bookmarkEnd w:id="57"/>
    </w:p>
    <w:p w:rsidR="00EA09EB" w:rsidRDefault="00EA09EB" w:rsidP="007D79F5">
      <w:pPr>
        <w:pStyle w:val="Normal87"/>
        <w:rPr>
          <w:rtl/>
        </w:rPr>
      </w:pPr>
      <w:r w:rsidRPr="00EA09EB">
        <w:rPr>
          <w:rFonts w:hint="cs"/>
          <w:rtl/>
        </w:rPr>
        <w:t>من ضمن الأدلة الروائية على ولاية الفقيه روايةٌ منقولةٌ عن الإمام المهديّ</w:t>
      </w:r>
      <w:r>
        <w:rPr>
          <w:rFonts w:hint="cs"/>
          <w:rtl/>
        </w:rPr>
        <w:t>×</w:t>
      </w:r>
      <w:r w:rsidRPr="00EA09EB">
        <w:rPr>
          <w:rFonts w:hint="cs"/>
          <w:rtl/>
        </w:rPr>
        <w:t>، وهي معروفة بتوقيع الناحية المقدسة</w:t>
      </w:r>
      <w:r w:rsidRPr="00064619">
        <w:rPr>
          <w:rFonts w:cs="Taher"/>
          <w:sz w:val="32"/>
          <w:vertAlign w:val="superscript"/>
          <w:rtl/>
        </w:rPr>
        <w:t>(</w:t>
      </w:r>
      <w:r w:rsidRPr="00064619">
        <w:rPr>
          <w:rStyle w:val="FootnoteReference"/>
          <w:rFonts w:cs="Taher"/>
          <w:sz w:val="32"/>
          <w:rtl/>
        </w:rPr>
        <w:footnoteReference w:id="714"/>
      </w:r>
      <w:r w:rsidRPr="00064619">
        <w:rPr>
          <w:rFonts w:cs="Taher"/>
          <w:sz w:val="32"/>
          <w:vertAlign w:val="superscript"/>
          <w:rtl/>
        </w:rPr>
        <w:t>)</w:t>
      </w:r>
      <w:r w:rsidRPr="00EA09EB">
        <w:rPr>
          <w:rFonts w:hint="cs"/>
          <w:rtl/>
        </w:rPr>
        <w:t>.</w:t>
      </w:r>
    </w:p>
    <w:p w:rsidR="007A340E" w:rsidRPr="00EA09EB" w:rsidRDefault="007A340E" w:rsidP="00EA09EB">
      <w:pPr>
        <w:rPr>
          <w:rtl/>
        </w:rPr>
      </w:pPr>
    </w:p>
    <w:p w:rsidR="00EA09EB" w:rsidRPr="00AB6BA6" w:rsidRDefault="00EA09EB" w:rsidP="007A340E">
      <w:pPr>
        <w:pStyle w:val="Heading3"/>
        <w:rPr>
          <w:rtl/>
        </w:rPr>
      </w:pPr>
      <w:r w:rsidRPr="00AB6BA6">
        <w:rPr>
          <w:rFonts w:hint="cs"/>
          <w:rtl/>
        </w:rPr>
        <w:t>الرواية العاشرة: توقيع «وأما الحوادث الواقعة فارجعوا فيها إلى رواة حديثنا»</w:t>
      </w:r>
    </w:p>
    <w:p w:rsidR="00EA09EB" w:rsidRPr="00A32FC0" w:rsidRDefault="00EA09EB" w:rsidP="007D79F5">
      <w:pPr>
        <w:pStyle w:val="Normal84"/>
        <w:rPr>
          <w:rtl/>
        </w:rPr>
      </w:pPr>
      <w:r w:rsidRPr="00EA09EB">
        <w:rPr>
          <w:rFonts w:hint="cs"/>
          <w:rtl/>
        </w:rPr>
        <w:t>روى الصدوق في كتاب «كمال الدين»، قال: حدثنا محمد بن محمد بن عصام الكليني، قال: حدّثنا محمد بن يعقوب الكلينيّ، عن إسحاق بن يعقوب، قال: سألت محمد بن عثمان العَمْري أن يوصل لي كتاباً قد سألت فيه عن مسائل أشكلت عليّ، فورد التوقيع بخطّ مولانا صاحب الزمان</w:t>
      </w:r>
      <w:r>
        <w:rPr>
          <w:rFonts w:hint="cs"/>
          <w:rtl/>
        </w:rPr>
        <w:t>×</w:t>
      </w:r>
      <w:r w:rsidRPr="00EA09EB">
        <w:rPr>
          <w:rFonts w:hint="cs"/>
          <w:rtl/>
        </w:rPr>
        <w:t xml:space="preserve">: «أمّا ما سألت عنه </w:t>
      </w:r>
      <w:r w:rsidRPr="00EA09EB">
        <w:rPr>
          <w:rtl/>
        </w:rPr>
        <w:t>ـ</w:t>
      </w:r>
      <w:r w:rsidRPr="00EA09EB">
        <w:rPr>
          <w:rFonts w:hint="cs"/>
          <w:rtl/>
        </w:rPr>
        <w:t xml:space="preserve"> أرشدك الله وثبَّتَك </w:t>
      </w:r>
      <w:r w:rsidRPr="00EA09EB">
        <w:rPr>
          <w:rtl/>
        </w:rPr>
        <w:t>ـ</w:t>
      </w:r>
      <w:r w:rsidRPr="00EA09EB">
        <w:rPr>
          <w:rFonts w:hint="cs"/>
          <w:rtl/>
        </w:rPr>
        <w:t xml:space="preserve"> من أمر المنكرين لي من أهل بيتنا وبني عمّنا... وأما الحوادث الواقعة فارجعوا فيها إلى رواة حديثنا، فإنّهم حجّتي عليكم، وأنا حجّة الله عليهم»</w:t>
      </w:r>
      <w:r w:rsidRPr="00064619">
        <w:rPr>
          <w:rFonts w:cs="Taher"/>
          <w:vertAlign w:val="superscript"/>
          <w:rtl/>
        </w:rPr>
        <w:t>(</w:t>
      </w:r>
      <w:r w:rsidRPr="00064619">
        <w:rPr>
          <w:rStyle w:val="FootnoteReference"/>
          <w:rFonts w:cs="Taher"/>
          <w:sz w:val="32"/>
          <w:rtl/>
        </w:rPr>
        <w:footnoteReference w:id="715"/>
      </w:r>
      <w:r w:rsidRPr="00064619">
        <w:rPr>
          <w:rFonts w:cs="Taher"/>
          <w:vertAlign w:val="superscript"/>
          <w:rtl/>
        </w:rPr>
        <w:t>)</w:t>
      </w:r>
      <w:r w:rsidRPr="00A32FC0">
        <w:rPr>
          <w:rFonts w:hint="cs"/>
          <w:rtl/>
        </w:rPr>
        <w:t>.</w:t>
      </w:r>
    </w:p>
    <w:p w:rsidR="00EA09EB" w:rsidRPr="00A32FC0" w:rsidRDefault="00EA09EB" w:rsidP="00EA09EB">
      <w:pPr>
        <w:rPr>
          <w:rtl/>
          <w:lang w:bidi="ar-LB"/>
        </w:rPr>
      </w:pPr>
      <w:r w:rsidRPr="00A32FC0">
        <w:rPr>
          <w:rFonts w:hint="cs"/>
          <w:rtl/>
          <w:lang w:bidi="ar-LB"/>
        </w:rPr>
        <w:t>كما رواه أيضاً الشيخ الطوسيّ</w:t>
      </w:r>
      <w:r w:rsidRPr="00064619">
        <w:rPr>
          <w:rFonts w:cs="Taher"/>
          <w:vertAlign w:val="superscript"/>
          <w:rtl/>
          <w:lang w:bidi="ar-LB"/>
        </w:rPr>
        <w:t>(</w:t>
      </w:r>
      <w:r w:rsidRPr="00064619">
        <w:rPr>
          <w:rStyle w:val="FootnoteReference"/>
          <w:rFonts w:cs="Taher"/>
          <w:sz w:val="32"/>
          <w:rtl/>
          <w:lang w:bidi="ar-LB"/>
        </w:rPr>
        <w:footnoteReference w:id="716"/>
      </w:r>
      <w:r w:rsidRPr="00064619">
        <w:rPr>
          <w:rFonts w:cs="Taher"/>
          <w:vertAlign w:val="superscript"/>
          <w:rtl/>
          <w:lang w:bidi="ar-LB"/>
        </w:rPr>
        <w:t>)</w:t>
      </w:r>
      <w:r w:rsidRPr="00EA09EB">
        <w:rPr>
          <w:rFonts w:hint="cs"/>
          <w:rtl/>
        </w:rPr>
        <w:t xml:space="preserve"> بسنده في كتاب «الغَيْبة»</w:t>
      </w:r>
      <w:r w:rsidRPr="00064619">
        <w:rPr>
          <w:rFonts w:cs="Taher"/>
          <w:vertAlign w:val="superscript"/>
          <w:rtl/>
          <w:lang w:bidi="ar-LB"/>
        </w:rPr>
        <w:t>(</w:t>
      </w:r>
      <w:r w:rsidRPr="00064619">
        <w:rPr>
          <w:rStyle w:val="FootnoteReference"/>
          <w:rFonts w:cs="Taher"/>
          <w:sz w:val="32"/>
          <w:rtl/>
          <w:lang w:bidi="ar-LB"/>
        </w:rPr>
        <w:footnoteReference w:id="717"/>
      </w:r>
      <w:r w:rsidRPr="00064619">
        <w:rPr>
          <w:rFonts w:cs="Taher"/>
          <w:vertAlign w:val="superscript"/>
          <w:rtl/>
          <w:lang w:bidi="ar-LB"/>
        </w:rPr>
        <w:t>)</w:t>
      </w:r>
      <w:r w:rsidRPr="00A32FC0">
        <w:rPr>
          <w:rFonts w:hint="cs"/>
          <w:rtl/>
          <w:lang w:bidi="ar-LB"/>
        </w:rPr>
        <w:t>.</w:t>
      </w:r>
    </w:p>
    <w:p w:rsidR="00EA09EB" w:rsidRPr="00A32FC0" w:rsidRDefault="00EA09EB" w:rsidP="00EA09EB">
      <w:pPr>
        <w:rPr>
          <w:rtl/>
          <w:lang w:bidi="ar-LB"/>
        </w:rPr>
      </w:pPr>
      <w:r w:rsidRPr="00A32FC0">
        <w:rPr>
          <w:rFonts w:hint="cs"/>
          <w:rtl/>
          <w:lang w:bidi="ar-LB"/>
        </w:rPr>
        <w:t xml:space="preserve">ويرى بعض الفقهاء، ومنهم: الآقا رضا الهمدانيّ، أنّ هذه الرواية هي </w:t>
      </w:r>
      <w:r w:rsidRPr="00A32FC0">
        <w:rPr>
          <w:rFonts w:hint="cs"/>
          <w:rtl/>
        </w:rPr>
        <w:t>«</w:t>
      </w:r>
      <w:r w:rsidRPr="00A32FC0">
        <w:rPr>
          <w:rFonts w:hint="cs"/>
          <w:rtl/>
          <w:lang w:bidi="ar-LB"/>
        </w:rPr>
        <w:t>عمدة دليل التعيين</w:t>
      </w:r>
      <w:r w:rsidRPr="00A32FC0">
        <w:rPr>
          <w:rFonts w:hint="cs"/>
          <w:rtl/>
        </w:rPr>
        <w:t>»،</w:t>
      </w:r>
      <w:r w:rsidRPr="00A32FC0">
        <w:rPr>
          <w:rFonts w:hint="cs"/>
          <w:rtl/>
          <w:lang w:bidi="ar-LB"/>
        </w:rPr>
        <w:t xml:space="preserve"> أو </w:t>
      </w:r>
      <w:r w:rsidRPr="00A32FC0">
        <w:rPr>
          <w:rFonts w:hint="cs"/>
          <w:rtl/>
        </w:rPr>
        <w:t>«</w:t>
      </w:r>
      <w:r w:rsidRPr="00A32FC0">
        <w:rPr>
          <w:rFonts w:hint="cs"/>
          <w:rtl/>
          <w:lang w:bidi="ar-LB"/>
        </w:rPr>
        <w:t>الدليل الأقوى على ولاية الفقيه</w:t>
      </w:r>
      <w:r w:rsidRPr="00A32FC0">
        <w:rPr>
          <w:rFonts w:hint="cs"/>
          <w:rtl/>
        </w:rPr>
        <w:t>»</w:t>
      </w:r>
      <w:r w:rsidRPr="00064619">
        <w:rPr>
          <w:rFonts w:cs="Taher"/>
          <w:vertAlign w:val="superscript"/>
          <w:rtl/>
        </w:rPr>
        <w:t>(</w:t>
      </w:r>
      <w:r w:rsidRPr="00064619">
        <w:rPr>
          <w:rStyle w:val="FootnoteReference"/>
          <w:rFonts w:cs="Taher"/>
          <w:sz w:val="32"/>
          <w:rtl/>
        </w:rPr>
        <w:footnoteReference w:id="718"/>
      </w:r>
      <w:r w:rsidRPr="00064619">
        <w:rPr>
          <w:rFonts w:cs="Taher"/>
          <w:vertAlign w:val="superscript"/>
          <w:rtl/>
        </w:rPr>
        <w:t>)</w:t>
      </w:r>
      <w:r w:rsidRPr="00A32FC0">
        <w:rPr>
          <w:rFonts w:hint="cs"/>
          <w:rtl/>
          <w:lang w:bidi="ar-LB"/>
        </w:rPr>
        <w:t xml:space="preserve">. </w:t>
      </w:r>
    </w:p>
    <w:p w:rsidR="00EA09EB" w:rsidRPr="00EA09EB" w:rsidRDefault="00EA09EB" w:rsidP="007D79F5">
      <w:pPr>
        <w:pStyle w:val="Normal87"/>
        <w:rPr>
          <w:rtl/>
        </w:rPr>
      </w:pPr>
      <w:r w:rsidRPr="00A32FC0">
        <w:rPr>
          <w:rFonts w:hint="cs"/>
          <w:rtl/>
        </w:rPr>
        <w:t>كما قام جمعٌ لا بأس به من الفقهاء بالاستدلال على الولاية التعيينيّة للفقهاء من خلال هذا التوقيع، ومنهم: المحقق النراقي، وصاحب «الجواهر»، والشيخ الأنصاريّ في «كتاب القضاء»، وبعض الفقهاء المعاصرين</w:t>
      </w:r>
      <w:r w:rsidRPr="00064619">
        <w:rPr>
          <w:rFonts w:cs="Taher"/>
          <w:vertAlign w:val="superscript"/>
          <w:rtl/>
        </w:rPr>
        <w:t>(</w:t>
      </w:r>
      <w:r w:rsidRPr="00064619">
        <w:rPr>
          <w:rStyle w:val="FootnoteReference"/>
          <w:rFonts w:cs="Taher"/>
          <w:sz w:val="32"/>
          <w:rtl/>
        </w:rPr>
        <w:footnoteReference w:id="719"/>
      </w:r>
      <w:r w:rsidRPr="00064619">
        <w:rPr>
          <w:rFonts w:cs="Taher"/>
          <w:vertAlign w:val="superscript"/>
          <w:rtl/>
        </w:rPr>
        <w:t>)</w:t>
      </w:r>
      <w:r w:rsidRPr="00EA09EB">
        <w:rPr>
          <w:rFonts w:hint="cs"/>
          <w:rtl/>
        </w:rPr>
        <w:t xml:space="preserve">. </w:t>
      </w:r>
    </w:p>
    <w:p w:rsidR="00EA09EB" w:rsidRPr="00A32FC0" w:rsidRDefault="00EA09EB" w:rsidP="00EA09EB">
      <w:pPr>
        <w:rPr>
          <w:rtl/>
          <w:lang w:bidi="ar-LB"/>
        </w:rPr>
      </w:pPr>
      <w:r w:rsidRPr="00A32FC0">
        <w:rPr>
          <w:rFonts w:hint="cs"/>
          <w:rtl/>
          <w:lang w:bidi="ar-LB"/>
        </w:rPr>
        <w:t>وصحة الاستدلال على الولاية التعيينيّة المطلقة للفقهاء متوقِّفة على صحّة المقدّمات التالية:</w:t>
      </w:r>
    </w:p>
    <w:p w:rsidR="00EA09EB" w:rsidRPr="00A32FC0" w:rsidRDefault="00EA09EB" w:rsidP="007D79F5">
      <w:pPr>
        <w:pStyle w:val="Normal84"/>
        <w:rPr>
          <w:rtl/>
        </w:rPr>
      </w:pPr>
      <w:r w:rsidRPr="00A32FC0">
        <w:rPr>
          <w:rFonts w:hint="cs"/>
          <w:b/>
          <w:bCs/>
          <w:rtl/>
        </w:rPr>
        <w:t>الأولى</w:t>
      </w:r>
      <w:r w:rsidRPr="00A32FC0">
        <w:rPr>
          <w:rFonts w:hint="cs"/>
          <w:rtl/>
        </w:rPr>
        <w:t>: إن سند الشيخ الطوسيّ إلى الكلينيّ صحيح؛ لأنّ الشيخ الطوسي ينقل عن جماعة، منهم: الشيخ المفيد. وهذه الجماعة تنقل عن جماعة أخرى، بينهم: جعفر بن محمد بن قولويه، وأبو غالب الرازي. وهذه الجماعة الأخيرة تنقل عن الكليني. فأصحاب الطبقات الأربع جميعهم من كبار علماء الإمامية، وأجلاّء الأصحاب. وهذا السند في غاية الاعتبار.</w:t>
      </w:r>
    </w:p>
    <w:p w:rsidR="00EA09EB" w:rsidRPr="00EA09EB" w:rsidRDefault="00EA09EB" w:rsidP="007D79F5">
      <w:pPr>
        <w:pStyle w:val="Normal84"/>
        <w:rPr>
          <w:rtl/>
        </w:rPr>
      </w:pPr>
      <w:r w:rsidRPr="00A32FC0">
        <w:rPr>
          <w:rFonts w:hint="cs"/>
          <w:rtl/>
        </w:rPr>
        <w:t xml:space="preserve">وأما سند الصدوق فلا إشكال فيه أيضاً؛ لأنّ محمّد بن محمّد بن عصام الكلينيّ وإنْ كان لم يوثَّق في كتب الرجال، إلاّ أنّه </w:t>
      </w:r>
      <w:r w:rsidRPr="00A32FC0">
        <w:rPr>
          <w:rFonts w:hint="cs"/>
          <w:b/>
          <w:bCs/>
          <w:rtl/>
        </w:rPr>
        <w:t>أولاً</w:t>
      </w:r>
      <w:r w:rsidRPr="00EA09EB">
        <w:rPr>
          <w:rFonts w:hint="cs"/>
          <w:rtl/>
        </w:rPr>
        <w:t xml:space="preserve">: لم يضعَّف فيها أيضاً؛ </w:t>
      </w:r>
      <w:r w:rsidRPr="00A32FC0">
        <w:rPr>
          <w:rFonts w:hint="cs"/>
          <w:b/>
          <w:bCs/>
          <w:rtl/>
        </w:rPr>
        <w:t>وثانياً</w:t>
      </w:r>
      <w:r w:rsidRPr="00EA09EB">
        <w:rPr>
          <w:rFonts w:hint="cs"/>
          <w:rtl/>
        </w:rPr>
        <w:t xml:space="preserve">: هو من مشايخ الصدوق. ومشايخُ الثقات ثقاتٌ؛ </w:t>
      </w:r>
      <w:r w:rsidRPr="00A32FC0">
        <w:rPr>
          <w:rFonts w:hint="cs"/>
          <w:b/>
          <w:bCs/>
          <w:rtl/>
        </w:rPr>
        <w:t>وثالثاً</w:t>
      </w:r>
      <w:r w:rsidRPr="00EA09EB">
        <w:rPr>
          <w:rFonts w:hint="cs"/>
          <w:rtl/>
        </w:rPr>
        <w:t>: حينما ينقل عنه الصدوق يعقِّب اسمه بالترضّي عليه، الذي يُمكن أن يُستظهر منه التوثيق والمدح، وهذا المقدار كاف للاعتماد على نقله</w:t>
      </w:r>
      <w:r w:rsidRPr="00064619">
        <w:rPr>
          <w:rFonts w:cs="Taher"/>
          <w:vertAlign w:val="superscript"/>
          <w:rtl/>
        </w:rPr>
        <w:t>(</w:t>
      </w:r>
      <w:r w:rsidRPr="00064619">
        <w:rPr>
          <w:rStyle w:val="FootnoteReference"/>
          <w:rFonts w:cs="Taher"/>
          <w:sz w:val="32"/>
          <w:rtl/>
        </w:rPr>
        <w:footnoteReference w:id="720"/>
      </w:r>
      <w:r w:rsidRPr="00064619">
        <w:rPr>
          <w:rFonts w:cs="Taher"/>
          <w:vertAlign w:val="superscript"/>
          <w:rtl/>
        </w:rPr>
        <w:t>)</w:t>
      </w:r>
      <w:r w:rsidRPr="00EA09EB">
        <w:rPr>
          <w:rFonts w:hint="cs"/>
          <w:rtl/>
        </w:rPr>
        <w:t>. وإن كان الكليني لم ينقل هذه الرواية في كتاب «الكافي» فإنّ هذا لا يسبِّب ضعفاً في هذا التوقيع؛ وذلك لاحتمال أن يكون هذا التوقيع قد وصل إليه بعد تأليفه لكتاب «الكافي». بالإضافة إلى أنّ ورود اسم النائب الخاصّ للإمام محمّد بن عثمان العَمْريّ، واسم الشخص الذي صدر في حقّه التوقيع</w:t>
      </w:r>
      <w:r w:rsidR="00B57E2A">
        <w:rPr>
          <w:rFonts w:hint="cs"/>
          <w:rtl/>
        </w:rPr>
        <w:t xml:space="preserve"> </w:t>
      </w:r>
      <w:r w:rsidRPr="00EA09EB">
        <w:rPr>
          <w:rFonts w:hint="cs"/>
          <w:rtl/>
        </w:rPr>
        <w:t>وهو إسحاق بن يعقوب، في التوقيع، كان مانعاً من نشر هذا التوقيع في كتاب عامّ، مثل: «الكافي»؛ لأن ذلك سوف يؤّدي إلى تجاوز فريضة التقيّة، وكشف أسرار الشيعة للسلطة المعادية</w:t>
      </w:r>
      <w:r w:rsidRPr="00064619">
        <w:rPr>
          <w:rFonts w:cs="Taher"/>
          <w:vertAlign w:val="superscript"/>
          <w:rtl/>
        </w:rPr>
        <w:t>(</w:t>
      </w:r>
      <w:r w:rsidRPr="00064619">
        <w:rPr>
          <w:rStyle w:val="FootnoteReference"/>
          <w:rFonts w:cs="Taher"/>
          <w:sz w:val="32"/>
          <w:rtl/>
        </w:rPr>
        <w:footnoteReference w:id="721"/>
      </w:r>
      <w:r w:rsidRPr="00064619">
        <w:rPr>
          <w:rFonts w:cs="Taher"/>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الثانية</w:t>
      </w:r>
      <w:r w:rsidRPr="00EA09EB">
        <w:rPr>
          <w:rFonts w:hint="cs"/>
          <w:rtl/>
        </w:rPr>
        <w:t xml:space="preserve">: إنّ الراوي المباشر للتوقيع، وهو إسحاق بن يعقوب، وإنْ كان لم يُذكَر أو يوثَّق في كتب الرجال، إلاّ أنّه بعد الالتفات إلى القرائن التالية لن يكون هناك إشكال في سند الحديث: </w:t>
      </w:r>
    </w:p>
    <w:p w:rsidR="00EA09EB" w:rsidRPr="00A32FC0" w:rsidRDefault="00EA09EB" w:rsidP="00EA09EB">
      <w:pPr>
        <w:rPr>
          <w:rtl/>
          <w:lang w:bidi="ar-LB"/>
        </w:rPr>
      </w:pPr>
      <w:r w:rsidRPr="00A32FC0">
        <w:rPr>
          <w:rFonts w:hint="cs"/>
          <w:rtl/>
          <w:lang w:bidi="ar-LB"/>
        </w:rPr>
        <w:t>1ـ إنّ الذي نقل عنه هو ثقة الإسلام الكلينيّ. وهو ليس راوياً عاديّاً.</w:t>
      </w:r>
    </w:p>
    <w:p w:rsidR="00EA09EB" w:rsidRPr="00A32FC0" w:rsidRDefault="00EA09EB" w:rsidP="00B57E2A">
      <w:pPr>
        <w:rPr>
          <w:rtl/>
          <w:lang w:bidi="ar-LB"/>
        </w:rPr>
      </w:pPr>
      <w:r w:rsidRPr="00A32FC0">
        <w:rPr>
          <w:rFonts w:hint="cs"/>
          <w:rtl/>
          <w:lang w:bidi="ar-LB"/>
        </w:rPr>
        <w:t>2ـ إنّ موضوع الرواية هو توقيع الناحية المقدَّسة، أي الإمام المهدي</w:t>
      </w:r>
      <w:r w:rsidR="00B57E2A">
        <w:rPr>
          <w:rFonts w:hint="cs"/>
          <w:rtl/>
        </w:rPr>
        <w:t>×</w:t>
      </w:r>
      <w:r w:rsidRPr="00A32FC0">
        <w:rPr>
          <w:rFonts w:hint="cs"/>
          <w:rtl/>
          <w:lang w:bidi="ar-LB"/>
        </w:rPr>
        <w:t>، وليس رواية عاديّة.</w:t>
      </w:r>
    </w:p>
    <w:p w:rsidR="00EA09EB" w:rsidRPr="00A32FC0" w:rsidRDefault="00EA09EB" w:rsidP="00EA09EB">
      <w:pPr>
        <w:rPr>
          <w:rtl/>
          <w:lang w:bidi="ar-LB"/>
        </w:rPr>
      </w:pPr>
      <w:r w:rsidRPr="00A32FC0">
        <w:rPr>
          <w:rFonts w:hint="cs"/>
          <w:rtl/>
          <w:lang w:bidi="ar-LB"/>
        </w:rPr>
        <w:t>وتواقيع الإمام</w:t>
      </w:r>
      <w:r>
        <w:rPr>
          <w:rFonts w:hint="cs"/>
          <w:rtl/>
        </w:rPr>
        <w:t>×</w:t>
      </w:r>
      <w:r w:rsidRPr="00A32FC0">
        <w:rPr>
          <w:rFonts w:hint="cs"/>
          <w:rtl/>
          <w:lang w:bidi="ar-LB"/>
        </w:rPr>
        <w:t xml:space="preserve"> لم تكن تصدر إلاّ لأشخاص محدَّدين. واحتمال اختلاق شيءٍ من مضمون التوقيع أو كلّ مضمونه بعيدٌ جدّاً، بَعْدَ نقل الكلينيّ له.</w:t>
      </w:r>
    </w:p>
    <w:p w:rsidR="00EA09EB" w:rsidRPr="00A32FC0" w:rsidRDefault="00EA09EB" w:rsidP="00EA09EB">
      <w:pPr>
        <w:rPr>
          <w:rtl/>
          <w:lang w:bidi="ar-LB"/>
        </w:rPr>
      </w:pPr>
      <w:r w:rsidRPr="00EA09EB">
        <w:rPr>
          <w:rFonts w:hint="cs"/>
          <w:rtl/>
        </w:rPr>
        <w:t>3ـ إن الرواة اللاحقين لهذا التوقيع، كالشيخ المفيد والشيخ الصدوق، يُعَدّون من كبار فقهاء الشيعة. وقد اتَّفق الجميع على صحّة هذا الحديث من ناحية السند</w:t>
      </w:r>
      <w:r w:rsidRPr="00064619">
        <w:rPr>
          <w:rFonts w:cs="Taher"/>
          <w:vertAlign w:val="superscript"/>
          <w:rtl/>
          <w:lang w:bidi="ar-LB"/>
        </w:rPr>
        <w:t>(</w:t>
      </w:r>
      <w:r w:rsidRPr="00064619">
        <w:rPr>
          <w:rStyle w:val="FootnoteReference"/>
          <w:rFonts w:cs="Taher"/>
          <w:sz w:val="32"/>
          <w:rtl/>
          <w:lang w:bidi="ar-LB"/>
        </w:rPr>
        <w:footnoteReference w:id="722"/>
      </w:r>
      <w:r w:rsidRPr="00064619">
        <w:rPr>
          <w:rFonts w:cs="Taher"/>
          <w:vertAlign w:val="superscript"/>
          <w:rtl/>
          <w:lang w:bidi="ar-LB"/>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4ـ إن إسحاق بن يعقوب هو أخو محمد بن يعقوب الكلينيّ</w:t>
      </w:r>
      <w:r w:rsidRPr="00064619">
        <w:rPr>
          <w:rFonts w:cs="Taher"/>
          <w:vertAlign w:val="superscript"/>
          <w:rtl/>
          <w:lang w:bidi="ar-LB"/>
        </w:rPr>
        <w:t>(</w:t>
      </w:r>
      <w:r w:rsidRPr="00064619">
        <w:rPr>
          <w:rStyle w:val="FootnoteReference"/>
          <w:rFonts w:cs="Taher"/>
          <w:sz w:val="32"/>
          <w:rtl/>
          <w:lang w:bidi="ar-LB"/>
        </w:rPr>
        <w:footnoteReference w:id="723"/>
      </w:r>
      <w:r w:rsidRPr="00064619">
        <w:rPr>
          <w:rFonts w:cs="Taher"/>
          <w:vertAlign w:val="superscript"/>
          <w:rtl/>
          <w:lang w:bidi="ar-LB"/>
        </w:rPr>
        <w:t>)</w:t>
      </w:r>
      <w:r w:rsidRPr="00A32FC0">
        <w:rPr>
          <w:rFonts w:hint="cs"/>
          <w:rtl/>
          <w:lang w:bidi="ar-LB"/>
        </w:rPr>
        <w:t>. وأخو شخص جليل القدر، كالكلينيّ، لا يمكن أن يكون غير قابل للاعتماد.</w:t>
      </w:r>
    </w:p>
    <w:p w:rsidR="00EA09EB" w:rsidRPr="00EA09EB" w:rsidRDefault="00EA09EB" w:rsidP="00EA09EB">
      <w:pPr>
        <w:rPr>
          <w:rtl/>
        </w:rPr>
      </w:pPr>
      <w:r w:rsidRPr="00A32FC0">
        <w:rPr>
          <w:rFonts w:hint="cs"/>
          <w:rtl/>
          <w:lang w:bidi="ar-LB"/>
        </w:rPr>
        <w:t>5ـ لقد جاء في نصّ التوقيع كلمات عن الإمام</w:t>
      </w:r>
      <w:r>
        <w:rPr>
          <w:rFonts w:hint="cs"/>
          <w:rtl/>
        </w:rPr>
        <w:t>×</w:t>
      </w:r>
      <w:r>
        <w:rPr>
          <w:rFonts w:hint="cs"/>
          <w:rtl/>
          <w:lang w:bidi="ar-LB"/>
        </w:rPr>
        <w:t>،</w:t>
      </w:r>
      <w:r w:rsidRPr="00A32FC0">
        <w:rPr>
          <w:rFonts w:hint="cs"/>
          <w:rtl/>
          <w:lang w:bidi="ar-LB"/>
        </w:rPr>
        <w:t xml:space="preserve"> من قبيل: </w:t>
      </w:r>
      <w:r w:rsidRPr="00A32FC0">
        <w:rPr>
          <w:rFonts w:hint="cs"/>
          <w:rtl/>
        </w:rPr>
        <w:t>«</w:t>
      </w:r>
      <w:r w:rsidRPr="00A32FC0">
        <w:rPr>
          <w:rFonts w:hint="cs"/>
          <w:rtl/>
          <w:lang w:bidi="ar-LB"/>
        </w:rPr>
        <w:t>أرشدك الله وثبَّتك</w:t>
      </w:r>
      <w:r w:rsidRPr="00A32FC0">
        <w:rPr>
          <w:rFonts w:hint="cs"/>
          <w:rtl/>
        </w:rPr>
        <w:t>»،</w:t>
      </w:r>
      <w:r w:rsidRPr="00A32FC0">
        <w:rPr>
          <w:rFonts w:hint="cs"/>
          <w:rtl/>
          <w:lang w:bidi="ar-LB"/>
        </w:rPr>
        <w:t xml:space="preserve"> أو </w:t>
      </w:r>
      <w:r w:rsidRPr="00A32FC0">
        <w:rPr>
          <w:rFonts w:hint="cs"/>
          <w:rtl/>
        </w:rPr>
        <w:t>«</w:t>
      </w:r>
      <w:r w:rsidRPr="00A32FC0">
        <w:rPr>
          <w:rFonts w:hint="cs"/>
          <w:rtl/>
          <w:lang w:bidi="ar-LB"/>
        </w:rPr>
        <w:t>السلام عليكَ يا إسحاق بن يعقوب، ومَنْ اتَّبع الهدى</w:t>
      </w:r>
      <w:r w:rsidRPr="00A32FC0">
        <w:rPr>
          <w:rFonts w:hint="cs"/>
          <w:rtl/>
        </w:rPr>
        <w:t>»،</w:t>
      </w:r>
      <w:r w:rsidRPr="00A32FC0">
        <w:rPr>
          <w:rFonts w:hint="cs"/>
          <w:rtl/>
          <w:lang w:bidi="ar-LB"/>
        </w:rPr>
        <w:t xml:space="preserve"> تشير إلى وثاقته ومدحه من قِبَل الإمام</w:t>
      </w:r>
      <w:r>
        <w:rPr>
          <w:rFonts w:hint="cs"/>
          <w:rtl/>
        </w:rPr>
        <w:t>×</w:t>
      </w:r>
      <w:r w:rsidRPr="00064619">
        <w:rPr>
          <w:rFonts w:cs="Taher"/>
          <w:vertAlign w:val="superscript"/>
          <w:rtl/>
        </w:rPr>
        <w:t>(</w:t>
      </w:r>
      <w:r w:rsidRPr="00064619">
        <w:rPr>
          <w:rStyle w:val="FootnoteReference"/>
          <w:rFonts w:cs="Taher"/>
          <w:sz w:val="32"/>
          <w:rtl/>
        </w:rPr>
        <w:footnoteReference w:id="724"/>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وعلى هذا يكون سند التوقيع خالياً من </w:t>
      </w:r>
      <w:r>
        <w:rPr>
          <w:rFonts w:hint="cs"/>
          <w:rtl/>
          <w:lang w:bidi="ar-LB"/>
        </w:rPr>
        <w:t>أيّ</w:t>
      </w:r>
      <w:r w:rsidRPr="00A32FC0">
        <w:rPr>
          <w:rFonts w:hint="cs"/>
          <w:rtl/>
          <w:lang w:bidi="ar-LB"/>
        </w:rPr>
        <w:t xml:space="preserve"> خدشة أو إشكال.</w:t>
      </w:r>
    </w:p>
    <w:p w:rsidR="00EA09EB" w:rsidRPr="00EA09EB" w:rsidRDefault="00EA09EB" w:rsidP="00EA09EB">
      <w:pPr>
        <w:rPr>
          <w:rtl/>
        </w:rPr>
      </w:pPr>
      <w:r w:rsidRPr="007A340E">
        <w:rPr>
          <w:rFonts w:hint="cs"/>
          <w:b/>
          <w:bCs/>
          <w:rtl/>
        </w:rPr>
        <w:t>الثالثة</w:t>
      </w:r>
      <w:r w:rsidRPr="00EA09EB">
        <w:rPr>
          <w:rFonts w:hint="cs"/>
          <w:rtl/>
        </w:rPr>
        <w:t>: إنّ المراد من «رواة حديثنا» هم فقهاء الإمامية؛ لأنّ مجرّد نقل الحديث لا يتناسب مع التصدّي لمنصب هامّ كالمرجعيّة في الحوادث الواقعة. بالإضافة إلى أنه</w:t>
      </w:r>
      <w:r>
        <w:rPr>
          <w:rFonts w:hint="cs"/>
          <w:rtl/>
        </w:rPr>
        <w:t>×</w:t>
      </w:r>
      <w:r w:rsidRPr="00EA09EB">
        <w:rPr>
          <w:rFonts w:hint="cs"/>
          <w:rtl/>
        </w:rPr>
        <w:t xml:space="preserve"> قال: «إنّهم حجّتي»، ولم يقُلْ: «رواياتهم حجّتي»، ممّا لا يتناسب إلاّ مع الفقهاء.</w:t>
      </w:r>
    </w:p>
    <w:p w:rsidR="00EA09EB" w:rsidRPr="00EA09EB" w:rsidRDefault="00EA09EB" w:rsidP="007A340E">
      <w:pPr>
        <w:ind w:firstLine="283"/>
        <w:rPr>
          <w:rtl/>
        </w:rPr>
      </w:pPr>
      <w:r w:rsidRPr="007A340E">
        <w:rPr>
          <w:rFonts w:hint="cs"/>
          <w:b/>
          <w:bCs/>
          <w:rtl/>
        </w:rPr>
        <w:t>الرابعة</w:t>
      </w:r>
      <w:r w:rsidRPr="00EA09EB">
        <w:rPr>
          <w:rFonts w:hint="cs"/>
          <w:rtl/>
        </w:rPr>
        <w:t>: إن الأمر بالرجوع إلى رواة حديثهم مطلق، ويشمل ثلاثة أنواع من الرجوع: الرجوع في المرافعات والمنازعات؛ والرجوع في الإفتاء؛ والرجوع في تدبير شؤون الأمة وإدارة المجتمع.</w:t>
      </w:r>
    </w:p>
    <w:p w:rsidR="00EA09EB" w:rsidRPr="00EA09EB" w:rsidRDefault="00EA09EB" w:rsidP="007A340E">
      <w:pPr>
        <w:ind w:firstLine="283"/>
        <w:rPr>
          <w:rtl/>
        </w:rPr>
      </w:pPr>
      <w:r w:rsidRPr="007A340E">
        <w:rPr>
          <w:rFonts w:hint="cs"/>
          <w:b/>
          <w:bCs/>
          <w:rtl/>
        </w:rPr>
        <w:t>فأولاً</w:t>
      </w:r>
      <w:r w:rsidRPr="00EA09EB">
        <w:rPr>
          <w:rFonts w:hint="cs"/>
          <w:rtl/>
        </w:rPr>
        <w:t>: إنّ الرجوع إلى الفقهاء؛ للإفتاء وبيان الأحكام الشرعية، كان من الأمور الواضحة في عصر الغيبة. فلا يمكن أن يكون موضوع السؤال هو الاستفسار عن مرجع الإفتاء في الأحكام الشرعيّة.</w:t>
      </w:r>
    </w:p>
    <w:p w:rsidR="00EA09EB" w:rsidRPr="00EA09EB" w:rsidRDefault="00EA09EB" w:rsidP="00B57E2A">
      <w:pPr>
        <w:ind w:firstLine="283"/>
        <w:rPr>
          <w:rtl/>
        </w:rPr>
      </w:pPr>
      <w:r w:rsidRPr="007A340E">
        <w:rPr>
          <w:rFonts w:hint="cs"/>
          <w:b/>
          <w:bCs/>
          <w:rtl/>
        </w:rPr>
        <w:t>وثانياً</w:t>
      </w:r>
      <w:r w:rsidRPr="00EA09EB">
        <w:rPr>
          <w:rFonts w:hint="cs"/>
          <w:rtl/>
        </w:rPr>
        <w:t xml:space="preserve">: من البعيد أن يكون الراوي قد سأل في هذا التوقيع أسئلة خاصّة وجزئيّة، </w:t>
      </w:r>
      <w:r w:rsidR="00B57E2A">
        <w:rPr>
          <w:rFonts w:hint="cs"/>
          <w:rtl/>
        </w:rPr>
        <w:t>بحيث تكون</w:t>
      </w:r>
      <w:r w:rsidRPr="00EA09EB">
        <w:rPr>
          <w:rFonts w:hint="cs"/>
          <w:rtl/>
        </w:rPr>
        <w:t xml:space="preserve"> «الـ» في «الحوادث» هي «الـ» العهدية، بل المراد من «الـ» في «الحوادث» «الـ» الاستغراقية. وبعبارة أخرى: ليس المراد هنا أحكام الحوادث، بل الحوادث نفسها. فالفقهاء هم المرجع في تدبير الحوادث، بعد الفراغ من كونهم المرجع في تبيين أحكام الحوادث أيضاً.</w:t>
      </w:r>
    </w:p>
    <w:p w:rsidR="00EA09EB" w:rsidRPr="00EA09EB" w:rsidRDefault="00EA09EB" w:rsidP="00EA09EB">
      <w:pPr>
        <w:rPr>
          <w:rtl/>
        </w:rPr>
      </w:pPr>
      <w:r w:rsidRPr="007A340E">
        <w:rPr>
          <w:rFonts w:hint="cs"/>
          <w:b/>
          <w:bCs/>
          <w:rtl/>
        </w:rPr>
        <w:t>وثالثاً</w:t>
      </w:r>
      <w:r w:rsidRPr="00EA09EB">
        <w:rPr>
          <w:rFonts w:hint="cs"/>
          <w:rtl/>
        </w:rPr>
        <w:t>: إنّ عبارة «فإنّهم حجّتي عليكم» مطلقة. وهي في حكم القضيّة الحقيقيّة. وحيث إن حجّيّة الإمام</w:t>
      </w:r>
      <w:r>
        <w:rPr>
          <w:rFonts w:hint="cs"/>
          <w:rtl/>
        </w:rPr>
        <w:t>×</w:t>
      </w:r>
      <w:r w:rsidRPr="00EA09EB">
        <w:rPr>
          <w:rFonts w:hint="cs"/>
          <w:rtl/>
        </w:rPr>
        <w:t xml:space="preserve"> جارية في جميع الأمور، فبقرينة المقابلة تكون حجّيّة الفقهاء أيضاً شاملة لجميع الأمور «الإفتاء، والقضاء، والتدبير». وبعبارة أخرى: إن الفقهاء أصحاب ولاية كالأئمّة. والمراد من الحجّة هنا أنه يجب الرجوع إليهم. فهو تكليف. والرجوع إلى غيرهم في الأمور الشرعية والقضاء والتدبير غير جائز</w:t>
      </w:r>
      <w:r w:rsidRPr="00064619">
        <w:rPr>
          <w:rFonts w:cs="Taher"/>
          <w:sz w:val="32"/>
          <w:vertAlign w:val="superscript"/>
          <w:rtl/>
          <w:lang w:bidi="ar-LB"/>
        </w:rPr>
        <w:t>(</w:t>
      </w:r>
      <w:r w:rsidRPr="00064619">
        <w:rPr>
          <w:rStyle w:val="FootnoteReference"/>
          <w:rFonts w:cs="Taher"/>
          <w:sz w:val="32"/>
          <w:rtl/>
          <w:lang w:bidi="ar-LB"/>
        </w:rPr>
        <w:footnoteReference w:id="725"/>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وعلى هذا فإنّ المرجع في تدبير الحوادث الواقعة هم الفقهاء. وهذا يعني أن الولاية الشرعيّة في الأمور العامّة قد أنيطت بهم.</w:t>
      </w:r>
    </w:p>
    <w:p w:rsidR="00EA09EB" w:rsidRPr="00A32FC0" w:rsidRDefault="00EA09EB" w:rsidP="00EA09EB">
      <w:pPr>
        <w:rPr>
          <w:rtl/>
          <w:lang w:bidi="ar-LB"/>
        </w:rPr>
      </w:pPr>
      <w:r w:rsidRPr="00A32FC0">
        <w:rPr>
          <w:rFonts w:hint="cs"/>
          <w:b/>
          <w:bCs/>
          <w:rtl/>
          <w:lang w:bidi="ar-LB"/>
        </w:rPr>
        <w:t>الخامسة</w:t>
      </w:r>
      <w:r w:rsidRPr="00A32FC0">
        <w:rPr>
          <w:rFonts w:hint="cs"/>
          <w:rtl/>
          <w:lang w:bidi="ar-LB"/>
        </w:rPr>
        <w:t>: إنّ تدبير شؤون المجتمع وأعمال الولاية هي من وظائف الفقيه، حتّى لو كانت المسألة واضحة من حيث الحكم، وكان البحث في تطبيق الحكم على الموضوع وتشخيص الموضوعات الخارجيّة. والمراد أساساً من ولاية الفقيه هو مرجعيّته في مثل هذه الأمور، وإلاّ فإنّ المرجعية في بيان الأحكام يمكن أن تثبت للفقيه من دون ولاية الفقيه، عن طريق الإشراف أو الشورى.</w:t>
      </w:r>
    </w:p>
    <w:p w:rsidR="00EA09EB" w:rsidRPr="00EA09EB" w:rsidRDefault="00EA09EB" w:rsidP="00EA09EB">
      <w:pPr>
        <w:rPr>
          <w:rtl/>
        </w:rPr>
      </w:pPr>
      <w:r w:rsidRPr="00A32FC0">
        <w:rPr>
          <w:rFonts w:hint="cs"/>
          <w:rtl/>
          <w:lang w:bidi="ar-LB"/>
        </w:rPr>
        <w:t>والمرجعيّة في الحوادث الواقعة أعمّ من الحكم والموضوع. ومرجعيّة الفقهاء في الأمور الاجتماعيّة والحوادث العامّة هي أعمّ حكماً وموضوعاً</w:t>
      </w:r>
      <w:r w:rsidRPr="00064619">
        <w:rPr>
          <w:rFonts w:cs="Taher"/>
          <w:vertAlign w:val="superscript"/>
          <w:rtl/>
          <w:lang w:bidi="ar-LB"/>
        </w:rPr>
        <w:t>(</w:t>
      </w:r>
      <w:r w:rsidRPr="00064619">
        <w:rPr>
          <w:rStyle w:val="FootnoteReference"/>
          <w:rFonts w:cs="Taher"/>
          <w:sz w:val="32"/>
          <w:rtl/>
          <w:lang w:bidi="ar-LB"/>
        </w:rPr>
        <w:footnoteReference w:id="726"/>
      </w:r>
      <w:r w:rsidRPr="00064619">
        <w:rPr>
          <w:rFonts w:cs="Taher"/>
          <w:vertAlign w:val="superscript"/>
          <w:rtl/>
          <w:lang w:bidi="ar-LB"/>
        </w:rPr>
        <w:t>)</w:t>
      </w:r>
      <w:r w:rsidRPr="00EA09EB">
        <w:rPr>
          <w:rFonts w:hint="cs"/>
          <w:rtl/>
        </w:rPr>
        <w:t>.</w:t>
      </w:r>
    </w:p>
    <w:p w:rsidR="00EA09EB" w:rsidRPr="00EA09EB" w:rsidRDefault="00EA09EB" w:rsidP="007A340E">
      <w:pPr>
        <w:ind w:firstLine="283"/>
        <w:rPr>
          <w:rtl/>
        </w:rPr>
      </w:pPr>
      <w:r w:rsidRPr="007A340E">
        <w:rPr>
          <w:rFonts w:hint="cs"/>
          <w:b/>
          <w:bCs/>
          <w:rtl/>
        </w:rPr>
        <w:t>السادسة</w:t>
      </w:r>
      <w:r w:rsidRPr="00EA09EB">
        <w:rPr>
          <w:rFonts w:hint="cs"/>
          <w:rtl/>
        </w:rPr>
        <w:t>: هناك ملازمة بين كون الفقهاء حجّة وبين تعيينهم، بمعنى أنّ الملازمة تقتضي تعيين الفقهاء في مناصب الإفتاء والقضاء والولاية قبل أن يكونوا حجّة. وبدون هذا التعيين المسبق يكون اعتبارهم حجّة بلا معنى. بالإضافة إلى أنّ الأمر بالرجوع إليهم في الحوادث الواقعة يتلازم مع المناصب الثلاثة المذكورة لهم. ويستخلص من هذا الأمر أن الفقهاء هم المرجع في الحوادث الواقعة</w:t>
      </w:r>
      <w:r w:rsidRPr="00064619">
        <w:rPr>
          <w:rFonts w:cs="Taher"/>
          <w:sz w:val="32"/>
          <w:vertAlign w:val="superscript"/>
          <w:rtl/>
          <w:lang w:bidi="ar-LB"/>
        </w:rPr>
        <w:t>(</w:t>
      </w:r>
      <w:r w:rsidRPr="00064619">
        <w:rPr>
          <w:rStyle w:val="FootnoteReference"/>
          <w:rFonts w:cs="Taher"/>
          <w:sz w:val="32"/>
          <w:rtl/>
          <w:lang w:bidi="ar-LB"/>
        </w:rPr>
        <w:footnoteReference w:id="727"/>
      </w:r>
      <w:r w:rsidRPr="00064619">
        <w:rPr>
          <w:rFonts w:cs="Taher"/>
          <w:sz w:val="32"/>
          <w:vertAlign w:val="superscript"/>
          <w:rtl/>
          <w:lang w:bidi="ar-LB"/>
        </w:rPr>
        <w:t>)</w:t>
      </w:r>
      <w:r w:rsidRPr="00EA09EB">
        <w:rPr>
          <w:rFonts w:hint="cs"/>
          <w:rtl/>
        </w:rPr>
        <w:t>.</w:t>
      </w:r>
    </w:p>
    <w:p w:rsidR="00EA09EB" w:rsidRPr="00A32FC0" w:rsidRDefault="00EA09EB" w:rsidP="007D79F5">
      <w:pPr>
        <w:pStyle w:val="Normal87"/>
        <w:rPr>
          <w:rtl/>
        </w:rPr>
      </w:pPr>
      <w:r w:rsidRPr="00A32FC0">
        <w:rPr>
          <w:rFonts w:hint="cs"/>
          <w:b/>
          <w:bCs/>
          <w:rtl/>
        </w:rPr>
        <w:t>السابعة</w:t>
      </w:r>
      <w:r w:rsidRPr="00EA09EB">
        <w:rPr>
          <w:rFonts w:hint="cs"/>
          <w:rtl/>
        </w:rPr>
        <w:t>: إنّ الأمر بالرجوع إلى الفقهاء في الحوادث الواقعة من جهة، وكون حجّيّة الفقهاء كحجّيّة الأئمّة من جهة أخرى، وكون ولاية الأئمّة المطلقة من جهة ثالثة، كلّ ذلك يثبت أنّ للفقهاء ولاية مطلقة، كالأئمّة</w:t>
      </w:r>
      <w:r w:rsidR="007A340E">
        <w:rPr>
          <w:rFonts w:hint="cs"/>
          <w:rtl/>
        </w:rPr>
        <w:t>^</w:t>
      </w:r>
      <w:r w:rsidRPr="00EA09EB">
        <w:rPr>
          <w:rFonts w:hint="cs"/>
          <w:rtl/>
        </w:rPr>
        <w:t xml:space="preserve">؛ لأنّه </w:t>
      </w:r>
      <w:r w:rsidRPr="00A32FC0">
        <w:rPr>
          <w:rFonts w:hint="cs"/>
          <w:b/>
          <w:bCs/>
          <w:rtl/>
        </w:rPr>
        <w:t>أولاً</w:t>
      </w:r>
      <w:r w:rsidRPr="00EA09EB">
        <w:rPr>
          <w:rFonts w:hint="cs"/>
          <w:rtl/>
        </w:rPr>
        <w:t xml:space="preserve">: لم يقيَّد الرجوع في الحوادث الواقعة بحالة خاصّة؛ </w:t>
      </w:r>
      <w:r w:rsidRPr="00A32FC0">
        <w:rPr>
          <w:rFonts w:hint="cs"/>
          <w:b/>
          <w:bCs/>
          <w:rtl/>
        </w:rPr>
        <w:t>وثانياً</w:t>
      </w:r>
      <w:r w:rsidRPr="00A32FC0">
        <w:rPr>
          <w:rFonts w:hint="cs"/>
          <w:rtl/>
        </w:rPr>
        <w:t>: إنّ كون الفقهاء حجّة لم يخصَّص أيضاً</w:t>
      </w:r>
      <w:r>
        <w:rPr>
          <w:rFonts w:hint="cs"/>
          <w:rtl/>
        </w:rPr>
        <w:t>.</w:t>
      </w:r>
      <w:r w:rsidRPr="00A32FC0">
        <w:rPr>
          <w:rFonts w:hint="cs"/>
          <w:rtl/>
        </w:rPr>
        <w:t xml:space="preserve"> لذلك فولاية الفقهاء غير مقيَّدة بأيّ قيد، أي إن ولايتهم مطلقة، ويتمتَّعون بجميع صلاحيّات المعصومين، باستثناء بعض خصوصيّاتهم</w:t>
      </w:r>
      <w:r w:rsidR="007A340E">
        <w:rPr>
          <w:rFonts w:hint="cs"/>
          <w:rtl/>
        </w:rPr>
        <w:t>^</w:t>
      </w:r>
      <w:r w:rsidRPr="00A32FC0">
        <w:rPr>
          <w:rFonts w:hint="cs"/>
          <w:rtl/>
        </w:rPr>
        <w:t xml:space="preserve">. </w:t>
      </w:r>
    </w:p>
    <w:p w:rsidR="00EA09EB" w:rsidRPr="00A32FC0" w:rsidRDefault="00EA09EB" w:rsidP="007D79F5">
      <w:pPr>
        <w:pStyle w:val="Normal84"/>
        <w:rPr>
          <w:rtl/>
        </w:rPr>
      </w:pPr>
      <w:r w:rsidRPr="00A32FC0">
        <w:rPr>
          <w:rFonts w:hint="cs"/>
          <w:rtl/>
        </w:rPr>
        <w:t>لقد ناقش جمعٌ من الفقهاء بصحّة الاستناد إلى هذا الحديث؛ لإثبات الولاية التعيينيّة للفقيه، ومنهم: الآخوند الخراساني صاحب «الكفاية»، والميرزا النائينيّ، والآقا ضياء الدين العراقيّ، والمحقِّق الإصفهاني الكمپاني، والسيد الحكيم، والسيد أحمد الخوانساري، والسيد الخوئيّ</w:t>
      </w:r>
      <w:r w:rsidRPr="00064619">
        <w:rPr>
          <w:rFonts w:cs="Taher"/>
          <w:vertAlign w:val="superscript"/>
          <w:rtl/>
        </w:rPr>
        <w:t>(</w:t>
      </w:r>
      <w:r w:rsidRPr="00064619">
        <w:rPr>
          <w:rStyle w:val="FootnoteReference"/>
          <w:rFonts w:cs="Taher"/>
          <w:sz w:val="32"/>
          <w:rtl/>
        </w:rPr>
        <w:footnoteReference w:id="728"/>
      </w:r>
      <w:r w:rsidRPr="00064619">
        <w:rPr>
          <w:rFonts w:cs="Taher"/>
          <w:vertAlign w:val="superscript"/>
          <w:rtl/>
        </w:rPr>
        <w:t>)</w:t>
      </w:r>
      <w:r w:rsidRPr="00A32FC0">
        <w:rPr>
          <w:rFonts w:hint="cs"/>
          <w:rtl/>
        </w:rPr>
        <w:t>.</w:t>
      </w:r>
    </w:p>
    <w:p w:rsidR="00EA09EB" w:rsidRPr="00A32FC0" w:rsidRDefault="00EA09EB" w:rsidP="00B57E2A">
      <w:pPr>
        <w:rPr>
          <w:rtl/>
          <w:lang w:bidi="ar-LB"/>
        </w:rPr>
      </w:pPr>
      <w:r w:rsidRPr="00A32FC0">
        <w:rPr>
          <w:rFonts w:hint="cs"/>
          <w:rtl/>
          <w:lang w:bidi="ar-LB"/>
        </w:rPr>
        <w:t>وسوف نستعرض المناقشات الواردة عليها طبقاً لترتيب المقدّمات المذكورة.</w:t>
      </w:r>
    </w:p>
    <w:p w:rsidR="00EA09EB" w:rsidRPr="00EA09EB" w:rsidRDefault="00EA09EB" w:rsidP="007D79F5">
      <w:pPr>
        <w:pStyle w:val="Normal87"/>
        <w:rPr>
          <w:rtl/>
        </w:rPr>
      </w:pPr>
      <w:r w:rsidRPr="00A32FC0">
        <w:rPr>
          <w:rFonts w:hint="cs"/>
          <w:rtl/>
        </w:rPr>
        <w:t xml:space="preserve">أمّا المقدّمة الأولى </w:t>
      </w:r>
      <w:r w:rsidRPr="00A32FC0">
        <w:rPr>
          <w:rtl/>
        </w:rPr>
        <w:t>ـ</w:t>
      </w:r>
      <w:r w:rsidRPr="00A32FC0">
        <w:rPr>
          <w:rFonts w:hint="cs"/>
          <w:rtl/>
        </w:rPr>
        <w:t xml:space="preserve"> أي اعتبار السند إلى الكلينيّ </w:t>
      </w:r>
      <w:r w:rsidRPr="00A32FC0">
        <w:rPr>
          <w:rtl/>
        </w:rPr>
        <w:t>ـ</w:t>
      </w:r>
      <w:r w:rsidRPr="00A32FC0">
        <w:rPr>
          <w:rFonts w:hint="cs"/>
          <w:rtl/>
        </w:rPr>
        <w:t xml:space="preserve"> </w:t>
      </w:r>
      <w:r w:rsidRPr="00A32FC0">
        <w:rPr>
          <w:rFonts w:hint="cs"/>
          <w:b/>
          <w:bCs/>
          <w:rtl/>
        </w:rPr>
        <w:t>فأولاً</w:t>
      </w:r>
      <w:r w:rsidRPr="00EA09EB">
        <w:rPr>
          <w:rFonts w:hint="cs"/>
          <w:rtl/>
        </w:rPr>
        <w:t>: إن عدم نقل الكليني هذه الرواية في كتابه «الكافي» يخدش في اعتبار الرواية. وبالالتفات إلى زمان تأليف الكافي، وزمان وفاة الكليني، التي تزامنت مع انتهاء الغيبة الصغرى، يؤدّي إلى تضعيف احتمال أن يكون التوقيع قد وصل إلى يد الكليني بعد فراغه من تأليف «الكافي». بالإضافة إلى أنه استمر عشرين عاماً</w:t>
      </w:r>
      <w:r w:rsidR="00B57E2A" w:rsidRPr="00064619">
        <w:rPr>
          <w:rFonts w:cs="Taher"/>
          <w:vertAlign w:val="superscript"/>
          <w:rtl/>
        </w:rPr>
        <w:t>(</w:t>
      </w:r>
      <w:r w:rsidR="00B57E2A" w:rsidRPr="00064619">
        <w:rPr>
          <w:rStyle w:val="FootnoteReference"/>
          <w:rFonts w:cs="Taher"/>
          <w:sz w:val="32"/>
          <w:rtl/>
        </w:rPr>
        <w:footnoteReference w:id="729"/>
      </w:r>
      <w:r w:rsidR="00B57E2A" w:rsidRPr="00064619">
        <w:rPr>
          <w:rFonts w:cs="Taher"/>
          <w:vertAlign w:val="superscript"/>
          <w:rtl/>
        </w:rPr>
        <w:t>)</w:t>
      </w:r>
      <w:r w:rsidRPr="00EA09EB">
        <w:rPr>
          <w:rFonts w:hint="cs"/>
          <w:rtl/>
        </w:rPr>
        <w:t xml:space="preserve"> باختيار أحاديث «الكافي» من بين كتب الحديث، لذلك لم تكن جميع الأحاديث مدوَّنة في «الكافي»، بل اقتصر على «الآثار الصحيحة عن الصادقين</w:t>
      </w:r>
      <w:r w:rsidR="007A340E">
        <w:rPr>
          <w:rFonts w:hint="cs"/>
          <w:rtl/>
        </w:rPr>
        <w:t>^</w:t>
      </w:r>
      <w:r w:rsidRPr="00EA09EB">
        <w:rPr>
          <w:rFonts w:hint="cs"/>
          <w:rtl/>
        </w:rPr>
        <w:t>»</w:t>
      </w:r>
      <w:r w:rsidRPr="00064619">
        <w:rPr>
          <w:rFonts w:cs="Taher"/>
          <w:vertAlign w:val="superscript"/>
          <w:rtl/>
        </w:rPr>
        <w:t>(</w:t>
      </w:r>
      <w:r w:rsidRPr="00064619">
        <w:rPr>
          <w:rStyle w:val="FootnoteReference"/>
          <w:rFonts w:cs="Taher"/>
          <w:sz w:val="32"/>
          <w:rtl/>
        </w:rPr>
        <w:footnoteReference w:id="730"/>
      </w:r>
      <w:r w:rsidRPr="00064619">
        <w:rPr>
          <w:rFonts w:cs="Taher"/>
          <w:vertAlign w:val="superscript"/>
          <w:rtl/>
        </w:rPr>
        <w:t>)</w:t>
      </w:r>
      <w:r w:rsidRPr="00EA09EB">
        <w:rPr>
          <w:rFonts w:hint="cs"/>
          <w:rtl/>
        </w:rPr>
        <w:t>، وهذا يعزِّز احتمال أن يكون عدم ذكر الكلينيّ لتوقيع إسحاق بن يعقوب في «الكافي» لضعفه.</w:t>
      </w:r>
    </w:p>
    <w:p w:rsidR="00EA09EB" w:rsidRPr="00A32FC0" w:rsidRDefault="00EA09EB" w:rsidP="007D79F5">
      <w:pPr>
        <w:pStyle w:val="Normal84"/>
        <w:rPr>
          <w:rtl/>
        </w:rPr>
      </w:pPr>
      <w:r w:rsidRPr="00A32FC0">
        <w:rPr>
          <w:rFonts w:hint="cs"/>
          <w:rtl/>
        </w:rPr>
        <w:t>وثانياً: إنّ القول بأنّ عدم ذكر التوقيع في «الكافي» كان من باب التقية ضعيفٌ؛ فإن نظرةً إلى التوقيعات المنقولة في كتب الشيعة ـ بالإضافة إلى أن خمسة من هذه الكتب نقلت هذا التوقيع بالذات ـ تجعلنا مطمئنّين بأنّ عدم ذكر هذا التوقيع في «الكافي» لم يكن من باب التقية. بالإضافة إلى أن كتابَيْ «إكمال الدين» و«الغَيْبة»</w:t>
      </w:r>
      <w:r>
        <w:rPr>
          <w:rFonts w:hint="cs"/>
          <w:rtl/>
        </w:rPr>
        <w:t>،</w:t>
      </w:r>
      <w:r w:rsidRPr="00A32FC0">
        <w:rPr>
          <w:rFonts w:hint="cs"/>
          <w:rtl/>
        </w:rPr>
        <w:t xml:space="preserve"> اللذين نقلا هذا التوقيع، لم يكونا من الكتب السرّيّة للشيعة، وكانا في متناول أيدي المخالفين.</w:t>
      </w:r>
    </w:p>
    <w:p w:rsidR="00EA09EB" w:rsidRPr="00A32FC0" w:rsidRDefault="00EA09EB" w:rsidP="007D79F5">
      <w:pPr>
        <w:pStyle w:val="Normal84"/>
        <w:rPr>
          <w:rtl/>
        </w:rPr>
      </w:pPr>
      <w:r w:rsidRPr="00A32FC0">
        <w:rPr>
          <w:rFonts w:hint="cs"/>
          <w:b/>
          <w:bCs/>
          <w:rtl/>
        </w:rPr>
        <w:t>وثالثاً</w:t>
      </w:r>
      <w:r w:rsidRPr="00A32FC0">
        <w:rPr>
          <w:rFonts w:hint="cs"/>
          <w:rtl/>
        </w:rPr>
        <w:t>: بغضّ النظر عن الإشكالات المذكورة فإنّ سند الشيخ الطوسيّ إلى الكلينيّ معتبرٌ. وأمّا اعتبار سند الصدوق فهو متوقِّف على صحّة القاعدة القائلة: «إنّ مشايخَ الثقات ثقاتٌ». وعلى أيّه حال فإن سند التوقيع إلى الكلينيّ لا بأس به في الجملة.</w:t>
      </w:r>
    </w:p>
    <w:p w:rsidR="00EA09EB" w:rsidRPr="00EA09EB" w:rsidRDefault="00EA09EB" w:rsidP="007D79F5">
      <w:pPr>
        <w:pStyle w:val="Normal84"/>
        <w:rPr>
          <w:rtl/>
        </w:rPr>
      </w:pPr>
      <w:r w:rsidRPr="00A32FC0">
        <w:rPr>
          <w:rFonts w:hint="cs"/>
          <w:rtl/>
        </w:rPr>
        <w:t xml:space="preserve">وأمّا المقدمة الثانية </w:t>
      </w:r>
      <w:r w:rsidRPr="00A32FC0">
        <w:rPr>
          <w:rtl/>
        </w:rPr>
        <w:t>ـ</w:t>
      </w:r>
      <w:r w:rsidRPr="00A32FC0">
        <w:rPr>
          <w:rFonts w:hint="cs"/>
          <w:rtl/>
        </w:rPr>
        <w:t xml:space="preserve"> أي اعتبار السند من جهة الراوي المباشر، وهو إسحاق بن يعقوب</w:t>
      </w:r>
      <w:r w:rsidRPr="00064619">
        <w:rPr>
          <w:rFonts w:cs="Taher"/>
          <w:vertAlign w:val="superscript"/>
          <w:rtl/>
        </w:rPr>
        <w:t>(</w:t>
      </w:r>
      <w:r w:rsidRPr="00064619">
        <w:rPr>
          <w:rStyle w:val="FootnoteReference"/>
          <w:rFonts w:cs="Taher"/>
          <w:sz w:val="32"/>
          <w:rtl/>
        </w:rPr>
        <w:footnoteReference w:id="731"/>
      </w:r>
      <w:r w:rsidRPr="00064619">
        <w:rPr>
          <w:rFonts w:cs="Taher"/>
          <w:vertAlign w:val="superscript"/>
          <w:rtl/>
        </w:rPr>
        <w:t>)</w:t>
      </w:r>
      <w:r w:rsidRPr="00EA09EB">
        <w:rPr>
          <w:rFonts w:hint="cs"/>
          <w:rtl/>
        </w:rPr>
        <w:t xml:space="preserve"> ـ </w:t>
      </w:r>
      <w:r w:rsidRPr="00A32FC0">
        <w:rPr>
          <w:rFonts w:hint="cs"/>
          <w:b/>
          <w:bCs/>
          <w:rtl/>
        </w:rPr>
        <w:t>فأولاً</w:t>
      </w:r>
      <w:r w:rsidRPr="00EA09EB">
        <w:rPr>
          <w:rFonts w:hint="cs"/>
          <w:rtl/>
        </w:rPr>
        <w:t xml:space="preserve">: إنّ إسحاق بن يعقوب ـ بالإضافة إلى أنّه مجهول، ولم يوثَّق ـ لا يُعَدّ كثير الرواية كعمر بن حنظلة، حتّى يمكن أن يقال: إنّه يُعَدّ من المشاهير. ولم ينقل عنه سوى هذه الرواية في جميع أبواب الفقهِ، وأمّا في الأعم من الفقه وغيره فلم ينقل عنه سوى ثلاث روايات: إحداها: مرسَلةٌ (أي لا سند </w:t>
      </w:r>
      <w:r w:rsidR="00B57E2A">
        <w:rPr>
          <w:rFonts w:hint="cs"/>
          <w:rtl/>
        </w:rPr>
        <w:t>لها)؛ والأخرى</w:t>
      </w:r>
      <w:r w:rsidRPr="00EA09EB">
        <w:rPr>
          <w:rFonts w:hint="cs"/>
          <w:rtl/>
        </w:rPr>
        <w:t xml:space="preserve"> منقولة عن كتاب «إكمال الدين» للصدوق</w:t>
      </w:r>
      <w:r w:rsidRPr="00064619">
        <w:rPr>
          <w:rFonts w:cs="Taher"/>
          <w:vertAlign w:val="superscript"/>
          <w:rtl/>
        </w:rPr>
        <w:t>(</w:t>
      </w:r>
      <w:r w:rsidRPr="00064619">
        <w:rPr>
          <w:rStyle w:val="FootnoteReference"/>
          <w:rFonts w:cs="Taher"/>
          <w:sz w:val="32"/>
          <w:rtl/>
        </w:rPr>
        <w:footnoteReference w:id="732"/>
      </w:r>
      <w:r w:rsidRPr="00064619">
        <w:rPr>
          <w:rFonts w:cs="Taher"/>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وثانياً</w:t>
      </w:r>
      <w:r w:rsidRPr="00EA09EB">
        <w:rPr>
          <w:rFonts w:hint="cs"/>
          <w:rtl/>
        </w:rPr>
        <w:t>: إنّ قاعدة «توثيق مشايخ الثقات» غير ثابتة</w:t>
      </w:r>
      <w:r w:rsidRPr="00064619">
        <w:rPr>
          <w:rFonts w:cs="Taher"/>
          <w:sz w:val="32"/>
          <w:vertAlign w:val="superscript"/>
          <w:rtl/>
          <w:lang w:bidi="ar-LB"/>
        </w:rPr>
        <w:t>(</w:t>
      </w:r>
      <w:r w:rsidRPr="00064619">
        <w:rPr>
          <w:rStyle w:val="FootnoteReference"/>
          <w:rFonts w:cs="Taher"/>
          <w:sz w:val="32"/>
          <w:rtl/>
          <w:lang w:bidi="ar-LB"/>
        </w:rPr>
        <w:footnoteReference w:id="733"/>
      </w:r>
      <w:r w:rsidRPr="00064619">
        <w:rPr>
          <w:rFonts w:cs="Taher"/>
          <w:sz w:val="32"/>
          <w:vertAlign w:val="superscript"/>
          <w:rtl/>
          <w:lang w:bidi="ar-LB"/>
        </w:rPr>
        <w:t>)</w:t>
      </w:r>
      <w:r w:rsidRPr="00EA09EB">
        <w:rPr>
          <w:rFonts w:hint="cs"/>
          <w:rtl/>
        </w:rPr>
        <w:t>. لذلك فإنّ مجرَّد نقل الكلينيّ عن إسحاق بن يعقوب لا يُعَدّ جابراً لمجهوليّته.</w:t>
      </w:r>
    </w:p>
    <w:p w:rsidR="00EA09EB" w:rsidRPr="00EA09EB" w:rsidRDefault="00EA09EB" w:rsidP="007A340E">
      <w:pPr>
        <w:ind w:firstLine="283"/>
        <w:rPr>
          <w:rtl/>
        </w:rPr>
      </w:pPr>
      <w:r w:rsidRPr="007A340E">
        <w:rPr>
          <w:rFonts w:hint="cs"/>
          <w:b/>
          <w:bCs/>
          <w:rtl/>
        </w:rPr>
        <w:t>وثالثاً</w:t>
      </w:r>
      <w:r w:rsidRPr="00EA09EB">
        <w:rPr>
          <w:rFonts w:hint="cs"/>
          <w:rtl/>
        </w:rPr>
        <w:t>: إنه ـ طبقاً لقواعد علم الرجال ـ ليس هناك أيّ فرق بين التوقيع وغيره؛ فإن جميع الروايات يجب أن تكون خاضعة للقواعد الرجاليّة المدوَّنة. وإنّ مؤيِّداتٍ كهذه لا تبعث على اطمئنان لهذا السند.</w:t>
      </w:r>
    </w:p>
    <w:p w:rsidR="00EA09EB" w:rsidRPr="00EA09EB" w:rsidRDefault="00EA09EB" w:rsidP="007D79F5">
      <w:pPr>
        <w:pStyle w:val="Normal87"/>
        <w:rPr>
          <w:rtl/>
        </w:rPr>
      </w:pPr>
      <w:r w:rsidRPr="007A340E">
        <w:rPr>
          <w:rFonts w:hint="cs"/>
          <w:b/>
          <w:bCs/>
          <w:rtl/>
        </w:rPr>
        <w:t>ورابعاً</w:t>
      </w:r>
      <w:r w:rsidRPr="00EA09EB">
        <w:rPr>
          <w:rFonts w:hint="cs"/>
          <w:rtl/>
        </w:rPr>
        <w:t>: إنّ وجود أمثال الشيخ المفيد والشيخ الطوسي في سند هذا التوقيع لا يفيد شيئاً أمام مجهوليّة اسحاق بن يعقوب. فلو كان مجرَّد وجود بعض الموثَّقين في السند سيؤدّي إلى صحّة هذا السند فسوف يُصَحِّح ذلك عدداً كبيراً من الروايات الضعيفة. وهل يمكن لفقيه أن يلتزم بعموم هذه النتيجة؟ وهذه المحاولة أضعف من سابقتها، أي توثيق مشايخ الثقات.</w:t>
      </w:r>
    </w:p>
    <w:p w:rsidR="00EA09EB" w:rsidRPr="00EA09EB" w:rsidRDefault="00EA09EB" w:rsidP="007A340E">
      <w:pPr>
        <w:ind w:firstLine="283"/>
        <w:rPr>
          <w:rtl/>
        </w:rPr>
      </w:pPr>
      <w:r w:rsidRPr="007A340E">
        <w:rPr>
          <w:rFonts w:hint="cs"/>
          <w:b/>
          <w:bCs/>
          <w:rtl/>
        </w:rPr>
        <w:t>وخامساً</w:t>
      </w:r>
      <w:r w:rsidRPr="00EA09EB">
        <w:rPr>
          <w:rFonts w:hint="cs"/>
          <w:rtl/>
        </w:rPr>
        <w:t>: إنّ القول بأن إسحاق بن يعقوب هو أخو محمد بن يعقوب غير صحيح؛ لأنّه:</w:t>
      </w:r>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هل يُعَدّ مجرّدُ اشتراكهما في اسم والدهما دليلاً على أخوّتهما؟</w:t>
      </w:r>
    </w:p>
    <w:p w:rsidR="00EA09EB" w:rsidRPr="00EA09EB" w:rsidRDefault="00EA09EB" w:rsidP="007A340E">
      <w:pPr>
        <w:ind w:firstLine="283"/>
        <w:rPr>
          <w:rtl/>
        </w:rPr>
      </w:pPr>
      <w:r w:rsidRPr="00EA09EB">
        <w:rPr>
          <w:rFonts w:hint="cs"/>
          <w:rtl/>
        </w:rPr>
        <w:t>2</w:t>
      </w:r>
      <w:r w:rsidRPr="00EA09EB">
        <w:rPr>
          <w:rtl/>
        </w:rPr>
        <w:t>ـ</w:t>
      </w:r>
      <w:r w:rsidRPr="00EA09EB">
        <w:rPr>
          <w:rFonts w:hint="cs"/>
          <w:rtl/>
        </w:rPr>
        <w:t xml:space="preserve"> إنّ دعوى ذكر «إسحاق بن يعقوب الكليني» في آخر خبر «إكمال الدين» غير صحيحة؛ لأنه </w:t>
      </w:r>
      <w:r w:rsidRPr="007A340E">
        <w:rPr>
          <w:rFonts w:hint="cs"/>
          <w:b/>
          <w:bCs/>
          <w:rtl/>
        </w:rPr>
        <w:t>أولاً</w:t>
      </w:r>
      <w:r w:rsidRPr="00EA09EB">
        <w:rPr>
          <w:rFonts w:hint="cs"/>
          <w:rtl/>
        </w:rPr>
        <w:t xml:space="preserve">: لا يوجد في النسخة المطبوعة من «إكمال الدين» كلمة «الكلينيّ»؛ </w:t>
      </w:r>
      <w:r w:rsidRPr="007A340E">
        <w:rPr>
          <w:rFonts w:hint="cs"/>
          <w:b/>
          <w:bCs/>
          <w:rtl/>
        </w:rPr>
        <w:t>وثانياً</w:t>
      </w:r>
      <w:r w:rsidRPr="00EA09EB">
        <w:rPr>
          <w:rFonts w:hint="cs"/>
          <w:rtl/>
        </w:rPr>
        <w:t xml:space="preserve">: على فرض التسليم فإن محمد وإسحاق هما من البلد نفسه، وليسا أخوين؛ </w:t>
      </w:r>
      <w:r w:rsidRPr="007A340E">
        <w:rPr>
          <w:rFonts w:hint="cs"/>
          <w:b/>
          <w:bCs/>
          <w:rtl/>
        </w:rPr>
        <w:t>وثالثاً</w:t>
      </w:r>
      <w:r w:rsidRPr="00EA09EB">
        <w:rPr>
          <w:rFonts w:hint="cs"/>
          <w:rtl/>
        </w:rPr>
        <w:t>: كيف قدّر لهذه الأخوّة أن تبقى خفيّة طيلة عشرة قرون. وهذا في حدّ ذاته محلّ استفهام.</w:t>
      </w:r>
    </w:p>
    <w:p w:rsidR="00EA09EB" w:rsidRPr="00A32FC0" w:rsidRDefault="00EA09EB" w:rsidP="00EA09EB">
      <w:pPr>
        <w:rPr>
          <w:rtl/>
          <w:lang w:bidi="ar-LB"/>
        </w:rPr>
      </w:pPr>
      <w:r w:rsidRPr="00A32FC0">
        <w:rPr>
          <w:rFonts w:hint="cs"/>
          <w:rtl/>
          <w:lang w:bidi="ar-LB"/>
        </w:rPr>
        <w:t>3</w:t>
      </w:r>
      <w:r w:rsidRPr="00A32FC0">
        <w:rPr>
          <w:rtl/>
          <w:lang w:bidi="ar-LB"/>
        </w:rPr>
        <w:t>ـ</w:t>
      </w:r>
      <w:r w:rsidRPr="00A32FC0">
        <w:rPr>
          <w:rFonts w:hint="cs"/>
          <w:rtl/>
          <w:lang w:bidi="ar-LB"/>
        </w:rPr>
        <w:t xml:space="preserve"> إنّ أخوة الشيخ الكليني لا تفيد الوثاقة. والقول بأنّ </w:t>
      </w:r>
      <w:r w:rsidRPr="00A32FC0">
        <w:rPr>
          <w:rFonts w:hint="cs"/>
          <w:rtl/>
        </w:rPr>
        <w:t>«</w:t>
      </w:r>
      <w:r w:rsidRPr="00A32FC0">
        <w:rPr>
          <w:rFonts w:hint="cs"/>
          <w:rtl/>
          <w:lang w:bidi="ar-LB"/>
        </w:rPr>
        <w:t>أخا الثقة ثقةٌ</w:t>
      </w:r>
      <w:r w:rsidRPr="00A32FC0">
        <w:rPr>
          <w:rFonts w:hint="cs"/>
          <w:rtl/>
        </w:rPr>
        <w:t>»</w:t>
      </w:r>
      <w:r w:rsidRPr="00A32FC0">
        <w:rPr>
          <w:rFonts w:hint="cs"/>
          <w:rtl/>
          <w:lang w:bidi="ar-LB"/>
        </w:rPr>
        <w:t xml:space="preserve"> يحتاج إلى تأسيس علم رجال جديد؛ للأخذ به. عندما يكون للإمام المعصوم</w:t>
      </w:r>
      <w:r>
        <w:rPr>
          <w:rFonts w:hint="cs"/>
          <w:rtl/>
        </w:rPr>
        <w:t>×</w:t>
      </w:r>
      <w:r w:rsidRPr="00A32FC0">
        <w:rPr>
          <w:rFonts w:hint="cs"/>
          <w:rtl/>
          <w:lang w:bidi="ar-LB"/>
        </w:rPr>
        <w:t xml:space="preserve"> أخٌ يقال له: جعفر الكذّاب ألا يكون هذا الاحتمال وارداً في أخ شخصٍ موثَّقٍ؟</w:t>
      </w:r>
    </w:p>
    <w:p w:rsidR="00EA09EB" w:rsidRPr="00A32FC0" w:rsidRDefault="00EA09EB" w:rsidP="00EA09EB">
      <w:pPr>
        <w:rPr>
          <w:rtl/>
          <w:lang w:bidi="ar-LB"/>
        </w:rPr>
      </w:pPr>
      <w:r w:rsidRPr="00A32FC0">
        <w:rPr>
          <w:rFonts w:hint="cs"/>
          <w:b/>
          <w:bCs/>
          <w:rtl/>
          <w:lang w:bidi="ar-LB"/>
        </w:rPr>
        <w:t>وسادساً</w:t>
      </w:r>
      <w:r w:rsidRPr="00A32FC0">
        <w:rPr>
          <w:rFonts w:hint="cs"/>
          <w:rtl/>
          <w:lang w:bidi="ar-LB"/>
        </w:rPr>
        <w:t>: إنّ كون ناقل المدح الموجود في صدر التوقيع وذيله هو إسحاق بن يعقوب نفسه يمنعنا من الاعتماد على هذا المدح وهذا التوثيق.</w:t>
      </w:r>
    </w:p>
    <w:p w:rsidR="00EA09EB" w:rsidRPr="00A32FC0" w:rsidRDefault="00EA09EB" w:rsidP="007D79F5">
      <w:pPr>
        <w:pStyle w:val="Normal87"/>
        <w:rPr>
          <w:rtl/>
        </w:rPr>
      </w:pPr>
      <w:r w:rsidRPr="00A32FC0">
        <w:rPr>
          <w:rFonts w:hint="cs"/>
          <w:rtl/>
        </w:rPr>
        <w:t xml:space="preserve">وإنْ كان بعض الفقهاء قد سعى بشكلٍ حثيثٍ إلى إثبات صحّة التوقيع والمقبولة، إلاّ أنّه يجب الحرص على أن لا يكون هذا السعي قائماً على تجاوز الضوابط والموازين الرجاليّة والأصوليّة والفقهيّة. والإنصاف في هذا البحث أن يقال: إنه لا يمكن إثبات أمر مهمّ وخطير، كولاية الفقيه، بأدلّة من هذا القبيل (ضعيفة السند)، والتمسُّك من جهة أخرى باستحساناتٍ لا دليل عليها، ومخالفةٍ لضوابط علم الرجال. وقد صرَّح بعض </w:t>
      </w:r>
      <w:r>
        <w:rPr>
          <w:rFonts w:hint="cs"/>
          <w:rtl/>
        </w:rPr>
        <w:t>الفقهاء المعاصرين، ومنهم: السيد</w:t>
      </w:r>
      <w:r w:rsidRPr="00A32FC0">
        <w:rPr>
          <w:rFonts w:hint="cs"/>
          <w:rtl/>
        </w:rPr>
        <w:t xml:space="preserve"> الخمينيّ، بضعف سند هذا التوقيع</w:t>
      </w:r>
      <w:r w:rsidRPr="00064619">
        <w:rPr>
          <w:rFonts w:cs="Taher"/>
          <w:vertAlign w:val="superscript"/>
          <w:rtl/>
        </w:rPr>
        <w:t>(</w:t>
      </w:r>
      <w:r w:rsidRPr="00064619">
        <w:rPr>
          <w:rStyle w:val="FootnoteReference"/>
          <w:rFonts w:cs="Taher"/>
          <w:sz w:val="32"/>
          <w:rtl/>
        </w:rPr>
        <w:footnoteReference w:id="734"/>
      </w:r>
      <w:r w:rsidRPr="00064619">
        <w:rPr>
          <w:rFonts w:cs="Taher"/>
          <w:vertAlign w:val="superscript"/>
          <w:rtl/>
        </w:rPr>
        <w:t>)</w:t>
      </w:r>
      <w:r w:rsidRPr="00A32FC0">
        <w:rPr>
          <w:rFonts w:hint="cs"/>
          <w:rtl/>
        </w:rPr>
        <w:t>.</w:t>
      </w:r>
    </w:p>
    <w:p w:rsidR="00EA09EB" w:rsidRPr="00EA09EB" w:rsidRDefault="00EA09EB" w:rsidP="007D79F5">
      <w:pPr>
        <w:pStyle w:val="Normal84"/>
        <w:rPr>
          <w:rtl/>
        </w:rPr>
      </w:pPr>
      <w:r w:rsidRPr="00A32FC0">
        <w:rPr>
          <w:rFonts w:hint="cs"/>
          <w:rtl/>
        </w:rPr>
        <w:t xml:space="preserve">وأمّا المقدّمة الثالثة </w:t>
      </w:r>
      <w:r w:rsidRPr="00A32FC0">
        <w:rPr>
          <w:rtl/>
        </w:rPr>
        <w:t>ـ</w:t>
      </w:r>
      <w:r w:rsidRPr="00A32FC0">
        <w:rPr>
          <w:rFonts w:hint="cs"/>
          <w:rtl/>
        </w:rPr>
        <w:t xml:space="preserve"> أي شرط الفقاهة </w:t>
      </w:r>
      <w:r w:rsidRPr="00A32FC0">
        <w:rPr>
          <w:rtl/>
        </w:rPr>
        <w:t>ـ</w:t>
      </w:r>
      <w:r w:rsidRPr="00A32FC0">
        <w:rPr>
          <w:rFonts w:hint="cs"/>
          <w:rtl/>
        </w:rPr>
        <w:t xml:space="preserve"> فقد قبل بها جمعٌ من الفقهاء، إلاّ أنّ الفقيه المدقِّق السيد أحمد الخوانساري قال: إن هناك نقاشاً في دلالة هذا التوقيع على الفقاهة</w:t>
      </w:r>
      <w:r w:rsidRPr="00064619">
        <w:rPr>
          <w:rFonts w:cs="Taher"/>
          <w:vertAlign w:val="superscript"/>
          <w:rtl/>
        </w:rPr>
        <w:t>(</w:t>
      </w:r>
      <w:r w:rsidRPr="00064619">
        <w:rPr>
          <w:rStyle w:val="FootnoteReference"/>
          <w:rFonts w:cs="Taher"/>
          <w:sz w:val="32"/>
          <w:rtl/>
        </w:rPr>
        <w:footnoteReference w:id="735"/>
      </w:r>
      <w:r w:rsidRPr="00064619">
        <w:rPr>
          <w:rFonts w:cs="Taher"/>
          <w:vertAlign w:val="superscript"/>
          <w:rtl/>
        </w:rPr>
        <w:t>)</w:t>
      </w:r>
      <w:r w:rsidRPr="00EA09EB">
        <w:rPr>
          <w:rFonts w:hint="cs"/>
          <w:rtl/>
        </w:rPr>
        <w:t>؛ لأن تعبير «روى حديثنا، وعرف حلالنا وحرامنا، ونظر في أحكامنا» (تعبير مقبولة عمر بن حنظلة) نصٌّ على الفقاهة، وأمّا تعبير «رواة حديثنا»، فلا يؤدّي هذا المعنى. ثمّ إن القرائن المُقامة على المدَّعى لو افترضنا تماميّتها إنّما تشكِّل مقدّمةً لاحقة. ولكنْ مع الخَدْشة في المقدّمة الرابعة لا غرابة في عدم القول بإرادة المحدِّثين في التوقيع.</w:t>
      </w:r>
    </w:p>
    <w:p w:rsidR="00EA09EB" w:rsidRPr="00EA09EB" w:rsidRDefault="00EA09EB" w:rsidP="00EA09EB">
      <w:pPr>
        <w:rPr>
          <w:rtl/>
        </w:rPr>
      </w:pPr>
      <w:r w:rsidRPr="007A340E">
        <w:rPr>
          <w:rFonts w:hint="cs"/>
          <w:b/>
          <w:bCs/>
          <w:rtl/>
        </w:rPr>
        <w:t>أولاً</w:t>
      </w:r>
      <w:r w:rsidRPr="00EA09EB">
        <w:rPr>
          <w:rFonts w:hint="cs"/>
          <w:rtl/>
        </w:rPr>
        <w:t>: بعد مراجعة التوقيع نلاحظ أنّ رسالة إسحاق بن يعقوب للإمام المهدي</w:t>
      </w:r>
      <w:r>
        <w:rPr>
          <w:rFonts w:hint="cs"/>
          <w:rtl/>
        </w:rPr>
        <w:t>×</w:t>
      </w:r>
      <w:r w:rsidRPr="00EA09EB">
        <w:rPr>
          <w:rFonts w:hint="cs"/>
          <w:rtl/>
        </w:rPr>
        <w:t xml:space="preserve"> كانت تشتمل على أسئلة متعدِّدة معهودة بينه وبين الإمام</w:t>
      </w:r>
      <w:r>
        <w:rPr>
          <w:rFonts w:hint="cs"/>
          <w:rtl/>
        </w:rPr>
        <w:t>×</w:t>
      </w:r>
      <w:r w:rsidRPr="00EA09EB">
        <w:rPr>
          <w:rFonts w:hint="cs"/>
          <w:rtl/>
        </w:rPr>
        <w:t>. وهذه الأسئلة غير متوافرة لدينا، إلاّ أنّه من خلال أجوبة الإمام</w:t>
      </w:r>
      <w:r>
        <w:rPr>
          <w:rFonts w:hint="cs"/>
          <w:rtl/>
        </w:rPr>
        <w:t>×</w:t>
      </w:r>
      <w:r w:rsidRPr="00EA09EB">
        <w:rPr>
          <w:rFonts w:hint="cs"/>
          <w:rtl/>
        </w:rPr>
        <w:t xml:space="preserve"> يمكن لنا معرفتها. وهذه الأسئلة هي عبارة عن: </w:t>
      </w:r>
    </w:p>
    <w:p w:rsidR="00EA09EB" w:rsidRPr="00A32FC0" w:rsidRDefault="00EA09EB" w:rsidP="00EA09EB">
      <w:pPr>
        <w:rPr>
          <w:rtl/>
          <w:lang w:bidi="ar-LB"/>
        </w:rPr>
      </w:pPr>
      <w:r w:rsidRPr="00A32FC0">
        <w:rPr>
          <w:rFonts w:hint="cs"/>
          <w:rtl/>
          <w:lang w:bidi="ar-LB"/>
        </w:rPr>
        <w:t xml:space="preserve">1ـ الموقف من منكري الإمام الغائب، وخاصّة إذا كانوا من بني هاشم؟ </w:t>
      </w:r>
    </w:p>
    <w:p w:rsidR="00EA09EB" w:rsidRPr="00A32FC0" w:rsidRDefault="00EA09EB" w:rsidP="00EA09EB">
      <w:pPr>
        <w:rPr>
          <w:rtl/>
          <w:lang w:bidi="ar-LB"/>
        </w:rPr>
      </w:pPr>
      <w:r w:rsidRPr="00A32FC0">
        <w:rPr>
          <w:rFonts w:hint="cs"/>
          <w:rtl/>
          <w:lang w:bidi="ar-LB"/>
        </w:rPr>
        <w:t>2ـ سلوك جعفر (عمّ الإمام المهدي</w:t>
      </w:r>
      <w:r>
        <w:rPr>
          <w:rFonts w:hint="cs"/>
          <w:rtl/>
        </w:rPr>
        <w:t>×</w:t>
      </w:r>
      <w:r w:rsidRPr="00A32FC0">
        <w:rPr>
          <w:rFonts w:hint="cs"/>
          <w:rtl/>
          <w:lang w:bidi="ar-LB"/>
        </w:rPr>
        <w:t xml:space="preserve">) وابنه. </w:t>
      </w:r>
    </w:p>
    <w:p w:rsidR="00EA09EB" w:rsidRPr="00A32FC0" w:rsidRDefault="00EA09EB" w:rsidP="00EA09EB">
      <w:pPr>
        <w:rPr>
          <w:rtl/>
          <w:lang w:bidi="ar-LB"/>
        </w:rPr>
      </w:pPr>
      <w:r w:rsidRPr="00A32FC0">
        <w:rPr>
          <w:rFonts w:hint="cs"/>
          <w:rtl/>
          <w:lang w:bidi="ar-LB"/>
        </w:rPr>
        <w:t xml:space="preserve">3ـ حكم شرب الفقّاع وشراب الشلماب (الشلغم). </w:t>
      </w:r>
    </w:p>
    <w:p w:rsidR="00EA09EB" w:rsidRPr="00A32FC0" w:rsidRDefault="00EA09EB" w:rsidP="00EA09EB">
      <w:pPr>
        <w:rPr>
          <w:rtl/>
          <w:lang w:bidi="ar-LB"/>
        </w:rPr>
      </w:pPr>
      <w:r w:rsidRPr="00A32FC0">
        <w:rPr>
          <w:rFonts w:hint="cs"/>
          <w:rtl/>
          <w:lang w:bidi="ar-LB"/>
        </w:rPr>
        <w:t xml:space="preserve">4ـ حكم الوجوه الشرعيّة. </w:t>
      </w:r>
    </w:p>
    <w:p w:rsidR="00EA09EB" w:rsidRPr="00A32FC0" w:rsidRDefault="00EA09EB" w:rsidP="00EA09EB">
      <w:pPr>
        <w:rPr>
          <w:rtl/>
          <w:lang w:bidi="ar-LB"/>
        </w:rPr>
      </w:pPr>
      <w:r w:rsidRPr="00A32FC0">
        <w:rPr>
          <w:rFonts w:hint="cs"/>
          <w:rtl/>
          <w:lang w:bidi="ar-LB"/>
        </w:rPr>
        <w:t>5ـ وقت ظهور الإمام</w:t>
      </w:r>
      <w:r>
        <w:rPr>
          <w:rFonts w:hint="cs"/>
          <w:rtl/>
          <w:lang w:bidi="ar-LB"/>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 xml:space="preserve">6ـ الحوادث الواقعة (محل بحثنا هنا). </w:t>
      </w:r>
    </w:p>
    <w:p w:rsidR="00EA09EB" w:rsidRPr="00A32FC0" w:rsidRDefault="00EA09EB" w:rsidP="00EA09EB">
      <w:pPr>
        <w:rPr>
          <w:rtl/>
          <w:lang w:bidi="ar-LB"/>
        </w:rPr>
      </w:pPr>
      <w:r w:rsidRPr="00A32FC0">
        <w:rPr>
          <w:rFonts w:hint="cs"/>
          <w:rtl/>
          <w:lang w:bidi="ar-LB"/>
        </w:rPr>
        <w:t xml:space="preserve">7ـ الموقف من محمد بن عثمان العمريّ. </w:t>
      </w:r>
    </w:p>
    <w:p w:rsidR="00EA09EB" w:rsidRPr="00A32FC0" w:rsidRDefault="00EA09EB" w:rsidP="00EA09EB">
      <w:pPr>
        <w:rPr>
          <w:rtl/>
          <w:lang w:bidi="ar-LB"/>
        </w:rPr>
      </w:pPr>
      <w:r w:rsidRPr="00A32FC0">
        <w:rPr>
          <w:rFonts w:hint="cs"/>
          <w:rtl/>
          <w:lang w:bidi="ar-LB"/>
        </w:rPr>
        <w:t xml:space="preserve">8ـ الموقف من محمد بن عليّ بن مهزيار الأهوازيّ. </w:t>
      </w:r>
    </w:p>
    <w:p w:rsidR="00EA09EB" w:rsidRPr="00A32FC0" w:rsidRDefault="00EA09EB" w:rsidP="00EA09EB">
      <w:pPr>
        <w:rPr>
          <w:rtl/>
          <w:lang w:bidi="ar-LB"/>
        </w:rPr>
      </w:pPr>
      <w:r w:rsidRPr="00A32FC0">
        <w:rPr>
          <w:rFonts w:hint="cs"/>
          <w:rtl/>
          <w:lang w:bidi="ar-LB"/>
        </w:rPr>
        <w:t xml:space="preserve">9ـ الموقف من محمد بن شاذان. </w:t>
      </w:r>
    </w:p>
    <w:p w:rsidR="00EA09EB" w:rsidRPr="00A32FC0" w:rsidRDefault="00EA09EB" w:rsidP="00EA09EB">
      <w:pPr>
        <w:rPr>
          <w:rtl/>
          <w:lang w:bidi="ar-LB"/>
        </w:rPr>
      </w:pPr>
      <w:r w:rsidRPr="00A32FC0">
        <w:rPr>
          <w:rFonts w:hint="cs"/>
          <w:rtl/>
          <w:lang w:bidi="ar-LB"/>
        </w:rPr>
        <w:t xml:space="preserve">10ـ الموقف من أبي الخطّاب. </w:t>
      </w:r>
    </w:p>
    <w:p w:rsidR="00EA09EB" w:rsidRPr="00A32FC0" w:rsidRDefault="00EA09EB" w:rsidP="00EA09EB">
      <w:pPr>
        <w:rPr>
          <w:rtl/>
          <w:lang w:bidi="ar-LB"/>
        </w:rPr>
      </w:pPr>
      <w:r w:rsidRPr="00A32FC0">
        <w:rPr>
          <w:rFonts w:hint="cs"/>
          <w:rtl/>
          <w:lang w:bidi="ar-LB"/>
        </w:rPr>
        <w:t>11ـ حكم المتصرِّفين بأموال أهل البيت</w:t>
      </w:r>
      <w:r w:rsidR="007A340E">
        <w:rPr>
          <w:rFonts w:hint="cs"/>
          <w:rtl/>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 xml:space="preserve">12ـ حكم الشاكّ النادم. </w:t>
      </w:r>
    </w:p>
    <w:p w:rsidR="00EA09EB" w:rsidRPr="00A32FC0" w:rsidRDefault="00EA09EB" w:rsidP="00EA09EB">
      <w:pPr>
        <w:rPr>
          <w:rtl/>
          <w:lang w:bidi="ar-LB"/>
        </w:rPr>
      </w:pPr>
      <w:r w:rsidRPr="00A32FC0">
        <w:rPr>
          <w:rFonts w:hint="cs"/>
          <w:rtl/>
          <w:lang w:bidi="ar-LB"/>
        </w:rPr>
        <w:t>13ـ سبب غيبة الإمام</w:t>
      </w:r>
      <w:r>
        <w:rPr>
          <w:rFonts w:hint="cs"/>
          <w:rtl/>
          <w:lang w:bidi="ar-LB"/>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14ـ كيفية الاستفادة من الإمام</w:t>
      </w:r>
      <w:r>
        <w:rPr>
          <w:rFonts w:hint="cs"/>
          <w:rtl/>
          <w:lang w:bidi="ar-LB"/>
        </w:rPr>
        <w:t>×</w:t>
      </w:r>
      <w:r w:rsidRPr="00A32FC0">
        <w:rPr>
          <w:rFonts w:hint="cs"/>
          <w:rtl/>
          <w:lang w:bidi="ar-LB"/>
        </w:rPr>
        <w:t xml:space="preserve"> في غيبته.</w:t>
      </w:r>
    </w:p>
    <w:p w:rsidR="00EA09EB" w:rsidRPr="00A32FC0" w:rsidRDefault="00EA09EB" w:rsidP="00EA09EB">
      <w:pPr>
        <w:rPr>
          <w:rtl/>
          <w:lang w:bidi="ar-LB"/>
        </w:rPr>
      </w:pPr>
      <w:r w:rsidRPr="00A32FC0">
        <w:rPr>
          <w:rFonts w:hint="cs"/>
          <w:rtl/>
          <w:lang w:bidi="ar-LB"/>
        </w:rPr>
        <w:t xml:space="preserve">يمكن تقسيم هذه الأسئلة الأربعة عشر إلى ثلاثة أقسام: </w:t>
      </w:r>
    </w:p>
    <w:p w:rsidR="00EA09EB" w:rsidRPr="00EA09EB" w:rsidRDefault="00EA09EB" w:rsidP="007A340E">
      <w:pPr>
        <w:ind w:firstLine="283"/>
        <w:rPr>
          <w:rtl/>
        </w:rPr>
      </w:pPr>
      <w:r w:rsidRPr="007A340E">
        <w:rPr>
          <w:rFonts w:hint="cs"/>
          <w:b/>
          <w:bCs/>
          <w:rtl/>
        </w:rPr>
        <w:t>الأول</w:t>
      </w:r>
      <w:r w:rsidRPr="00EA09EB">
        <w:rPr>
          <w:rFonts w:hint="cs"/>
          <w:rtl/>
        </w:rPr>
        <w:t xml:space="preserve">: الأسئلة المرتبطة بالغيبة والظهور وما شابهها (الأسئلة 1، 2، 5، 12، 13، 14). </w:t>
      </w:r>
    </w:p>
    <w:p w:rsidR="00EA09EB" w:rsidRPr="00EA09EB" w:rsidRDefault="00EA09EB" w:rsidP="007A340E">
      <w:pPr>
        <w:ind w:firstLine="283"/>
        <w:rPr>
          <w:rtl/>
        </w:rPr>
      </w:pPr>
      <w:r w:rsidRPr="007A340E">
        <w:rPr>
          <w:rFonts w:hint="cs"/>
          <w:b/>
          <w:bCs/>
          <w:rtl/>
        </w:rPr>
        <w:t>الثاني</w:t>
      </w:r>
      <w:r w:rsidRPr="00EA09EB">
        <w:rPr>
          <w:rFonts w:hint="cs"/>
          <w:rtl/>
        </w:rPr>
        <w:t xml:space="preserve">: الأسئلة المرتبطة بتوثيق بعض الأصحاب (الأسئلة 7، 8، 9، 10). </w:t>
      </w:r>
    </w:p>
    <w:p w:rsidR="00EA09EB" w:rsidRPr="00A32FC0" w:rsidRDefault="00EA09EB" w:rsidP="00EA09EB">
      <w:pPr>
        <w:rPr>
          <w:rtl/>
          <w:lang w:bidi="ar-LB"/>
        </w:rPr>
      </w:pPr>
      <w:r w:rsidRPr="00A32FC0">
        <w:rPr>
          <w:rFonts w:hint="cs"/>
          <w:b/>
          <w:bCs/>
          <w:rtl/>
          <w:lang w:bidi="ar-LB"/>
        </w:rPr>
        <w:t>الثالث</w:t>
      </w:r>
      <w:r w:rsidRPr="00A32FC0">
        <w:rPr>
          <w:rFonts w:hint="cs"/>
          <w:rtl/>
          <w:lang w:bidi="ar-LB"/>
        </w:rPr>
        <w:t xml:space="preserve">: الأسئلة الفقهيّة (الأسئلة 3، 4، 11). </w:t>
      </w:r>
    </w:p>
    <w:p w:rsidR="00EA09EB" w:rsidRPr="00EA09EB" w:rsidRDefault="00EA09EB" w:rsidP="00EA09EB">
      <w:pPr>
        <w:rPr>
          <w:rtl/>
        </w:rPr>
      </w:pPr>
      <w:r w:rsidRPr="00A32FC0">
        <w:rPr>
          <w:rFonts w:hint="cs"/>
          <w:rtl/>
          <w:lang w:bidi="ar-LB"/>
        </w:rPr>
        <w:t>وفي أسئلة القسم الأخير سأل إسحاق بن يعقوب عن حكم شرب الفقّاع والشلماب، وحكم الوجوه الشرعيّة، وحكم المتصرِّفين بأموال أهل البيت</w:t>
      </w:r>
      <w:r w:rsidR="007A340E">
        <w:rPr>
          <w:rFonts w:hint="cs"/>
          <w:rtl/>
        </w:rPr>
        <w:t>^</w:t>
      </w:r>
      <w:r w:rsidRPr="00A32FC0">
        <w:rPr>
          <w:rFonts w:hint="cs"/>
          <w:rtl/>
          <w:lang w:bidi="ar-LB"/>
        </w:rPr>
        <w:t xml:space="preserve">. وأكثر هذه الأسئلة متعلِّق بمسائل جزئيّة وخاصّة. أليس السؤال السادس من قبيل هذه الأسئلة الجزئيّة والخاصّة؟ فإذا كان كذلك فعندها كانت </w:t>
      </w:r>
      <w:r w:rsidRPr="00A32FC0">
        <w:rPr>
          <w:rFonts w:hint="cs"/>
          <w:rtl/>
        </w:rPr>
        <w:t>«</w:t>
      </w:r>
      <w:r w:rsidRPr="00A32FC0">
        <w:rPr>
          <w:rFonts w:hint="cs"/>
          <w:rtl/>
          <w:lang w:bidi="ar-LB"/>
        </w:rPr>
        <w:t>الـ</w:t>
      </w:r>
      <w:r w:rsidRPr="00A32FC0">
        <w:rPr>
          <w:rFonts w:hint="cs"/>
          <w:rtl/>
        </w:rPr>
        <w:t>»</w:t>
      </w:r>
      <w:r w:rsidRPr="00A32FC0">
        <w:rPr>
          <w:rFonts w:hint="cs"/>
          <w:rtl/>
          <w:lang w:bidi="ar-LB"/>
        </w:rPr>
        <w:t xml:space="preserve"> في «الحوادث الواقعة» </w:t>
      </w:r>
      <w:r w:rsidRPr="00A32FC0">
        <w:rPr>
          <w:rFonts w:hint="cs"/>
          <w:rtl/>
        </w:rPr>
        <w:t>«</w:t>
      </w:r>
      <w:r w:rsidRPr="00A32FC0">
        <w:rPr>
          <w:rFonts w:hint="cs"/>
          <w:rtl/>
          <w:lang w:bidi="ar-LB"/>
        </w:rPr>
        <w:t>الـ</w:t>
      </w:r>
      <w:r w:rsidRPr="00A32FC0">
        <w:rPr>
          <w:rFonts w:hint="cs"/>
          <w:rtl/>
        </w:rPr>
        <w:t>»</w:t>
      </w:r>
      <w:r w:rsidRPr="00A32FC0">
        <w:rPr>
          <w:rFonts w:hint="cs"/>
          <w:rtl/>
          <w:lang w:bidi="ar-LB"/>
        </w:rPr>
        <w:t xml:space="preserve"> العهديّة، وهي إشارة إلى حادثة خاصّة كان إٍسحاق بن يعقوب قد سأل الإمام عنها</w:t>
      </w:r>
      <w:r w:rsidRPr="00064619">
        <w:rPr>
          <w:rFonts w:cs="Taher"/>
          <w:vertAlign w:val="superscript"/>
          <w:rtl/>
          <w:lang w:bidi="ar-LB"/>
        </w:rPr>
        <w:t>(</w:t>
      </w:r>
      <w:r w:rsidRPr="00064619">
        <w:rPr>
          <w:rStyle w:val="FootnoteReference"/>
          <w:rFonts w:cs="Taher"/>
          <w:sz w:val="32"/>
          <w:rtl/>
          <w:lang w:bidi="ar-LB"/>
        </w:rPr>
        <w:footnoteReference w:id="736"/>
      </w:r>
      <w:r w:rsidRPr="00064619">
        <w:rPr>
          <w:rFonts w:cs="Taher"/>
          <w:vertAlign w:val="superscript"/>
          <w:rtl/>
          <w:lang w:bidi="ar-LB"/>
        </w:rPr>
        <w:t>)</w:t>
      </w:r>
      <w:r w:rsidRPr="00EA09EB">
        <w:rPr>
          <w:rFonts w:hint="cs"/>
          <w:rtl/>
        </w:rPr>
        <w:t>. ولا يُعَدّ هذا الاحتمال بعيداً بعد الالتفات إلى الأسئلة الأربعة عشر التي طرحها إسحاق بن يعقوب. وبعبارة أخرى: إن القول بأن «الـ» في «الحوادث الواقعة» هي «الـ» الاستغراق يحتاج إلى دليل، ولا دليل على ذلك. وعلى هذا الأساس قال جمعٌ من الفقهاء: إن الحديث من هذه الجهة مجمل. ولذا لا اعتبار له</w:t>
      </w:r>
      <w:r w:rsidRPr="00064619">
        <w:rPr>
          <w:rFonts w:cs="Taher"/>
          <w:vertAlign w:val="superscript"/>
          <w:rtl/>
          <w:lang w:bidi="ar-LB"/>
        </w:rPr>
        <w:t>(</w:t>
      </w:r>
      <w:r w:rsidRPr="00064619">
        <w:rPr>
          <w:rStyle w:val="FootnoteReference"/>
          <w:rFonts w:cs="Taher"/>
          <w:sz w:val="32"/>
          <w:rtl/>
          <w:lang w:bidi="ar-LB"/>
        </w:rPr>
        <w:footnoteReference w:id="737"/>
      </w:r>
      <w:r w:rsidRPr="00064619">
        <w:rPr>
          <w:rFonts w:cs="Taher"/>
          <w:vertAlign w:val="superscript"/>
          <w:rtl/>
          <w:lang w:bidi="ar-LB"/>
        </w:rPr>
        <w:t>)</w:t>
      </w:r>
      <w:r w:rsidRPr="00EA09EB">
        <w:rPr>
          <w:rFonts w:hint="cs"/>
          <w:rtl/>
        </w:rPr>
        <w:t>. بالإضافة إلى أنّ بعض الأسئلة التي طرحها إسحاق بن يعقوب، من قبيل: حكم الفقّاع وما شابهه، تؤكِّد لنا أنّ السائل بعيدٌ عن الكثير من واضحات فقه الشيعة وبديهيّاته. لذلك فإنّ احتمال أن يكون سؤاله للإمام</w:t>
      </w:r>
      <w:r>
        <w:rPr>
          <w:rFonts w:hint="cs"/>
          <w:rtl/>
        </w:rPr>
        <w:t>×</w:t>
      </w:r>
      <w:r w:rsidRPr="00EA09EB">
        <w:rPr>
          <w:rFonts w:hint="cs"/>
          <w:rtl/>
        </w:rPr>
        <w:t xml:space="preserve"> مرتبطاً بمرجع الإفتاء في الأحكام الشرعيّة غير بعيد.</w:t>
      </w:r>
    </w:p>
    <w:p w:rsidR="00EA09EB" w:rsidRPr="00EA09EB" w:rsidRDefault="00EA09EB" w:rsidP="007D79F5">
      <w:pPr>
        <w:pStyle w:val="Normal93"/>
        <w:rPr>
          <w:rtl/>
        </w:rPr>
      </w:pPr>
      <w:r w:rsidRPr="007A340E">
        <w:rPr>
          <w:rFonts w:hint="cs"/>
          <w:b/>
          <w:bCs/>
          <w:rtl/>
        </w:rPr>
        <w:t>ثانياً</w:t>
      </w:r>
      <w:r w:rsidRPr="00EA09EB">
        <w:rPr>
          <w:rFonts w:hint="cs"/>
          <w:rtl/>
        </w:rPr>
        <w:t>: إذا أردنا التمسُّك بعموم التعليل الحاصل من «فإنّهم حجّتي عليكم» فسوف يكون القدر المتيقَّن من جوابه</w:t>
      </w:r>
      <w:r>
        <w:rPr>
          <w:rFonts w:hint="cs"/>
          <w:rtl/>
        </w:rPr>
        <w:t>×</w:t>
      </w:r>
      <w:r w:rsidRPr="00EA09EB">
        <w:rPr>
          <w:rFonts w:hint="cs"/>
          <w:rtl/>
        </w:rPr>
        <w:t>؛ بمناسبة الحكم والموضوع، هو الأحكام الشرعيّة والحوادث؛ لأنّ روايات الأئمة</w:t>
      </w:r>
      <w:r w:rsidR="007A340E">
        <w:rPr>
          <w:rFonts w:hint="cs"/>
          <w:rtl/>
        </w:rPr>
        <w:t>^</w:t>
      </w:r>
      <w:r w:rsidRPr="00EA09EB">
        <w:rPr>
          <w:rFonts w:hint="cs"/>
          <w:rtl/>
        </w:rPr>
        <w:t xml:space="preserve"> هي المنشأ والمدرك لاستنباط أحكام شرعيّة كليّة، وهذا القدر المتيقَّن هو </w:t>
      </w:r>
      <w:r w:rsidRPr="007A340E">
        <w:rPr>
          <w:rFonts w:hint="cs"/>
          <w:b/>
          <w:bCs/>
          <w:rtl/>
        </w:rPr>
        <w:t>أولاً</w:t>
      </w:r>
      <w:r w:rsidRPr="00EA09EB">
        <w:rPr>
          <w:rFonts w:hint="cs"/>
          <w:rtl/>
        </w:rPr>
        <w:t xml:space="preserve">: قرينةٌ على انصراف العموم المدَّعى إلى الأحكام الشرعية. وببيان آخر: على فرض وجود عموم كهذا فإنّه يخصَّص بالقدر المتيقَّن؛ </w:t>
      </w:r>
      <w:r w:rsidRPr="007A340E">
        <w:rPr>
          <w:rFonts w:hint="cs"/>
          <w:b/>
          <w:bCs/>
          <w:rtl/>
        </w:rPr>
        <w:t>وثانياً</w:t>
      </w:r>
      <w:r w:rsidRPr="00EA09EB">
        <w:rPr>
          <w:rFonts w:hint="cs"/>
          <w:rtl/>
        </w:rPr>
        <w:t>: من الواضح أنّه لا يمكن التمسُّك بالإطلاق مع وجود قدرٍ متيقَّن، وتوفُّر ما يصلح قرينةً. وعلى هذا الأساس لا يمكن التمسُّك بالإطلاق لإثبات كون الفقهاء حجّة في الولاية التدبيريّة والقضاء</w:t>
      </w:r>
      <w:r w:rsidRPr="00064619">
        <w:rPr>
          <w:rFonts w:cs="Taher"/>
          <w:sz w:val="32"/>
          <w:vertAlign w:val="superscript"/>
          <w:rtl/>
        </w:rPr>
        <w:t>(</w:t>
      </w:r>
      <w:r w:rsidRPr="00064619">
        <w:rPr>
          <w:rStyle w:val="FootnoteReference"/>
          <w:rFonts w:cs="Taher"/>
          <w:sz w:val="32"/>
          <w:rtl/>
        </w:rPr>
        <w:footnoteReference w:id="738"/>
      </w:r>
      <w:r w:rsidRPr="00064619">
        <w:rPr>
          <w:rFonts w:cs="Taher"/>
          <w:sz w:val="32"/>
          <w:vertAlign w:val="superscript"/>
          <w:rtl/>
        </w:rPr>
        <w:t>)</w:t>
      </w:r>
      <w:r w:rsidRPr="00EA09EB">
        <w:rPr>
          <w:rFonts w:hint="cs"/>
          <w:rtl/>
        </w:rPr>
        <w:t>.</w:t>
      </w:r>
    </w:p>
    <w:p w:rsidR="00EA09EB" w:rsidRPr="00EA09EB" w:rsidRDefault="00EA09EB" w:rsidP="00EA09EB">
      <w:pPr>
        <w:rPr>
          <w:rtl/>
        </w:rPr>
      </w:pPr>
      <w:r w:rsidRPr="007A340E">
        <w:rPr>
          <w:rFonts w:hint="cs"/>
          <w:b/>
          <w:bCs/>
          <w:rtl/>
        </w:rPr>
        <w:t>ثالثاً</w:t>
      </w:r>
      <w:r w:rsidRPr="00EA09EB">
        <w:rPr>
          <w:rFonts w:hint="cs"/>
          <w:rtl/>
        </w:rPr>
        <w:t>: الظاهر من الحجّيّة هو الاحتجاج في كشف الأحكام الكلّيّة الواقعة. فالحجّة في قول الإمام</w:t>
      </w:r>
      <w:r>
        <w:rPr>
          <w:rFonts w:hint="cs"/>
          <w:rtl/>
        </w:rPr>
        <w:t>×</w:t>
      </w:r>
      <w:r w:rsidRPr="00EA09EB">
        <w:rPr>
          <w:rFonts w:hint="cs"/>
          <w:rtl/>
        </w:rPr>
        <w:t>: «أنا حجة الله عليهم» في هذا المقام هي الحجّة في بيان أحكام الله.</w:t>
      </w:r>
    </w:p>
    <w:p w:rsidR="00EA09EB" w:rsidRPr="00A32FC0" w:rsidRDefault="00EA09EB" w:rsidP="007D79F5">
      <w:pPr>
        <w:pStyle w:val="Normal84"/>
        <w:rPr>
          <w:rtl/>
        </w:rPr>
      </w:pPr>
      <w:r w:rsidRPr="00A32FC0">
        <w:rPr>
          <w:rFonts w:hint="cs"/>
          <w:rtl/>
        </w:rPr>
        <w:t>والفقهاء أيضاً نوّاب للأئمّة</w:t>
      </w:r>
      <w:r w:rsidR="007A340E">
        <w:rPr>
          <w:rFonts w:hint="cs"/>
          <w:rtl/>
        </w:rPr>
        <w:t>^</w:t>
      </w:r>
      <w:r w:rsidRPr="00A32FC0">
        <w:rPr>
          <w:rFonts w:hint="cs"/>
          <w:rtl/>
        </w:rPr>
        <w:t xml:space="preserve"> في الحجّة العلميّة والفتوائية. وأن يكون الأئمة حججاً على شيعتهم في جميع الأبعاد؛ لما يتمتَّعون به من مَلَكَة العصمة وعلم الغيب، أمرٌ، وأنّ هذه الرواية في مقام إثبات جميع ما يتمتَّع به الأئمّة من المناصب والأبعاد المختلفة لحجّتهم أمرٌ آخر.</w:t>
      </w:r>
    </w:p>
    <w:p w:rsidR="00EA09EB" w:rsidRPr="00EA09EB" w:rsidRDefault="00EA09EB" w:rsidP="007A340E">
      <w:pPr>
        <w:ind w:firstLine="283"/>
        <w:rPr>
          <w:rtl/>
        </w:rPr>
      </w:pPr>
      <w:r w:rsidRPr="00EA09EB">
        <w:rPr>
          <w:rFonts w:hint="cs"/>
          <w:rtl/>
        </w:rPr>
        <w:t>إنّه لا إشكال في الأمر الأوّل؛ أمّا الثاني فهو محلّ نقاش</w:t>
      </w:r>
      <w:r w:rsidRPr="00064619">
        <w:rPr>
          <w:rFonts w:cs="Taher"/>
          <w:sz w:val="32"/>
          <w:vertAlign w:val="superscript"/>
          <w:rtl/>
          <w:lang w:bidi="ar-LB"/>
        </w:rPr>
        <w:t>(</w:t>
      </w:r>
      <w:r w:rsidRPr="00064619">
        <w:rPr>
          <w:rStyle w:val="FootnoteReference"/>
          <w:rFonts w:cs="Taher"/>
          <w:sz w:val="32"/>
          <w:rtl/>
          <w:lang w:bidi="ar-LB"/>
        </w:rPr>
        <w:footnoteReference w:id="739"/>
      </w:r>
      <w:r w:rsidRPr="00064619">
        <w:rPr>
          <w:rFonts w:cs="Taher"/>
          <w:sz w:val="32"/>
          <w:vertAlign w:val="superscript"/>
          <w:rtl/>
          <w:lang w:bidi="ar-LB"/>
        </w:rPr>
        <w:t>)</w:t>
      </w:r>
      <w:r w:rsidRPr="00EA09EB">
        <w:rPr>
          <w:rFonts w:hint="cs"/>
          <w:rtl/>
        </w:rPr>
        <w:t>.</w:t>
      </w:r>
    </w:p>
    <w:p w:rsidR="00EA09EB" w:rsidRPr="00A32FC0" w:rsidRDefault="00EA09EB" w:rsidP="007D79F5">
      <w:pPr>
        <w:pStyle w:val="Normal84"/>
        <w:rPr>
          <w:rtl/>
        </w:rPr>
      </w:pPr>
      <w:r w:rsidRPr="00A32FC0">
        <w:rPr>
          <w:rFonts w:hint="cs"/>
          <w:rtl/>
        </w:rPr>
        <w:t>لا دلالة لهذه الرواية على ولاية الفقيه، وإنما تثبت مرجعيّة الفقهاء في أحكام الحوادث الواقعة.</w:t>
      </w:r>
    </w:p>
    <w:p w:rsidR="00EA09EB" w:rsidRPr="00EA09EB" w:rsidRDefault="00EA09EB" w:rsidP="007A340E">
      <w:pPr>
        <w:ind w:firstLine="283"/>
        <w:rPr>
          <w:rtl/>
        </w:rPr>
      </w:pPr>
      <w:r w:rsidRPr="00EA09EB">
        <w:rPr>
          <w:rFonts w:hint="cs"/>
          <w:rtl/>
        </w:rPr>
        <w:t>وأمّا المقدّمة الخامسة فقد قبلها أكثر الفقهاء بدون أيّ مناقشة أو بحث. إلاّ أنّ السيد محمد باقر الصدر كانت له مناقشة لها</w:t>
      </w:r>
      <w:r w:rsidRPr="00064619">
        <w:rPr>
          <w:rFonts w:cs="Taher"/>
          <w:sz w:val="32"/>
          <w:vertAlign w:val="superscript"/>
          <w:rtl/>
          <w:lang w:bidi="ar-LB"/>
        </w:rPr>
        <w:t>(</w:t>
      </w:r>
      <w:r w:rsidRPr="00064619">
        <w:rPr>
          <w:rStyle w:val="FootnoteReference"/>
          <w:rFonts w:cs="Taher"/>
          <w:sz w:val="32"/>
          <w:rtl/>
          <w:lang w:bidi="ar-LB"/>
        </w:rPr>
        <w:footnoteReference w:id="740"/>
      </w:r>
      <w:r w:rsidRPr="00064619">
        <w:rPr>
          <w:rFonts w:cs="Taher"/>
          <w:sz w:val="32"/>
          <w:vertAlign w:val="superscript"/>
          <w:rtl/>
          <w:lang w:bidi="ar-LB"/>
        </w:rPr>
        <w:t>)</w:t>
      </w:r>
      <w:r w:rsidRPr="00EA09EB">
        <w:rPr>
          <w:rFonts w:hint="cs"/>
          <w:rtl/>
        </w:rPr>
        <w:t>؛ فإن سبب الإرجاع إلى رواة الحديث (أو الفقهاء) يعود إلى اختصاصهم الذي هو الاستنباط من الروايات. والذي يستنبط من الروايات هو الأحكام الشرعيّة، وأمّا تشخيص الموضوعات الخارجيّة فليس من شأن الروايات حتّى يرجع فيها إلى الراوي والفقيه. إنّ رواة الحديث والفقهاء حجّة في نقل الروايات والاستنباط منها، أمّا بالنسبة إلى تشخيص الموضوعات الخارجيّة البحتة فليس من الضروريّ الرجوع فيها إلى الفقيه؛ لأنّ الحديث قد أرجع الأمّة في الحوادث الواقعة إلى الرواة من حيث هم رواة، أي الرجوع إليهم في كلّ ما له علاقة بتخصُّصهم الروائيّ، يعني في دائرة استنباط الأحكام الشرعية، وأمّا تشخيص الموضوعات الخارجيّة فإنّه يكون في عهدة الفقهاء قبل وصول الأمّة إلى مرحلة الرشد، وتولّي أمورها بنفسها، وأما بعد رشد الأمّة وتولّيها أمورها بنفسها فيصبح تشخيص الموضوعات الخارجيّة في عهدة مَنْ ينتخبه الناس لإدارة شؤونهم</w:t>
      </w:r>
      <w:r w:rsidRPr="00064619">
        <w:rPr>
          <w:rFonts w:cs="Taher"/>
          <w:sz w:val="32"/>
          <w:vertAlign w:val="superscript"/>
          <w:rtl/>
          <w:lang w:bidi="ar-LB"/>
        </w:rPr>
        <w:t>(</w:t>
      </w:r>
      <w:r w:rsidRPr="00064619">
        <w:rPr>
          <w:rStyle w:val="FootnoteReference"/>
          <w:rFonts w:cs="Taher"/>
          <w:sz w:val="32"/>
          <w:rtl/>
          <w:lang w:bidi="ar-LB"/>
        </w:rPr>
        <w:footnoteReference w:id="741"/>
      </w:r>
      <w:r w:rsidRPr="00064619">
        <w:rPr>
          <w:rFonts w:cs="Taher"/>
          <w:sz w:val="32"/>
          <w:vertAlign w:val="superscript"/>
          <w:rtl/>
          <w:lang w:bidi="ar-LB"/>
        </w:rPr>
        <w:t>)</w:t>
      </w:r>
      <w:r w:rsidRPr="00EA09EB">
        <w:rPr>
          <w:rFonts w:hint="cs"/>
          <w:rtl/>
        </w:rPr>
        <w:t>.</w:t>
      </w:r>
    </w:p>
    <w:p w:rsidR="00EA09EB" w:rsidRPr="00A32FC0" w:rsidRDefault="00EA09EB" w:rsidP="007D79F5">
      <w:pPr>
        <w:pStyle w:val="Normal84"/>
        <w:rPr>
          <w:rtl/>
        </w:rPr>
      </w:pPr>
      <w:r w:rsidRPr="00A32FC0">
        <w:rPr>
          <w:rFonts w:hint="cs"/>
          <w:rtl/>
        </w:rPr>
        <w:t xml:space="preserve">لقد أشار السيد محمد باقر الصدر إلى مسألة مهمّة جدّاً، سوف نتعرَّض لها في بحثنا شرط الفقاهة بشكلٍ مفصَّلٍ. والذي يمكن أن نشير إليه هنا ـ بشكلٍ مجملٍ ـ هو أنّ تدبير شؤون المجتمع وإدارته لا يقتصر على دائرة استنباط الأحكام الشرعيّة، بل هو مرتبط أيضاً بالاطّلاع على الموضوعات الخارجيّة. وعلى هذا الأساس فإنّ الرواية قد أرجعت الشيعة إلى الفقهاء في استنباط الأحكام. وما يتعلَّق بالزعامة السياسيّة والولاية التدبيرية هو إرجاع من النوع الثاني </w:t>
      </w:r>
      <w:r w:rsidRPr="00A32FC0">
        <w:rPr>
          <w:rtl/>
        </w:rPr>
        <w:t>ـ</w:t>
      </w:r>
      <w:r w:rsidRPr="00A32FC0">
        <w:rPr>
          <w:rFonts w:hint="cs"/>
          <w:rtl/>
        </w:rPr>
        <w:t xml:space="preserve"> تشخيص الموضوعات الخارجيّة </w:t>
      </w:r>
      <w:r w:rsidRPr="00A32FC0">
        <w:rPr>
          <w:rtl/>
        </w:rPr>
        <w:t>ـ</w:t>
      </w:r>
      <w:r w:rsidRPr="00A32FC0">
        <w:rPr>
          <w:rFonts w:hint="cs"/>
          <w:rtl/>
        </w:rPr>
        <w:t xml:space="preserve">؛ وذلك لأنه يمكن للمتولّي إدارة شؤون المجتمع أن يستفيد من استشارات الفقهاء والمجتهدين في الأحكام الشرعيّة، وخاصّة من إشراف الفقهاء؛ لتحصيل الاطمئنان في صحّة </w:t>
      </w:r>
      <w:r w:rsidR="00B57E2A">
        <w:rPr>
          <w:rFonts w:hint="cs"/>
          <w:rtl/>
        </w:rPr>
        <w:t>تنفيذ هذه الأحكام، أمّا التدبير</w:t>
      </w:r>
      <w:r w:rsidRPr="00A32FC0">
        <w:rPr>
          <w:rFonts w:hint="cs"/>
          <w:rtl/>
        </w:rPr>
        <w:t xml:space="preserve"> وإدارة المجتمع، فهذا موضوع آخر.</w:t>
      </w:r>
    </w:p>
    <w:p w:rsidR="00EA09EB" w:rsidRPr="00EA09EB" w:rsidRDefault="00EA09EB" w:rsidP="007D79F5">
      <w:pPr>
        <w:pStyle w:val="Normal93"/>
        <w:rPr>
          <w:rtl/>
        </w:rPr>
      </w:pPr>
      <w:r w:rsidRPr="00EA09EB">
        <w:rPr>
          <w:rFonts w:hint="cs"/>
          <w:rtl/>
        </w:rPr>
        <w:t xml:space="preserve">وأمّا المقدّمة السادسة </w:t>
      </w:r>
      <w:r w:rsidRPr="00EA09EB">
        <w:rPr>
          <w:rtl/>
        </w:rPr>
        <w:t>ـ</w:t>
      </w:r>
      <w:r w:rsidRPr="00EA09EB">
        <w:rPr>
          <w:rFonts w:hint="cs"/>
          <w:rtl/>
        </w:rPr>
        <w:t xml:space="preserve"> أي التعيين </w:t>
      </w:r>
      <w:r w:rsidRPr="00EA09EB">
        <w:rPr>
          <w:rtl/>
        </w:rPr>
        <w:t>ـ</w:t>
      </w:r>
      <w:r w:rsidRPr="00EA09EB">
        <w:rPr>
          <w:rFonts w:hint="cs"/>
          <w:rtl/>
        </w:rPr>
        <w:t xml:space="preserve"> فهي أيضاً محلّ نقاش. وإنْ كان بعض الفقهاء قد اعتبر أنّ التوقيع هو نصٌّ في الدلالة على تعيين الفقهاء للولاية، إلاّ أنّهم مع الأسف لم يشيروا بشكلٍ دقيقٍ إلى كيفيّة دلالة التوقيع على التعيين. إنّ عبارتَيْ «إنّهم حجّتي عليكم» و«فارجعوا إلى رواة حديثنا» أعمّ من المدَّعى. وليس هناك ملازمة بين كون الفقهاء حجّة وبين تعيينهم؛ فإنّ الحجة يمكن أن تكون من قبيل جعل الحكم للموضوع (كما هو رأي المحقِّق المراغي)</w:t>
      </w:r>
      <w:r w:rsidRPr="00064619">
        <w:rPr>
          <w:rFonts w:cs="Taher"/>
          <w:sz w:val="32"/>
          <w:vertAlign w:val="superscript"/>
          <w:rtl/>
        </w:rPr>
        <w:t>(</w:t>
      </w:r>
      <w:r w:rsidRPr="00064619">
        <w:rPr>
          <w:rStyle w:val="FootnoteReference"/>
          <w:rFonts w:cs="Taher"/>
          <w:sz w:val="32"/>
          <w:rtl/>
        </w:rPr>
        <w:footnoteReference w:id="742"/>
      </w:r>
      <w:r w:rsidRPr="00064619">
        <w:rPr>
          <w:rFonts w:cs="Taher"/>
          <w:sz w:val="32"/>
          <w:vertAlign w:val="superscript"/>
          <w:rtl/>
        </w:rPr>
        <w:t>)</w:t>
      </w:r>
      <w:r w:rsidRPr="00EA09EB">
        <w:rPr>
          <w:rFonts w:hint="cs"/>
          <w:rtl/>
        </w:rPr>
        <w:t>، أو أن يكون وكيلاً عن المعصوم</w:t>
      </w:r>
      <w:r>
        <w:rPr>
          <w:rFonts w:hint="cs"/>
          <w:rtl/>
        </w:rPr>
        <w:t>×</w:t>
      </w:r>
      <w:r w:rsidRPr="00EA09EB">
        <w:rPr>
          <w:rFonts w:hint="cs"/>
          <w:rtl/>
        </w:rPr>
        <w:t>، أو حتّى منتخباً من قبل الناس (كما هو رأي الشيخ منتظري)</w:t>
      </w:r>
      <w:r w:rsidRPr="00064619">
        <w:rPr>
          <w:rFonts w:cs="Taher"/>
          <w:sz w:val="32"/>
          <w:vertAlign w:val="superscript"/>
          <w:rtl/>
        </w:rPr>
        <w:t>(</w:t>
      </w:r>
      <w:r w:rsidRPr="00064619">
        <w:rPr>
          <w:rStyle w:val="FootnoteReference"/>
          <w:rFonts w:cs="Taher"/>
          <w:sz w:val="32"/>
          <w:rtl/>
        </w:rPr>
        <w:footnoteReference w:id="743"/>
      </w:r>
      <w:r w:rsidRPr="00064619">
        <w:rPr>
          <w:rFonts w:cs="Taher"/>
          <w:sz w:val="32"/>
          <w:vertAlign w:val="superscript"/>
          <w:rtl/>
        </w:rPr>
        <w:t>)</w:t>
      </w:r>
      <w:r w:rsidRPr="00EA09EB">
        <w:rPr>
          <w:rFonts w:hint="cs"/>
          <w:rtl/>
        </w:rPr>
        <w:t>. وأن يكون المسلمون مأمورين بالرجوع إلى الفقهاء لا يعني بالضرورة تعيين الفقهاء. وهذا يدلّ على أنّ الفقهاء يتمتَّعون بشروط المرجعيّة في الحوادث الواقعة، أما أكثر من هذا ـ أي تعيينهم لمنصب الولاية ـ فهو ما يعجز عن إثباته هذا التوقيع. ودلالة التوقيع على التعيين ليست أمراً بديهياً، حتّى يقال: إنّ القائلين به لا يحتاجون إلى دليل.</w:t>
      </w:r>
    </w:p>
    <w:p w:rsidR="00EA09EB" w:rsidRDefault="00EA09EB" w:rsidP="007D79F5">
      <w:pPr>
        <w:pStyle w:val="Normal93"/>
        <w:rPr>
          <w:rtl/>
        </w:rPr>
      </w:pPr>
      <w:r w:rsidRPr="00A32FC0">
        <w:rPr>
          <w:rFonts w:hint="cs"/>
          <w:rtl/>
        </w:rPr>
        <w:t xml:space="preserve">وأمّا المقدّمة السابعة </w:t>
      </w:r>
      <w:r w:rsidRPr="00A32FC0">
        <w:rPr>
          <w:rtl/>
        </w:rPr>
        <w:t>ـ</w:t>
      </w:r>
      <w:r w:rsidRPr="00A32FC0">
        <w:rPr>
          <w:rFonts w:hint="cs"/>
          <w:rtl/>
        </w:rPr>
        <w:t xml:space="preserve"> أي حدود صلاحيّات الولاية </w:t>
      </w:r>
      <w:r w:rsidRPr="00A32FC0">
        <w:rPr>
          <w:rtl/>
        </w:rPr>
        <w:t>ـ</w:t>
      </w:r>
      <w:r w:rsidRPr="00A32FC0">
        <w:rPr>
          <w:rFonts w:hint="cs"/>
          <w:rtl/>
        </w:rPr>
        <w:t xml:space="preserve"> فهي أيضاً غير تامّة؛ لأن وجود قرائن لفظية قبل هذا المقطع، وبعده ـ بالإضافة إلى القدر المتيقَّن؛ بمناسبة الحكم والموضوع ـ يمنع من التمسُّك بالإطلاق. بالإضافة إلى أنّ الرواية من هذه الجهة ليست في مقام البيان قطعاً.</w:t>
      </w:r>
    </w:p>
    <w:p w:rsidR="007A340E" w:rsidRPr="00A32FC0" w:rsidRDefault="007A340E" w:rsidP="00EA09EB">
      <w:pPr>
        <w:rPr>
          <w:rtl/>
          <w:lang w:bidi="ar-LB"/>
        </w:rPr>
      </w:pPr>
    </w:p>
    <w:p w:rsidR="00EA09EB" w:rsidRPr="00AB6BA6" w:rsidRDefault="00EA09EB" w:rsidP="007A340E">
      <w:pPr>
        <w:pStyle w:val="Heading4"/>
        <w:rPr>
          <w:rtl/>
        </w:rPr>
      </w:pPr>
      <w:r w:rsidRPr="00AB6BA6">
        <w:rPr>
          <w:rFonts w:hint="cs"/>
          <w:rtl/>
        </w:rPr>
        <w:t xml:space="preserve">نتيجة </w:t>
      </w:r>
      <w:r w:rsidRPr="007A340E">
        <w:rPr>
          <w:rFonts w:hint="cs"/>
          <w:rtl/>
        </w:rPr>
        <w:t>بحث</w:t>
      </w:r>
      <w:r w:rsidRPr="00AB6BA6">
        <w:rPr>
          <w:rFonts w:hint="cs"/>
          <w:rtl/>
        </w:rPr>
        <w:t xml:space="preserve"> التوقيع</w:t>
      </w:r>
    </w:p>
    <w:p w:rsidR="00EA09EB" w:rsidRPr="00EA09EB" w:rsidRDefault="00EA09EB" w:rsidP="007A340E">
      <w:pPr>
        <w:ind w:firstLine="283"/>
        <w:rPr>
          <w:rtl/>
        </w:rPr>
      </w:pPr>
      <w:r w:rsidRPr="007A340E">
        <w:rPr>
          <w:rFonts w:hint="cs"/>
          <w:b/>
          <w:bCs/>
          <w:rtl/>
        </w:rPr>
        <w:t>أولاً</w:t>
      </w:r>
      <w:r w:rsidRPr="00EA09EB">
        <w:rPr>
          <w:rFonts w:hint="cs"/>
          <w:rtl/>
        </w:rPr>
        <w:t xml:space="preserve">: إنّ التوقيع ضعيف السند طبقاً لضوابط علم الرجال. </w:t>
      </w:r>
    </w:p>
    <w:p w:rsidR="00EA09EB" w:rsidRPr="00EA09EB" w:rsidRDefault="00EA09EB" w:rsidP="007A340E">
      <w:pPr>
        <w:ind w:firstLine="283"/>
        <w:rPr>
          <w:rtl/>
        </w:rPr>
      </w:pPr>
      <w:r w:rsidRPr="007A340E">
        <w:rPr>
          <w:rFonts w:hint="cs"/>
          <w:b/>
          <w:bCs/>
          <w:rtl/>
        </w:rPr>
        <w:t>ثانياً</w:t>
      </w:r>
      <w:r w:rsidRPr="00EA09EB">
        <w:rPr>
          <w:rFonts w:hint="cs"/>
          <w:rtl/>
        </w:rPr>
        <w:t>: لا دلالة لهذه الرواية على الولاية التدبيريّة للفقهاء، ولا تدلّ على أكثر من مرجعيّة الفقهاء في استنباط الأحكام الشرعيّة، وليس تشخيص الموضوعات الخارجيّة.</w:t>
      </w:r>
    </w:p>
    <w:p w:rsidR="007D79F5" w:rsidRDefault="00EA09EB" w:rsidP="007D79F5">
      <w:pPr>
        <w:ind w:firstLine="283"/>
        <w:rPr>
          <w:rtl/>
        </w:rPr>
      </w:pPr>
      <w:r w:rsidRPr="007A340E">
        <w:rPr>
          <w:rFonts w:hint="cs"/>
          <w:b/>
          <w:bCs/>
          <w:rtl/>
        </w:rPr>
        <w:t>ثالثاً</w:t>
      </w:r>
      <w:r w:rsidRPr="00EA09EB">
        <w:rPr>
          <w:rFonts w:hint="cs"/>
          <w:rtl/>
        </w:rPr>
        <w:t>: لا دلالة لها على تعيين الفقهاء.</w:t>
      </w:r>
    </w:p>
    <w:p w:rsidR="00EA09EB" w:rsidRPr="00A32FC0" w:rsidRDefault="00EA09EB" w:rsidP="007D79F5">
      <w:pPr>
        <w:pStyle w:val="Normal84"/>
        <w:rPr>
          <w:rtl/>
        </w:rPr>
      </w:pPr>
      <w:r w:rsidRPr="00A32FC0">
        <w:rPr>
          <w:rFonts w:hint="cs"/>
          <w:rtl/>
        </w:rPr>
        <w:t xml:space="preserve">إنّ الروايات العشر التي بحثناها كانت أهمّ الأدلّة الروائيّة على بحث ولاية الفقيه. </w:t>
      </w:r>
    </w:p>
    <w:p w:rsidR="00EA09EB" w:rsidRPr="00EA09EB" w:rsidRDefault="00EA09EB" w:rsidP="007D79F5">
      <w:pPr>
        <w:pStyle w:val="Normal87"/>
        <w:rPr>
          <w:rtl/>
        </w:rPr>
      </w:pPr>
      <w:r w:rsidRPr="00EA09EB">
        <w:rPr>
          <w:rFonts w:hint="cs"/>
          <w:rtl/>
        </w:rPr>
        <w:t>وفي بداية طرح بحث ولاية الفقيه، قبل قرن ونصف من الزمن، تمّت الإشارة إلى عدد آخر من الروايات أيضاً كأدلة على المسألة</w:t>
      </w:r>
      <w:r w:rsidRPr="00064619">
        <w:rPr>
          <w:rFonts w:cs="Taher"/>
          <w:sz w:val="32"/>
          <w:vertAlign w:val="superscript"/>
          <w:rtl/>
        </w:rPr>
        <w:t>(</w:t>
      </w:r>
      <w:r w:rsidRPr="00064619">
        <w:rPr>
          <w:rStyle w:val="FootnoteReference"/>
          <w:rFonts w:cs="Taher"/>
          <w:sz w:val="32"/>
          <w:rtl/>
        </w:rPr>
        <w:footnoteReference w:id="744"/>
      </w:r>
      <w:r w:rsidRPr="00064619">
        <w:rPr>
          <w:rFonts w:cs="Taher"/>
          <w:sz w:val="32"/>
          <w:vertAlign w:val="superscript"/>
          <w:rtl/>
        </w:rPr>
        <w:t>)</w:t>
      </w:r>
      <w:r w:rsidRPr="00EA09EB">
        <w:rPr>
          <w:rFonts w:hint="cs"/>
          <w:rtl/>
        </w:rPr>
        <w:t xml:space="preserve">. </w:t>
      </w:r>
    </w:p>
    <w:p w:rsidR="00EA09EB" w:rsidRDefault="00EA09EB" w:rsidP="007D79F5">
      <w:pPr>
        <w:pStyle w:val="Normal84"/>
        <w:rPr>
          <w:rtl/>
        </w:rPr>
      </w:pPr>
      <w:r w:rsidRPr="00A32FC0">
        <w:rPr>
          <w:rFonts w:hint="cs"/>
          <w:rtl/>
        </w:rPr>
        <w:t>وقد قام الفقهاء (المؤيِّد والمعارض) ـ بشكلٍ تدريجيٍّ ـ بحذف هذه الروايات، التي لا تدلّ على أكثر من فضل العلم والعالم، من بحث ولاية الفقيه. وعندما نرجع إلى هذه الروايات نلاحظ أنها لا تحتوي على أكثر ممّا ورد في الروايات العشر من الدلالة على ولاية الفقيه.</w:t>
      </w:r>
    </w:p>
    <w:p w:rsidR="007A340E" w:rsidRPr="00A32FC0" w:rsidRDefault="007A340E" w:rsidP="00EA09EB">
      <w:pPr>
        <w:rPr>
          <w:rtl/>
          <w:lang w:bidi="ar-LB"/>
        </w:rPr>
      </w:pPr>
    </w:p>
    <w:p w:rsidR="00EA09EB" w:rsidRPr="00633407" w:rsidRDefault="00EA09EB" w:rsidP="007A340E">
      <w:pPr>
        <w:pStyle w:val="Heading4"/>
        <w:rPr>
          <w:rtl/>
        </w:rPr>
      </w:pPr>
      <w:r w:rsidRPr="00633407">
        <w:rPr>
          <w:rFonts w:hint="cs"/>
          <w:rtl/>
        </w:rPr>
        <w:t xml:space="preserve">حاصل البحث </w:t>
      </w:r>
    </w:p>
    <w:p w:rsidR="00EA09EB" w:rsidRPr="00A32FC0" w:rsidRDefault="00EA09EB" w:rsidP="00EA09EB">
      <w:pPr>
        <w:rPr>
          <w:rtl/>
          <w:lang w:bidi="ar-LB"/>
        </w:rPr>
      </w:pPr>
      <w:r w:rsidRPr="00A32FC0">
        <w:rPr>
          <w:rFonts w:hint="cs"/>
          <w:rtl/>
          <w:lang w:bidi="ar-LB"/>
        </w:rPr>
        <w:t>سوف نلخِّص هنا بحثنا في الأدلّة الروائية للحكومة الولائيّة بالشكل التالي:</w:t>
      </w:r>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إنّ ثلاث روايات من هذه الروايات العشر مرسَلةٌ (لا سند لها)، ولا اعتبار فقهيّاً لها: </w:t>
      </w:r>
    </w:p>
    <w:p w:rsidR="00EA09EB" w:rsidRPr="00EA09EB" w:rsidRDefault="00EA09EB" w:rsidP="007A340E">
      <w:pPr>
        <w:ind w:firstLine="283"/>
        <w:rPr>
          <w:rtl/>
        </w:rPr>
      </w:pPr>
      <w:r w:rsidRPr="007A340E">
        <w:rPr>
          <w:rFonts w:hint="cs"/>
          <w:b/>
          <w:bCs/>
          <w:rtl/>
        </w:rPr>
        <w:t>الأولى</w:t>
      </w:r>
      <w:r w:rsidRPr="00EA09EB">
        <w:rPr>
          <w:rFonts w:hint="cs"/>
          <w:rtl/>
        </w:rPr>
        <w:t xml:space="preserve">: «السلطان وليُّ مَنْ لا ولي له». </w:t>
      </w:r>
    </w:p>
    <w:p w:rsidR="00EA09EB" w:rsidRPr="00EA09EB" w:rsidRDefault="00EA09EB" w:rsidP="007A340E">
      <w:pPr>
        <w:ind w:firstLine="283"/>
        <w:rPr>
          <w:rtl/>
        </w:rPr>
      </w:pPr>
      <w:r w:rsidRPr="007A340E">
        <w:rPr>
          <w:rFonts w:hint="cs"/>
          <w:b/>
          <w:bCs/>
          <w:rtl/>
        </w:rPr>
        <w:t>الثانية</w:t>
      </w:r>
      <w:r w:rsidRPr="00EA09EB">
        <w:rPr>
          <w:rFonts w:hint="cs"/>
          <w:rtl/>
        </w:rPr>
        <w:t xml:space="preserve">: «العلماء حكّام على الناس، أو على الملوك». </w:t>
      </w:r>
    </w:p>
    <w:p w:rsidR="00EA09EB" w:rsidRPr="00EA09EB" w:rsidRDefault="00EA09EB" w:rsidP="007A340E">
      <w:pPr>
        <w:ind w:firstLine="283"/>
        <w:rPr>
          <w:rtl/>
        </w:rPr>
      </w:pPr>
      <w:r w:rsidRPr="007A340E">
        <w:rPr>
          <w:rFonts w:hint="cs"/>
          <w:b/>
          <w:bCs/>
          <w:rtl/>
        </w:rPr>
        <w:t>الثالثة</w:t>
      </w:r>
      <w:r w:rsidRPr="00EA09EB">
        <w:rPr>
          <w:rFonts w:hint="cs"/>
          <w:rtl/>
        </w:rPr>
        <w:t xml:space="preserve">: «مجاري الأمور والأحكام بأيدي العلماء بالله، الأمناء على حلاله وحرامه». </w:t>
      </w:r>
    </w:p>
    <w:p w:rsidR="00EA09EB" w:rsidRPr="00A32FC0" w:rsidRDefault="00EA09EB" w:rsidP="00EA09EB">
      <w:pPr>
        <w:rPr>
          <w:rtl/>
          <w:lang w:bidi="ar-LB"/>
        </w:rPr>
      </w:pPr>
      <w:r w:rsidRPr="00A32FC0">
        <w:rPr>
          <w:rFonts w:hint="cs"/>
          <w:rtl/>
          <w:lang w:bidi="ar-LB"/>
        </w:rPr>
        <w:t>ولو كان لهذه الرواية الأخيرة سند معتبر لَدَلَّت على الزعامة السياسيّة للفقهاء في الشؤون العامّة</w:t>
      </w:r>
      <w:r>
        <w:rPr>
          <w:rFonts w:hint="cs"/>
          <w:rtl/>
          <w:lang w:bidi="ar-LB"/>
        </w:rPr>
        <w:t>،</w:t>
      </w:r>
      <w:r w:rsidRPr="00A32FC0">
        <w:rPr>
          <w:rFonts w:hint="cs"/>
          <w:rtl/>
          <w:lang w:bidi="ar-LB"/>
        </w:rPr>
        <w:t xml:space="preserve"> لا الولاية الشرعيّة. </w:t>
      </w:r>
    </w:p>
    <w:p w:rsidR="00EA09EB" w:rsidRPr="00A32FC0" w:rsidRDefault="00EA09EB" w:rsidP="00EA09EB">
      <w:pPr>
        <w:rPr>
          <w:rtl/>
          <w:lang w:bidi="ar-LB"/>
        </w:rPr>
      </w:pPr>
      <w:r w:rsidRPr="00A32FC0">
        <w:rPr>
          <w:rFonts w:hint="cs"/>
          <w:rtl/>
          <w:lang w:bidi="ar-LB"/>
        </w:rPr>
        <w:t>2</w:t>
      </w:r>
      <w:r w:rsidRPr="00A32FC0">
        <w:rPr>
          <w:rtl/>
          <w:lang w:bidi="ar-LB"/>
        </w:rPr>
        <w:t>ـ</w:t>
      </w:r>
      <w:r w:rsidRPr="00A32FC0">
        <w:rPr>
          <w:rFonts w:hint="cs"/>
          <w:rtl/>
          <w:lang w:bidi="ar-LB"/>
        </w:rPr>
        <w:t xml:space="preserve"> من الروايات السبع المسنَدة لا اعتبار فقهيّاً لرواية </w:t>
      </w:r>
      <w:r w:rsidRPr="00A32FC0">
        <w:rPr>
          <w:rFonts w:hint="cs"/>
          <w:rtl/>
        </w:rPr>
        <w:t>«</w:t>
      </w:r>
      <w:r w:rsidRPr="00A32FC0">
        <w:rPr>
          <w:rFonts w:hint="cs"/>
          <w:rtl/>
          <w:lang w:bidi="ar-LB"/>
        </w:rPr>
        <w:t>الفقهاء حصون الإسلام</w:t>
      </w:r>
      <w:r w:rsidRPr="00A32FC0">
        <w:rPr>
          <w:rFonts w:hint="cs"/>
          <w:rtl/>
        </w:rPr>
        <w:t>»</w:t>
      </w:r>
      <w:r>
        <w:rPr>
          <w:rFonts w:hint="cs"/>
          <w:rtl/>
          <w:lang w:bidi="ar-LB"/>
        </w:rPr>
        <w:t>؛</w:t>
      </w:r>
      <w:r w:rsidRPr="00A32FC0">
        <w:rPr>
          <w:rFonts w:hint="cs"/>
          <w:rtl/>
          <w:lang w:bidi="ar-LB"/>
        </w:rPr>
        <w:t xml:space="preserve"> بسبب ضعف سندها بعليّ بن أبي حمزة البطائنيّ. </w:t>
      </w:r>
    </w:p>
    <w:p w:rsidR="00EA09EB" w:rsidRPr="00A32FC0" w:rsidRDefault="00EA09EB" w:rsidP="00EA09EB">
      <w:pPr>
        <w:rPr>
          <w:rtl/>
          <w:lang w:bidi="ar-LB"/>
        </w:rPr>
      </w:pPr>
      <w:r w:rsidRPr="00A32FC0">
        <w:rPr>
          <w:rFonts w:hint="cs"/>
          <w:rtl/>
          <w:lang w:bidi="ar-LB"/>
        </w:rPr>
        <w:t>كما أن التوقيع المنسوب إلى الإمام المهدي</w:t>
      </w:r>
      <w:r>
        <w:rPr>
          <w:rFonts w:hint="cs"/>
          <w:rtl/>
        </w:rPr>
        <w:t>×</w:t>
      </w:r>
      <w:r w:rsidRPr="00A32FC0">
        <w:rPr>
          <w:rFonts w:hint="cs"/>
          <w:rtl/>
          <w:lang w:bidi="ar-LB"/>
        </w:rPr>
        <w:t xml:space="preserve"> ضعيف أيضاً؛ بسبب مجهوليّة إسحاق بن يعقوب، وبالتالي لا اعتبار فقهيّاً له أيضاً.</w:t>
      </w:r>
    </w:p>
    <w:p w:rsidR="00EA09EB" w:rsidRPr="00A32FC0" w:rsidRDefault="00EA09EB" w:rsidP="00EA09EB">
      <w:pPr>
        <w:rPr>
          <w:rtl/>
          <w:lang w:bidi="ar-LB"/>
        </w:rPr>
      </w:pPr>
      <w:r w:rsidRPr="00A32FC0">
        <w:rPr>
          <w:rFonts w:hint="cs"/>
          <w:rtl/>
          <w:lang w:bidi="ar-LB"/>
        </w:rPr>
        <w:t>3</w:t>
      </w:r>
      <w:r w:rsidRPr="00A32FC0">
        <w:rPr>
          <w:rtl/>
          <w:lang w:bidi="ar-LB"/>
        </w:rPr>
        <w:t>ـ</w:t>
      </w:r>
      <w:r w:rsidRPr="00A32FC0">
        <w:rPr>
          <w:rFonts w:hint="cs"/>
          <w:rtl/>
          <w:lang w:bidi="ar-LB"/>
        </w:rPr>
        <w:t xml:space="preserve"> ومن الروايات الخمس الباقية لا تخلو روايات عمر بن حنظلة، وأبي خديجة، وأحاديث </w:t>
      </w:r>
      <w:r w:rsidRPr="00A32FC0">
        <w:rPr>
          <w:rFonts w:hint="cs"/>
          <w:rtl/>
        </w:rPr>
        <w:t>«</w:t>
      </w:r>
      <w:r w:rsidRPr="00A32FC0">
        <w:rPr>
          <w:rFonts w:hint="cs"/>
          <w:rtl/>
          <w:lang w:bidi="ar-LB"/>
        </w:rPr>
        <w:t>اللهم ارحم خلفائي</w:t>
      </w:r>
      <w:r w:rsidRPr="00A32FC0">
        <w:rPr>
          <w:rFonts w:hint="cs"/>
          <w:rtl/>
        </w:rPr>
        <w:t>»</w:t>
      </w:r>
      <w:r>
        <w:rPr>
          <w:rFonts w:hint="cs"/>
          <w:rtl/>
          <w:lang w:bidi="ar-LB"/>
        </w:rPr>
        <w:t>،</w:t>
      </w:r>
      <w:r w:rsidRPr="00A32FC0">
        <w:rPr>
          <w:rFonts w:hint="cs"/>
          <w:rtl/>
          <w:lang w:bidi="ar-LB"/>
        </w:rPr>
        <w:t xml:space="preserve"> من المناقشة السنديّة.</w:t>
      </w:r>
    </w:p>
    <w:p w:rsidR="00EA09EB" w:rsidRPr="00A32FC0" w:rsidRDefault="00EA09EB" w:rsidP="00EA09EB">
      <w:pPr>
        <w:rPr>
          <w:rtl/>
          <w:lang w:bidi="ar-LB"/>
        </w:rPr>
      </w:pPr>
      <w:r w:rsidRPr="00A32FC0">
        <w:rPr>
          <w:rFonts w:hint="cs"/>
          <w:rtl/>
          <w:lang w:bidi="ar-LB"/>
        </w:rPr>
        <w:t>وإذا غضضنا النظر، وقلنا بأنّ الضعف السنديّ مجبورٌ بعمل الأصحاب، أو بالشهرة، فإنّه لا دلالة لها على الولاية التدبيريّة للفقهاء.</w:t>
      </w:r>
    </w:p>
    <w:p w:rsidR="00EA09EB" w:rsidRPr="00A32FC0" w:rsidRDefault="00EA09EB" w:rsidP="00EA09EB">
      <w:pPr>
        <w:rPr>
          <w:rtl/>
          <w:lang w:bidi="ar-LB"/>
        </w:rPr>
      </w:pPr>
      <w:r w:rsidRPr="00A32FC0">
        <w:rPr>
          <w:rFonts w:hint="cs"/>
          <w:rtl/>
          <w:lang w:bidi="ar-LB"/>
        </w:rPr>
        <w:t>وأمّا روايتا ابن حنظلة وأبي خديجة فلا تدلاّن على أكثر من منصب القضاء. بالإضافة إلى دلالة رواية أبي خديجة</w:t>
      </w:r>
      <w:r>
        <w:rPr>
          <w:rFonts w:hint="cs"/>
          <w:rtl/>
          <w:lang w:bidi="ar-LB"/>
        </w:rPr>
        <w:t xml:space="preserve">، وأمّا الرواية الأخيرة فإنّها تثبت الخلافة </w:t>
      </w:r>
      <w:r w:rsidRPr="00A32FC0">
        <w:rPr>
          <w:rFonts w:hint="cs"/>
          <w:rtl/>
          <w:lang w:bidi="ar-LB"/>
        </w:rPr>
        <w:t>في تبليغ الأحكام وتعليمها</w:t>
      </w:r>
      <w:r>
        <w:rPr>
          <w:rFonts w:hint="cs"/>
          <w:rtl/>
          <w:lang w:bidi="ar-LB"/>
        </w:rPr>
        <w:t>، لا أكثر</w:t>
      </w:r>
      <w:r w:rsidRPr="00A32FC0">
        <w:rPr>
          <w:rFonts w:hint="cs"/>
          <w:rtl/>
          <w:lang w:bidi="ar-LB"/>
        </w:rPr>
        <w:t>.</w:t>
      </w:r>
    </w:p>
    <w:p w:rsidR="00EA09EB" w:rsidRPr="00A32FC0" w:rsidRDefault="00EA09EB" w:rsidP="00EA09EB">
      <w:pPr>
        <w:rPr>
          <w:rtl/>
          <w:lang w:bidi="ar-LB"/>
        </w:rPr>
      </w:pPr>
      <w:r w:rsidRPr="00A32FC0">
        <w:rPr>
          <w:rFonts w:hint="cs"/>
          <w:rtl/>
          <w:lang w:bidi="ar-LB"/>
        </w:rPr>
        <w:t>4</w:t>
      </w:r>
      <w:r w:rsidRPr="00A32FC0">
        <w:rPr>
          <w:rtl/>
          <w:lang w:bidi="ar-LB"/>
        </w:rPr>
        <w:t>ـ</w:t>
      </w:r>
      <w:r w:rsidRPr="00A32FC0">
        <w:rPr>
          <w:rFonts w:hint="cs"/>
          <w:rtl/>
          <w:lang w:bidi="ar-LB"/>
        </w:rPr>
        <w:t xml:space="preserve"> من هذه المجموعة من الروايات هناك فقط روايتان خاليتان من الإشكالات السنديّة:</w:t>
      </w:r>
    </w:p>
    <w:p w:rsidR="00EA09EB" w:rsidRPr="00EA09EB" w:rsidRDefault="00EA09EB" w:rsidP="007A340E">
      <w:pPr>
        <w:ind w:firstLine="283"/>
        <w:rPr>
          <w:rtl/>
        </w:rPr>
      </w:pPr>
      <w:r w:rsidRPr="007A340E">
        <w:rPr>
          <w:rFonts w:hint="cs"/>
          <w:b/>
          <w:bCs/>
          <w:rtl/>
        </w:rPr>
        <w:t>الأولى</w:t>
      </w:r>
      <w:r w:rsidRPr="00EA09EB">
        <w:rPr>
          <w:rFonts w:hint="cs"/>
          <w:rtl/>
        </w:rPr>
        <w:t xml:space="preserve">: موثَّقة السكونيّ: «الفقهاء أمناء الرسل». </w:t>
      </w:r>
    </w:p>
    <w:p w:rsidR="00EA09EB" w:rsidRPr="00EA09EB" w:rsidRDefault="00EA09EB" w:rsidP="007A340E">
      <w:pPr>
        <w:ind w:firstLine="283"/>
        <w:rPr>
          <w:rtl/>
        </w:rPr>
      </w:pPr>
      <w:r w:rsidRPr="007A340E">
        <w:rPr>
          <w:rFonts w:hint="cs"/>
          <w:b/>
          <w:bCs/>
          <w:rtl/>
        </w:rPr>
        <w:t>الثانية</w:t>
      </w:r>
      <w:r w:rsidRPr="00EA09EB">
        <w:rPr>
          <w:rFonts w:hint="cs"/>
          <w:rtl/>
        </w:rPr>
        <w:t>: صحيحة القدّاح: «العلماء ورثة الأنبياء».</w:t>
      </w:r>
    </w:p>
    <w:p w:rsidR="00EA09EB" w:rsidRPr="00A32FC0" w:rsidRDefault="00EA09EB" w:rsidP="00EA09EB">
      <w:pPr>
        <w:rPr>
          <w:rtl/>
          <w:lang w:bidi="ar-LB"/>
        </w:rPr>
      </w:pPr>
      <w:r w:rsidRPr="00A32FC0">
        <w:rPr>
          <w:rFonts w:hint="cs"/>
          <w:rtl/>
          <w:lang w:bidi="ar-LB"/>
        </w:rPr>
        <w:t>ودلالة هاتين الروايتين المعتبرتين تقتصر على أمانة الفقهاء، ووراثتهم نشر الدعوة وتبليغ الأحكام الشرعيّة وتعليمها، ولا دلالة لهما على الولاية الشرعيّة للفقيه.</w:t>
      </w:r>
    </w:p>
    <w:p w:rsidR="007A340E" w:rsidRDefault="00EA09EB" w:rsidP="007A340E">
      <w:pPr>
        <w:rPr>
          <w:rtl/>
        </w:rPr>
      </w:pPr>
      <w:r w:rsidRPr="00A32FC0">
        <w:rPr>
          <w:rFonts w:hint="cs"/>
          <w:rtl/>
          <w:lang w:bidi="ar-LB"/>
        </w:rPr>
        <w:t>وعلى هذا ليس هناك أيّ دليل معتبر على الولاية التعيينيّة المطلقة للفقيه في روايات النبيّ</w:t>
      </w:r>
      <w:r w:rsidRPr="00A32FC0">
        <w:rPr>
          <w:rFonts w:hint="cs"/>
          <w:rtl/>
        </w:rPr>
        <w:sym w:font="Roumouz" w:char="F02D"/>
      </w:r>
      <w:r w:rsidRPr="00A32FC0">
        <w:rPr>
          <w:rFonts w:hint="cs"/>
          <w:rtl/>
          <w:lang w:bidi="ar-LB"/>
        </w:rPr>
        <w:t xml:space="preserve"> وأهل البيت</w:t>
      </w:r>
      <w:r w:rsidR="007A340E">
        <w:rPr>
          <w:rFonts w:hint="cs"/>
          <w:rtl/>
        </w:rPr>
        <w:t>^</w:t>
      </w:r>
      <w:r w:rsidRPr="00A32FC0">
        <w:rPr>
          <w:rFonts w:hint="cs"/>
          <w:rtl/>
          <w:lang w:bidi="ar-LB"/>
        </w:rPr>
        <w:t>.</w:t>
      </w:r>
      <w:r w:rsidRPr="00EA09EB">
        <w:rPr>
          <w:rtl/>
        </w:rPr>
        <w:br w:type="page"/>
      </w:r>
    </w:p>
    <w:p w:rsidR="007A340E" w:rsidRDefault="007A340E" w:rsidP="007A340E">
      <w:pPr>
        <w:rPr>
          <w:rtl/>
        </w:rPr>
        <w:sectPr w:rsidR="007A340E" w:rsidSect="009003FC">
          <w:headerReference w:type="even" r:id="rId67"/>
          <w:headerReference w:type="default" r:id="rId68"/>
          <w:headerReference w:type="first" r:id="rId69"/>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rPr>
      </w:pPr>
    </w:p>
    <w:p w:rsidR="007A340E" w:rsidRDefault="007A340E" w:rsidP="007A340E">
      <w:pPr>
        <w:rPr>
          <w:rtl/>
        </w:rPr>
      </w:pPr>
    </w:p>
    <w:p w:rsidR="007A340E" w:rsidRDefault="007A340E" w:rsidP="007A340E">
      <w:pPr>
        <w:rPr>
          <w:rtl/>
        </w:rPr>
      </w:pPr>
    </w:p>
    <w:p w:rsidR="007A340E" w:rsidRPr="007D79F5" w:rsidRDefault="007A340E" w:rsidP="007A340E">
      <w:pPr>
        <w:rPr>
          <w:sz w:val="32"/>
          <w:szCs w:val="34"/>
          <w:rtl/>
        </w:rPr>
      </w:pPr>
    </w:p>
    <w:p w:rsidR="00EA09EB" w:rsidRPr="00E2207F" w:rsidRDefault="00EA09EB" w:rsidP="007A340E">
      <w:pPr>
        <w:pStyle w:val="Heading2"/>
        <w:jc w:val="center"/>
        <w:rPr>
          <w:rtl/>
          <w:lang w:bidi="ar-LB"/>
        </w:rPr>
      </w:pPr>
      <w:bookmarkStart w:id="58" w:name="_Toc413658840"/>
      <w:r w:rsidRPr="00E2207F">
        <w:rPr>
          <w:rFonts w:hint="cs"/>
          <w:rtl/>
          <w:lang w:bidi="ar-LB"/>
        </w:rPr>
        <w:t xml:space="preserve">الفصل الواحد </w:t>
      </w:r>
      <w:r w:rsidRPr="007A340E">
        <w:rPr>
          <w:rFonts w:hint="cs"/>
          <w:rtl/>
        </w:rPr>
        <w:t>والعشرون</w:t>
      </w:r>
      <w:r w:rsidRPr="00E2207F">
        <w:rPr>
          <w:rFonts w:hint="cs"/>
          <w:rtl/>
          <w:lang w:bidi="ar-LB"/>
        </w:rPr>
        <w:t>: بحث الأدلّة القرآنيّة للحكومة الولائيّة</w:t>
      </w:r>
      <w:bookmarkEnd w:id="58"/>
    </w:p>
    <w:p w:rsidR="00EA09EB" w:rsidRPr="00A32FC0" w:rsidRDefault="00EA09EB" w:rsidP="00EA09EB">
      <w:pPr>
        <w:rPr>
          <w:rtl/>
          <w:lang w:bidi="ar-LB"/>
        </w:rPr>
      </w:pPr>
      <w:r w:rsidRPr="00A32FC0">
        <w:rPr>
          <w:rFonts w:hint="cs"/>
          <w:rtl/>
          <w:lang w:bidi="ar-LB"/>
        </w:rPr>
        <w:t xml:space="preserve">الأكثريّة الساحقة من الفقهاء لم يعثروا في آيات القرآن الكريم على دليلٍ على الولاية التعيينية للفقهاء. </w:t>
      </w:r>
    </w:p>
    <w:p w:rsidR="00EA09EB" w:rsidRPr="00EA09EB" w:rsidRDefault="00EA09EB" w:rsidP="007D79F5">
      <w:pPr>
        <w:pStyle w:val="Normal93"/>
        <w:rPr>
          <w:rtl/>
        </w:rPr>
      </w:pPr>
      <w:r w:rsidRPr="00EA09EB">
        <w:rPr>
          <w:rFonts w:hint="cs"/>
          <w:rtl/>
        </w:rPr>
        <w:t xml:space="preserve">فالمحقِّق النراقي </w:t>
      </w:r>
      <w:r w:rsidRPr="00EA09EB">
        <w:rPr>
          <w:rtl/>
        </w:rPr>
        <w:t>ـ</w:t>
      </w:r>
      <w:r w:rsidRPr="00EA09EB">
        <w:rPr>
          <w:rFonts w:hint="cs"/>
          <w:rtl/>
        </w:rPr>
        <w:t xml:space="preserve"> وهو أوّل قائل بهذه النظرية </w:t>
      </w:r>
      <w:r w:rsidRPr="00EA09EB">
        <w:rPr>
          <w:rtl/>
        </w:rPr>
        <w:t>ـ</w:t>
      </w:r>
      <w:r w:rsidRPr="00EA09EB">
        <w:rPr>
          <w:rFonts w:hint="cs"/>
          <w:rtl/>
        </w:rPr>
        <w:t xml:space="preserve"> والسيد الخمينيّ </w:t>
      </w:r>
      <w:r w:rsidRPr="00EA09EB">
        <w:rPr>
          <w:rtl/>
        </w:rPr>
        <w:t>ـ</w:t>
      </w:r>
      <w:r w:rsidRPr="00EA09EB">
        <w:rPr>
          <w:rFonts w:hint="cs"/>
          <w:rtl/>
        </w:rPr>
        <w:t xml:space="preserve"> وهو أهمّ قائل بها </w:t>
      </w:r>
      <w:r w:rsidRPr="00EA09EB">
        <w:rPr>
          <w:rtl/>
        </w:rPr>
        <w:t>ـ</w:t>
      </w:r>
      <w:r w:rsidRPr="00EA09EB">
        <w:rPr>
          <w:rFonts w:hint="cs"/>
          <w:rtl/>
        </w:rPr>
        <w:t>، اللذان استعرضا ولاية الفقيه بشكلٍ أوسع ممّا قام به الفقهاء الآخرون، لم يذكرا حتّى آية واحدةً كدليل مستقلّ على ولاية الفقيه. كما أنّه من الملاحظ في كتب القائلين بالحكومة الولائيّة عدم ذكر أدلّة قرآنيّة مستقلّة. مع أنّه قد ادُّعي في العقد الأخير، وفي كتاب بعنوان «ولايت فقيه از ديدگاه قرآن كريم (ولاية الفقيه في القرآن الكريم)»، أن أكثر الآيات القرآنيّة تدلّ على ولاية الفقيه</w:t>
      </w:r>
      <w:r w:rsidRPr="00064619">
        <w:rPr>
          <w:rFonts w:cs="Taher"/>
          <w:sz w:val="32"/>
          <w:vertAlign w:val="superscript"/>
          <w:rtl/>
        </w:rPr>
        <w:t>(</w:t>
      </w:r>
      <w:r w:rsidRPr="00064619">
        <w:rPr>
          <w:rStyle w:val="FootnoteReference"/>
          <w:rFonts w:cs="Taher"/>
          <w:sz w:val="32"/>
          <w:rtl/>
        </w:rPr>
        <w:footnoteReference w:id="745"/>
      </w:r>
      <w:r w:rsidRPr="00064619">
        <w:rPr>
          <w:rFonts w:cs="Taher"/>
          <w:sz w:val="32"/>
          <w:vertAlign w:val="superscript"/>
          <w:rtl/>
        </w:rPr>
        <w:t>)</w:t>
      </w:r>
      <w:r w:rsidRPr="00EA09EB">
        <w:rPr>
          <w:rFonts w:hint="cs"/>
          <w:rtl/>
        </w:rPr>
        <w:t>. وهذا ملخَّصٌ لهذا الكتاب:</w:t>
      </w:r>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إنّ ولاية الفقيه هي إحدى المسائل الأساسيّة في الإسلام، بحيث إنّ الدين يعدّ ناقصاً بدونها. وعدم التعرُّض لها يؤدّي إلى القول بنقص القرآن والإسلام.</w:t>
      </w:r>
    </w:p>
    <w:p w:rsidR="00EA09EB" w:rsidRPr="00A32FC0" w:rsidRDefault="00EA09EB" w:rsidP="00EA09EB">
      <w:pPr>
        <w:rPr>
          <w:rtl/>
          <w:lang w:bidi="ar-LB"/>
        </w:rPr>
      </w:pPr>
      <w:r w:rsidRPr="00A32FC0">
        <w:rPr>
          <w:rFonts w:hint="cs"/>
          <w:rtl/>
          <w:lang w:bidi="ar-LB"/>
        </w:rPr>
        <w:t>2</w:t>
      </w:r>
      <w:r w:rsidRPr="00A32FC0">
        <w:rPr>
          <w:rtl/>
          <w:lang w:bidi="ar-LB"/>
        </w:rPr>
        <w:t>ـ</w:t>
      </w:r>
      <w:r w:rsidRPr="00A32FC0">
        <w:rPr>
          <w:rFonts w:hint="cs"/>
          <w:rtl/>
          <w:lang w:bidi="ar-LB"/>
        </w:rPr>
        <w:t xml:space="preserve"> لم يتعرَّض القرآن الكريم لهذه المسألة بشكلٍ صريحٍ؛ والسبب في ذلك هو منع التشكيك بالقرآن الكريم من قِبَل منكري ولاية الفقيه.</w:t>
      </w:r>
    </w:p>
    <w:p w:rsidR="00EA09EB" w:rsidRPr="00A32FC0" w:rsidRDefault="00EA09EB" w:rsidP="00EA09EB">
      <w:pPr>
        <w:rPr>
          <w:rtl/>
          <w:lang w:bidi="ar-LB"/>
        </w:rPr>
      </w:pPr>
      <w:r w:rsidRPr="00A32FC0">
        <w:rPr>
          <w:rFonts w:hint="cs"/>
          <w:rtl/>
          <w:lang w:bidi="ar-LB"/>
        </w:rPr>
        <w:t>3</w:t>
      </w:r>
      <w:r w:rsidRPr="00A32FC0">
        <w:rPr>
          <w:rtl/>
          <w:lang w:bidi="ar-LB"/>
        </w:rPr>
        <w:t>ـ</w:t>
      </w:r>
      <w:r w:rsidRPr="00A32FC0">
        <w:rPr>
          <w:rFonts w:hint="cs"/>
          <w:rtl/>
          <w:lang w:bidi="ar-LB"/>
        </w:rPr>
        <w:t xml:space="preserve"> مع هذا كلّه فقد ذكر أنّه يمكن الاستدلال بستّ عشرة آية من القرآن الكريم على الولاية المطلقة للفقيه، من قبيل: آيات أولي الأمر، آيات الأمر بالمعروف والنهي عن المنكر، وآيات ولاية النبيّ</w:t>
      </w:r>
      <w:r w:rsidRPr="00A32FC0">
        <w:rPr>
          <w:rFonts w:hint="cs"/>
          <w:rtl/>
        </w:rPr>
        <w:sym w:font="Roumouz" w:char="F02D"/>
      </w:r>
      <w:r w:rsidRPr="00A32FC0">
        <w:rPr>
          <w:rFonts w:hint="cs"/>
          <w:rtl/>
          <w:lang w:bidi="ar-LB"/>
        </w:rPr>
        <w:t xml:space="preserve"> و...</w:t>
      </w:r>
    </w:p>
    <w:p w:rsidR="00EA09EB" w:rsidRPr="00A32FC0" w:rsidRDefault="00EA09EB" w:rsidP="00EA09EB">
      <w:pPr>
        <w:rPr>
          <w:rtl/>
          <w:lang w:bidi="ar-LB"/>
        </w:rPr>
      </w:pPr>
      <w:r w:rsidRPr="00A32FC0">
        <w:rPr>
          <w:rFonts w:hint="cs"/>
          <w:rtl/>
          <w:lang w:bidi="ar-LB"/>
        </w:rPr>
        <w:t>4</w:t>
      </w:r>
      <w:r w:rsidRPr="00A32FC0">
        <w:rPr>
          <w:rtl/>
          <w:lang w:bidi="ar-LB"/>
        </w:rPr>
        <w:t>ـ</w:t>
      </w:r>
      <w:r w:rsidRPr="00A32FC0">
        <w:rPr>
          <w:rFonts w:hint="cs"/>
          <w:rtl/>
          <w:lang w:bidi="ar-LB"/>
        </w:rPr>
        <w:t xml:space="preserve"> بالاستناد إلى حديث الثقلين، وما في معناه، فإنّ ولاية الفقيه المطروحة في الروايات هي في حكم طرحها في القرآن الكريم.</w:t>
      </w:r>
    </w:p>
    <w:p w:rsidR="00EA09EB" w:rsidRPr="00A32FC0" w:rsidRDefault="00EA09EB" w:rsidP="00EA09EB">
      <w:pPr>
        <w:rPr>
          <w:rtl/>
          <w:lang w:bidi="ar-LB"/>
        </w:rPr>
      </w:pPr>
      <w:r w:rsidRPr="00A32FC0">
        <w:rPr>
          <w:rFonts w:hint="cs"/>
          <w:rtl/>
          <w:lang w:bidi="ar-LB"/>
        </w:rPr>
        <w:t>5</w:t>
      </w:r>
      <w:r w:rsidRPr="00A32FC0">
        <w:rPr>
          <w:rtl/>
          <w:lang w:bidi="ar-LB"/>
        </w:rPr>
        <w:t>ـ</w:t>
      </w:r>
      <w:r w:rsidRPr="00A32FC0">
        <w:rPr>
          <w:rFonts w:hint="cs"/>
          <w:rtl/>
          <w:lang w:bidi="ar-LB"/>
        </w:rPr>
        <w:t xml:space="preserve"> ولاية الفقيه هي الصيغة الوحيدة للنظام الإسلاميّ في عصر الغيبة. </w:t>
      </w:r>
    </w:p>
    <w:p w:rsidR="00EA09EB" w:rsidRPr="00A32FC0" w:rsidRDefault="00EA09EB" w:rsidP="00EA09EB">
      <w:pPr>
        <w:rPr>
          <w:rtl/>
          <w:lang w:bidi="ar-LB"/>
        </w:rPr>
      </w:pPr>
      <w:r w:rsidRPr="00A32FC0">
        <w:rPr>
          <w:rFonts w:hint="cs"/>
          <w:rtl/>
          <w:lang w:bidi="ar-LB"/>
        </w:rPr>
        <w:t>إن ما يستظهره هذا الفقيه الجليل من آيات القرآن الكريم محلّ تأمُّل ومناقشة؛ حيث إنه اكتفى بالاستحسانات الخطابيّة بدل الأدلّة العلميّة. ولن نتعرض لآرائه، ونترك عهدتها عليه.</w:t>
      </w:r>
    </w:p>
    <w:p w:rsidR="00EA09EB" w:rsidRPr="00EA09EB" w:rsidRDefault="00EA09EB" w:rsidP="007A340E">
      <w:pPr>
        <w:ind w:firstLine="283"/>
        <w:rPr>
          <w:rtl/>
        </w:rPr>
      </w:pPr>
      <w:r w:rsidRPr="00EA09EB">
        <w:rPr>
          <w:rFonts w:hint="cs"/>
          <w:rtl/>
        </w:rPr>
        <w:t xml:space="preserve">مع ملاحظة أنّه </w:t>
      </w:r>
      <w:r w:rsidRPr="007A340E">
        <w:rPr>
          <w:rFonts w:hint="cs"/>
          <w:b/>
          <w:bCs/>
          <w:rtl/>
        </w:rPr>
        <w:t>أولاً</w:t>
      </w:r>
      <w:r w:rsidRPr="00EA09EB">
        <w:rPr>
          <w:rFonts w:hint="cs"/>
          <w:rtl/>
        </w:rPr>
        <w:t xml:space="preserve">: لم يُستعمل تعبير «ولاية الفقيه» في القرآن الكريم. </w:t>
      </w:r>
    </w:p>
    <w:p w:rsidR="00EA09EB" w:rsidRPr="00EA09EB" w:rsidRDefault="00EA09EB" w:rsidP="007A340E">
      <w:pPr>
        <w:ind w:firstLine="283"/>
        <w:rPr>
          <w:rtl/>
        </w:rPr>
      </w:pPr>
      <w:r w:rsidRPr="007A340E">
        <w:rPr>
          <w:rFonts w:hint="cs"/>
          <w:b/>
          <w:bCs/>
          <w:rtl/>
        </w:rPr>
        <w:t>وثانياً</w:t>
      </w:r>
      <w:r w:rsidRPr="00EA09EB">
        <w:rPr>
          <w:rFonts w:hint="cs"/>
          <w:rtl/>
        </w:rPr>
        <w:t xml:space="preserve">: لم يرِدْ في القرآن مرادفٌ لـ «ولاية الفقيه»، أو ما هو بمضمونه. </w:t>
      </w:r>
    </w:p>
    <w:p w:rsidR="00EA09EB" w:rsidRPr="00EA09EB" w:rsidRDefault="00EA09EB" w:rsidP="007A340E">
      <w:pPr>
        <w:ind w:firstLine="283"/>
        <w:rPr>
          <w:rtl/>
        </w:rPr>
      </w:pPr>
      <w:r w:rsidRPr="007A340E">
        <w:rPr>
          <w:rFonts w:hint="cs"/>
          <w:b/>
          <w:bCs/>
          <w:rtl/>
        </w:rPr>
        <w:t>وثالثاً</w:t>
      </w:r>
      <w:r w:rsidRPr="00EA09EB">
        <w:rPr>
          <w:rFonts w:hint="cs"/>
          <w:rtl/>
        </w:rPr>
        <w:t xml:space="preserve">: لا يوجد دليلٌ قرآنيٌّ مستقلٌّ عليه. </w:t>
      </w:r>
    </w:p>
    <w:p w:rsidR="00EA09EB" w:rsidRPr="00A32FC0" w:rsidRDefault="00EA09EB" w:rsidP="00EA09EB">
      <w:pPr>
        <w:rPr>
          <w:rtl/>
          <w:lang w:bidi="ar-LB"/>
        </w:rPr>
      </w:pPr>
      <w:r w:rsidRPr="00A32FC0">
        <w:rPr>
          <w:rFonts w:hint="cs"/>
          <w:rtl/>
          <w:lang w:bidi="ar-LB"/>
        </w:rPr>
        <w:t xml:space="preserve">لذلك سوف نبحث الأدلّة الملفَّقة من الآيات والروايات. </w:t>
      </w:r>
    </w:p>
    <w:p w:rsidR="00EA09EB" w:rsidRPr="00A32FC0" w:rsidRDefault="00EA09EB" w:rsidP="00EA09EB">
      <w:pPr>
        <w:rPr>
          <w:rtl/>
          <w:lang w:bidi="ar-LB"/>
        </w:rPr>
      </w:pPr>
      <w:r w:rsidRPr="00A32FC0">
        <w:rPr>
          <w:rFonts w:hint="cs"/>
          <w:rtl/>
          <w:lang w:bidi="ar-LB"/>
        </w:rPr>
        <w:t xml:space="preserve">هل يمكن إثبات ولاية الفقيه على الناس من خلال الأدلّة المركَّبة من القرآن والسنّة؟ </w:t>
      </w:r>
    </w:p>
    <w:p w:rsidR="00EA09EB" w:rsidRPr="00A32FC0" w:rsidRDefault="00EA09EB" w:rsidP="00EA09EB">
      <w:pPr>
        <w:rPr>
          <w:rtl/>
          <w:lang w:bidi="ar-LB"/>
        </w:rPr>
      </w:pPr>
      <w:r w:rsidRPr="00A32FC0">
        <w:rPr>
          <w:rFonts w:hint="cs"/>
          <w:rtl/>
          <w:lang w:bidi="ar-LB"/>
        </w:rPr>
        <w:t xml:space="preserve">لم يقُمْ أيٌّ من القائلين بالولاية التعيينيّة للفقيه على الناس بهذا النوع من الاستدلال، إلاّ أنّنا سوف نسعى إلى استعراض غاية ما يمكن أن يقال في هذا المجال. </w:t>
      </w:r>
    </w:p>
    <w:p w:rsidR="00EA09EB" w:rsidRPr="00A32FC0" w:rsidRDefault="00EA09EB" w:rsidP="00EA09EB">
      <w:pPr>
        <w:rPr>
          <w:rtl/>
          <w:lang w:bidi="ar-LB"/>
        </w:rPr>
      </w:pPr>
      <w:r w:rsidRPr="00A32FC0">
        <w:rPr>
          <w:rFonts w:hint="cs"/>
          <w:rtl/>
          <w:lang w:bidi="ar-LB"/>
        </w:rPr>
        <w:t>ويمكن تقسيم الآيات القرآنية التي تعتبر مقدّمات لأدلّة الولاية التعيينيّة للفقيه على الناس إلى أربع مجموعات:</w:t>
      </w:r>
    </w:p>
    <w:p w:rsidR="00EA09EB" w:rsidRPr="00EA09EB" w:rsidRDefault="00EA09EB" w:rsidP="007A340E">
      <w:pPr>
        <w:ind w:firstLine="283"/>
        <w:rPr>
          <w:rtl/>
        </w:rPr>
      </w:pPr>
      <w:r w:rsidRPr="007A340E">
        <w:rPr>
          <w:rFonts w:hint="cs"/>
          <w:b/>
          <w:bCs/>
          <w:rtl/>
        </w:rPr>
        <w:t>الأولى</w:t>
      </w:r>
      <w:r w:rsidRPr="00EA09EB">
        <w:rPr>
          <w:rFonts w:hint="cs"/>
          <w:rtl/>
        </w:rPr>
        <w:t>: آيات أولي الأمر.</w:t>
      </w:r>
    </w:p>
    <w:p w:rsidR="00EA09EB" w:rsidRPr="00EA09EB" w:rsidRDefault="00EA09EB" w:rsidP="00EA09EB">
      <w:pPr>
        <w:rPr>
          <w:rtl/>
        </w:rPr>
      </w:pPr>
      <w:r w:rsidRPr="007A340E">
        <w:rPr>
          <w:rFonts w:hint="cs"/>
          <w:b/>
          <w:bCs/>
          <w:rtl/>
        </w:rPr>
        <w:t>الثانية</w:t>
      </w:r>
      <w:r w:rsidRPr="00EA09EB">
        <w:rPr>
          <w:rFonts w:hint="cs"/>
          <w:rtl/>
        </w:rPr>
        <w:t>: الآيات الدالّة على أولويّة الرسول</w:t>
      </w:r>
      <w:r w:rsidRPr="00EA09EB">
        <w:rPr>
          <w:rFonts w:hint="cs"/>
          <w:rtl/>
        </w:rPr>
        <w:sym w:font="Roumouz" w:char="F02D"/>
      </w:r>
      <w:r w:rsidRPr="00EA09EB">
        <w:rPr>
          <w:rFonts w:hint="cs"/>
          <w:rtl/>
        </w:rPr>
        <w:t xml:space="preserve"> والإمام عليّ</w:t>
      </w:r>
      <w:r>
        <w:rPr>
          <w:rFonts w:hint="cs"/>
          <w:rtl/>
        </w:rPr>
        <w:t>×</w:t>
      </w:r>
      <w:r w:rsidRPr="00EA09EB">
        <w:rPr>
          <w:rFonts w:hint="cs"/>
          <w:rtl/>
        </w:rPr>
        <w:t xml:space="preserve"> في القضاء والزعامة السياسيّة.</w:t>
      </w:r>
    </w:p>
    <w:p w:rsidR="00EA09EB" w:rsidRPr="00EA09EB" w:rsidRDefault="00EA09EB" w:rsidP="007A340E">
      <w:pPr>
        <w:ind w:firstLine="283"/>
        <w:rPr>
          <w:rtl/>
        </w:rPr>
      </w:pPr>
      <w:r w:rsidRPr="007A340E">
        <w:rPr>
          <w:rFonts w:hint="cs"/>
          <w:b/>
          <w:bCs/>
          <w:rtl/>
        </w:rPr>
        <w:t>الثالثة</w:t>
      </w:r>
      <w:r w:rsidRPr="00EA09EB">
        <w:rPr>
          <w:rFonts w:hint="cs"/>
          <w:rtl/>
        </w:rPr>
        <w:t>: الآيات الدالّة على إمامة الأنبياء الآخرين، وكونهم قضاة.</w:t>
      </w:r>
    </w:p>
    <w:p w:rsidR="00EA09EB" w:rsidRPr="00EA09EB" w:rsidRDefault="00EA09EB" w:rsidP="007A340E">
      <w:pPr>
        <w:ind w:firstLine="283"/>
        <w:rPr>
          <w:rtl/>
        </w:rPr>
      </w:pPr>
      <w:r w:rsidRPr="007A340E">
        <w:rPr>
          <w:rFonts w:hint="cs"/>
          <w:b/>
          <w:bCs/>
          <w:rtl/>
        </w:rPr>
        <w:t>الرابعة</w:t>
      </w:r>
      <w:r w:rsidRPr="00EA09EB">
        <w:rPr>
          <w:rFonts w:hint="cs"/>
          <w:rtl/>
        </w:rPr>
        <w:t>: الآيات الاجتماعيّة التي لها طابع اجتماعيّ في القرآن الكريم، من قبيل: إجراء الحدود، الحقوق الشرعيّة، الأمر بالمعروف و...</w:t>
      </w:r>
    </w:p>
    <w:p w:rsidR="00EA09EB" w:rsidRDefault="00EA09EB" w:rsidP="00EA09EB">
      <w:pPr>
        <w:rPr>
          <w:rtl/>
          <w:lang w:bidi="ar-LB"/>
        </w:rPr>
      </w:pPr>
      <w:r w:rsidRPr="00A32FC0">
        <w:rPr>
          <w:rFonts w:hint="cs"/>
          <w:rtl/>
          <w:lang w:bidi="ar-LB"/>
        </w:rPr>
        <w:t>إذا كان المراد من الأدلّة القرآنيّة على ولاية الفقيه على الناس الأدلّة التي تكون إحدى مقدّماتها ـ على الأقلّ ـ قرآنيّة فإنّه يمكن أن يقام أربعة أدلّة قرآنيّة عليها:</w:t>
      </w:r>
    </w:p>
    <w:p w:rsidR="007A340E" w:rsidRPr="00A32FC0" w:rsidRDefault="007A340E" w:rsidP="00EA09EB">
      <w:pPr>
        <w:rPr>
          <w:rtl/>
          <w:lang w:bidi="ar-LB"/>
        </w:rPr>
      </w:pPr>
    </w:p>
    <w:p w:rsidR="00EA09EB" w:rsidRPr="007C6D0A" w:rsidRDefault="00EA09EB" w:rsidP="007A340E">
      <w:pPr>
        <w:pStyle w:val="Heading3"/>
        <w:rPr>
          <w:rtl/>
        </w:rPr>
      </w:pPr>
      <w:r w:rsidRPr="007C6D0A">
        <w:rPr>
          <w:rFonts w:hint="cs"/>
          <w:rtl/>
        </w:rPr>
        <w:t xml:space="preserve">الدليل </w:t>
      </w:r>
      <w:r w:rsidRPr="007A340E">
        <w:rPr>
          <w:rFonts w:hint="cs"/>
          <w:rtl/>
        </w:rPr>
        <w:t>الأول:</w:t>
      </w:r>
      <w:r w:rsidRPr="007C6D0A">
        <w:rPr>
          <w:rFonts w:hint="cs"/>
          <w:rtl/>
        </w:rPr>
        <w:t xml:space="preserve"> التمسُّك بآيات أولي الأمر</w:t>
      </w:r>
    </w:p>
    <w:p w:rsidR="00EA09EB" w:rsidRPr="00A32FC0" w:rsidRDefault="00EA09EB" w:rsidP="00EA09EB">
      <w:pPr>
        <w:rPr>
          <w:rtl/>
          <w:lang w:bidi="ar-LB"/>
        </w:rPr>
      </w:pPr>
      <w:r w:rsidRPr="00A32FC0">
        <w:rPr>
          <w:rFonts w:hint="cs"/>
          <w:b/>
          <w:bCs/>
          <w:rtl/>
          <w:lang w:bidi="ar-LB"/>
        </w:rPr>
        <w:t>الآية الأولى</w:t>
      </w:r>
      <w:r w:rsidRPr="00EA09EB">
        <w:rPr>
          <w:rFonts w:hint="cs"/>
          <w:rtl/>
        </w:rPr>
        <w:t>: ﴿</w:t>
      </w:r>
      <w:r w:rsidRPr="00A32FC0">
        <w:rPr>
          <w:b/>
          <w:bCs/>
          <w:rtl/>
        </w:rPr>
        <w:t xml:space="preserve">إِنَّ </w:t>
      </w:r>
      <w:r>
        <w:rPr>
          <w:b/>
          <w:bCs/>
          <w:rtl/>
        </w:rPr>
        <w:t>الله</w:t>
      </w:r>
      <w:r>
        <w:rPr>
          <w:rFonts w:hint="cs"/>
          <w:b/>
          <w:bCs/>
          <w:rtl/>
        </w:rPr>
        <w:t>َ</w:t>
      </w:r>
      <w:r w:rsidRPr="00A32FC0">
        <w:rPr>
          <w:b/>
          <w:bCs/>
          <w:rtl/>
        </w:rPr>
        <w:t xml:space="preserve"> يَأْمُرُكُمْ أَنْ تُؤَدُّوا الأَمَانَاتِ إِلَى أَهْلِهَا وَإِذَا حَكَمْتُمْ بَيْنَ النَّاسِ أَنْ تَحْكُمُوا بِالْعَدْلِ إِنَّ </w:t>
      </w:r>
      <w:r>
        <w:rPr>
          <w:b/>
          <w:bCs/>
          <w:rtl/>
        </w:rPr>
        <w:t>اللهَ</w:t>
      </w:r>
      <w:r w:rsidRPr="00A32FC0">
        <w:rPr>
          <w:b/>
          <w:bCs/>
          <w:rtl/>
        </w:rPr>
        <w:t xml:space="preserve"> نِعِمَّا يَعِظُكُمْ بِهِ إِنَّ </w:t>
      </w:r>
      <w:r>
        <w:rPr>
          <w:b/>
          <w:bCs/>
          <w:rtl/>
        </w:rPr>
        <w:t>اللهَ</w:t>
      </w:r>
      <w:r w:rsidRPr="00A32FC0">
        <w:rPr>
          <w:b/>
          <w:bCs/>
          <w:rtl/>
        </w:rPr>
        <w:t xml:space="preserve"> كَانَ سَمِيعاً بَصِيراً </w:t>
      </w:r>
      <w:r w:rsidRPr="00A32FC0">
        <w:rPr>
          <w:rFonts w:hint="cs"/>
          <w:b/>
          <w:bCs/>
          <w:rtl/>
        </w:rPr>
        <w:t>*</w:t>
      </w:r>
      <w:r w:rsidRPr="00A32FC0">
        <w:rPr>
          <w:b/>
          <w:bCs/>
          <w:rtl/>
        </w:rPr>
        <w:t xml:space="preserve"> يَا أَيُّهَا الَّذِينَ آمَنُوا أَطِيعُوا </w:t>
      </w:r>
      <w:r>
        <w:rPr>
          <w:b/>
          <w:bCs/>
          <w:rtl/>
        </w:rPr>
        <w:t>اللهَ</w:t>
      </w:r>
      <w:r w:rsidRPr="00A32FC0">
        <w:rPr>
          <w:b/>
          <w:bCs/>
          <w:rtl/>
        </w:rPr>
        <w:t xml:space="preserve"> وَأَطِيعُوا الرَّسُولَ وَأُوْلِي الأَمْرِ مِنْكُمْ فَإِنْ تَنَازَعْتُمْ فِي شَيْءٍ فَرُدُّوهُ إِلَى </w:t>
      </w:r>
      <w:r>
        <w:rPr>
          <w:b/>
          <w:bCs/>
          <w:rtl/>
        </w:rPr>
        <w:t>اللهِ</w:t>
      </w:r>
      <w:r w:rsidRPr="00A32FC0">
        <w:rPr>
          <w:b/>
          <w:bCs/>
          <w:rtl/>
        </w:rPr>
        <w:t xml:space="preserve"> وَالرَّسُولِ إِنْ كُنتُمْ تُؤْمِنُونَ بِ</w:t>
      </w:r>
      <w:r>
        <w:rPr>
          <w:b/>
          <w:bCs/>
          <w:rtl/>
        </w:rPr>
        <w:t>اللهِ</w:t>
      </w:r>
      <w:r w:rsidRPr="00A32FC0">
        <w:rPr>
          <w:b/>
          <w:bCs/>
          <w:rtl/>
        </w:rPr>
        <w:t xml:space="preserve"> وَالْيَوْمِ الآخِرِ ذَلِكَ خَيْرٌ وَأَحْسَنُ تَأْوِيلاً </w:t>
      </w:r>
      <w:r w:rsidRPr="00A32FC0">
        <w:rPr>
          <w:rFonts w:hint="cs"/>
          <w:b/>
          <w:bCs/>
          <w:rtl/>
        </w:rPr>
        <w:t>*</w:t>
      </w:r>
      <w:r w:rsidRPr="00A32FC0">
        <w:rPr>
          <w:b/>
          <w:bCs/>
          <w:rtl/>
        </w:rPr>
        <w:t xml:space="preserve">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rsidRPr="00A32FC0">
        <w:rPr>
          <w:rFonts w:hint="cs"/>
          <w:b/>
          <w:bCs/>
          <w:rtl/>
        </w:rPr>
        <w:t>ً</w:t>
      </w:r>
      <w:r w:rsidRPr="00A32FC0">
        <w:rPr>
          <w:rFonts w:hint="cs"/>
          <w:rtl/>
        </w:rPr>
        <w:t>﴾</w:t>
      </w:r>
      <w:r>
        <w:rPr>
          <w:rFonts w:hint="cs"/>
          <w:rtl/>
        </w:rPr>
        <w:t>(</w:t>
      </w:r>
      <w:r w:rsidRPr="00A32FC0">
        <w:rPr>
          <w:rFonts w:hint="cs"/>
          <w:rtl/>
          <w:lang w:bidi="ar-LB"/>
        </w:rPr>
        <w:t>النساء: 58 ـ 60).</w:t>
      </w:r>
    </w:p>
    <w:p w:rsidR="00EA09EB" w:rsidRPr="00EA09EB" w:rsidRDefault="00EA09EB" w:rsidP="00EA09EB">
      <w:pPr>
        <w:rPr>
          <w:rtl/>
        </w:rPr>
      </w:pPr>
      <w:r w:rsidRPr="00A32FC0">
        <w:rPr>
          <w:rFonts w:hint="cs"/>
          <w:rtl/>
          <w:lang w:bidi="ar-LB"/>
        </w:rPr>
        <w:t xml:space="preserve">بالإضافة إلى هذه الآية فإنّ القرآن الكريم استعمل كلمة </w:t>
      </w:r>
      <w:r w:rsidRPr="00A32FC0">
        <w:rPr>
          <w:rFonts w:hint="cs"/>
          <w:rtl/>
        </w:rPr>
        <w:t>«</w:t>
      </w:r>
      <w:r w:rsidRPr="00A32FC0">
        <w:rPr>
          <w:rFonts w:hint="cs"/>
          <w:rtl/>
          <w:lang w:bidi="ar-LB"/>
        </w:rPr>
        <w:t>أولي الأمر</w:t>
      </w:r>
      <w:r w:rsidRPr="00A32FC0">
        <w:rPr>
          <w:rFonts w:hint="cs"/>
          <w:rtl/>
        </w:rPr>
        <w:t>»</w:t>
      </w:r>
      <w:r w:rsidRPr="00A32FC0">
        <w:rPr>
          <w:rFonts w:hint="cs"/>
          <w:rtl/>
          <w:lang w:bidi="ar-LB"/>
        </w:rPr>
        <w:t xml:space="preserve"> مرّة أخرى في قوله تعالى: ﴿</w:t>
      </w:r>
      <w:r w:rsidRPr="00A32FC0">
        <w:rPr>
          <w:b/>
          <w:bCs/>
          <w:rtl/>
        </w:rPr>
        <w:t xml:space="preserve">وَإِذَا جَاءَهُمْ أَمْرٌ مِنَ الأَمْنِ أَوْ الْخَوْفِ أَذَاعُوا بِهِ وَلَوْ رَدُّوهُ إِلَى الرَّسُولِ وَإِلَى أُوْلِي الأَمْرِ مِنْهُمْ لَعَلِمَهُ الَّذِينَ يَسْتَنْبِطُونَهُ مِنْهُمْ وَلَوْلاَ فَضْلُ </w:t>
      </w:r>
      <w:r>
        <w:rPr>
          <w:b/>
          <w:bCs/>
          <w:rtl/>
        </w:rPr>
        <w:t>اللهِ</w:t>
      </w:r>
      <w:r w:rsidRPr="00A32FC0">
        <w:rPr>
          <w:b/>
          <w:bCs/>
          <w:rtl/>
        </w:rPr>
        <w:t xml:space="preserve"> عَلَيْكُمْ وَرَحْمَتُهُ لاَتَّبَعْتُمْ الشَّيْطَانَ إِلاَّ قَلِيلاً</w:t>
      </w:r>
      <w:r w:rsidRPr="00EA09EB">
        <w:rPr>
          <w:rFonts w:hint="cs"/>
          <w:rtl/>
        </w:rPr>
        <w:t>﴾(النساء: 83).</w:t>
      </w:r>
    </w:p>
    <w:p w:rsidR="00EA09EB" w:rsidRPr="00A32FC0" w:rsidRDefault="00EA09EB" w:rsidP="00EA09EB">
      <w:pPr>
        <w:rPr>
          <w:rtl/>
          <w:lang w:bidi="ar-LB"/>
        </w:rPr>
      </w:pPr>
      <w:r w:rsidRPr="00A32FC0">
        <w:rPr>
          <w:rFonts w:hint="cs"/>
          <w:rtl/>
          <w:lang w:bidi="ar-LB"/>
        </w:rPr>
        <w:t>ويمكن التمسُّك بموضعين من هاتين الآيتين؛ لإثبات ولاية الفقيه على الناس:</w:t>
      </w:r>
    </w:p>
    <w:p w:rsidR="00EA09EB" w:rsidRPr="00EA09EB" w:rsidRDefault="00EA09EB" w:rsidP="007A340E">
      <w:pPr>
        <w:ind w:firstLine="283"/>
        <w:rPr>
          <w:rtl/>
        </w:rPr>
      </w:pPr>
      <w:r w:rsidRPr="007A340E">
        <w:rPr>
          <w:rFonts w:hint="cs"/>
          <w:b/>
          <w:bCs/>
          <w:rtl/>
        </w:rPr>
        <w:t>الأول</w:t>
      </w:r>
      <w:r w:rsidRPr="00EA09EB">
        <w:rPr>
          <w:rFonts w:hint="cs"/>
          <w:rtl/>
        </w:rPr>
        <w:t>: وجوب تأدية الأمانات إلى أهلها. وحيث إن الأمانات في الآية الشريفة لها مفهوم عامّ يشمل أمانات الناس، كالأموال وغيرها، كما يشمل أمانات الله عند عباده، كالكتاب وأوامره ونواهيه، فالأولياء أيضاً مؤتَمَنون من قِبَل الله؛ لأنّ الإمامة هي أمانة الله عندهم، والأولياء مأمورون بتأدية حقوق الرعيّة، والعدالة، وإرشاد الناس إلى الصراط المستقيم، والحفاظ على الأموال العامّة، كما أنّهم مأمورون بتسليم أمانة الإمامة إلى الإمام</w:t>
      </w:r>
      <w:r w:rsidRPr="00064619">
        <w:rPr>
          <w:rFonts w:cs="Taher"/>
          <w:sz w:val="32"/>
          <w:vertAlign w:val="superscript"/>
          <w:rtl/>
          <w:lang w:bidi="ar-LB"/>
        </w:rPr>
        <w:t>(</w:t>
      </w:r>
      <w:r w:rsidRPr="00064619">
        <w:rPr>
          <w:rStyle w:val="FootnoteReference"/>
          <w:rFonts w:cs="Taher"/>
          <w:sz w:val="32"/>
          <w:rtl/>
          <w:lang w:bidi="ar-LB"/>
        </w:rPr>
        <w:footnoteReference w:id="746"/>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وعلى هذا يكون الاستدلال على الشكل التالي:</w:t>
      </w:r>
    </w:p>
    <w:p w:rsidR="00EA09EB" w:rsidRPr="00EA09EB" w:rsidRDefault="00EA09EB" w:rsidP="007A340E">
      <w:pPr>
        <w:ind w:firstLine="283"/>
        <w:rPr>
          <w:rtl/>
        </w:rPr>
      </w:pPr>
      <w:r w:rsidRPr="007A340E">
        <w:rPr>
          <w:rFonts w:hint="cs"/>
          <w:b/>
          <w:bCs/>
          <w:rtl/>
        </w:rPr>
        <w:t>المقدّمة الأولى</w:t>
      </w:r>
      <w:r w:rsidRPr="00EA09EB">
        <w:rPr>
          <w:rFonts w:hint="cs"/>
          <w:rtl/>
        </w:rPr>
        <w:t>: يجب تأدية الأمانة إلى أهلها.</w:t>
      </w:r>
    </w:p>
    <w:p w:rsidR="00EA09EB" w:rsidRPr="00EA09EB" w:rsidRDefault="00EA09EB" w:rsidP="007A340E">
      <w:pPr>
        <w:ind w:firstLine="283"/>
        <w:rPr>
          <w:rtl/>
        </w:rPr>
      </w:pPr>
      <w:r w:rsidRPr="007A340E">
        <w:rPr>
          <w:rFonts w:hint="cs"/>
          <w:b/>
          <w:bCs/>
          <w:rtl/>
        </w:rPr>
        <w:t>المقدّمة الثانية</w:t>
      </w:r>
      <w:r w:rsidRPr="00EA09EB">
        <w:rPr>
          <w:rFonts w:hint="cs"/>
          <w:rtl/>
        </w:rPr>
        <w:t>: الأمانات أعمّ من الأمانات المادّيّة والمعنويّة والبشريّة والإلهيّة.</w:t>
      </w:r>
    </w:p>
    <w:p w:rsidR="00EA09EB" w:rsidRPr="00EA09EB" w:rsidRDefault="00EA09EB" w:rsidP="007A340E">
      <w:pPr>
        <w:ind w:firstLine="283"/>
        <w:rPr>
          <w:rtl/>
        </w:rPr>
      </w:pPr>
      <w:r w:rsidRPr="007A340E">
        <w:rPr>
          <w:rFonts w:hint="cs"/>
          <w:b/>
          <w:bCs/>
          <w:rtl/>
        </w:rPr>
        <w:t>المقدّمة الثالثة</w:t>
      </w:r>
      <w:r w:rsidRPr="00EA09EB">
        <w:rPr>
          <w:rFonts w:hint="cs"/>
          <w:rtl/>
        </w:rPr>
        <w:t>: الزعامة السياسيّة وتدبير شؤون المجتمع أمانةٌ إلهيّة بيد الوالي.</w:t>
      </w:r>
    </w:p>
    <w:p w:rsidR="00EA09EB" w:rsidRPr="00EA09EB" w:rsidRDefault="00EA09EB" w:rsidP="007A340E">
      <w:pPr>
        <w:ind w:firstLine="283"/>
        <w:rPr>
          <w:rtl/>
        </w:rPr>
      </w:pPr>
      <w:r w:rsidRPr="007A340E">
        <w:rPr>
          <w:rFonts w:hint="cs"/>
          <w:b/>
          <w:bCs/>
          <w:rtl/>
        </w:rPr>
        <w:t>المقدّمة الرابعة</w:t>
      </w:r>
      <w:r w:rsidRPr="00EA09EB">
        <w:rPr>
          <w:rFonts w:hint="cs"/>
          <w:rtl/>
        </w:rPr>
        <w:t>: تدبير شؤون المجتمع بيد المعصومين</w:t>
      </w:r>
      <w:r w:rsidR="007A340E">
        <w:rPr>
          <w:rFonts w:hint="cs"/>
          <w:rtl/>
        </w:rPr>
        <w:t>^</w:t>
      </w:r>
      <w:r w:rsidRPr="00EA09EB">
        <w:rPr>
          <w:rFonts w:hint="cs"/>
          <w:rtl/>
        </w:rPr>
        <w:t xml:space="preserve"> في زمن حضورهم، وفي زمن غيبتهم بيد الفقهاء.</w:t>
      </w:r>
    </w:p>
    <w:p w:rsidR="00EA09EB" w:rsidRPr="00A32FC0" w:rsidRDefault="00EA09EB" w:rsidP="00EA09EB">
      <w:pPr>
        <w:rPr>
          <w:rtl/>
          <w:lang w:bidi="ar-LB"/>
        </w:rPr>
      </w:pPr>
      <w:r w:rsidRPr="00A32FC0">
        <w:rPr>
          <w:rFonts w:hint="cs"/>
          <w:rtl/>
          <w:lang w:bidi="ar-LB"/>
        </w:rPr>
        <w:t xml:space="preserve">إنّ المقدّمة الأولى قرآنيّة، ولا يشوبها أيّ شك (الآية 58 من سورة النساء). </w:t>
      </w:r>
    </w:p>
    <w:p w:rsidR="00EA09EB" w:rsidRPr="00A32FC0" w:rsidRDefault="00EA09EB" w:rsidP="00EA09EB">
      <w:pPr>
        <w:rPr>
          <w:rtl/>
          <w:lang w:bidi="ar-LB"/>
        </w:rPr>
      </w:pPr>
      <w:r w:rsidRPr="00A32FC0">
        <w:rPr>
          <w:rFonts w:hint="cs"/>
          <w:rtl/>
          <w:lang w:bidi="ar-LB"/>
        </w:rPr>
        <w:t xml:space="preserve">ويمكن استفادة المقدّمة الثانية أيضاً من الآية الشريفة. </w:t>
      </w:r>
    </w:p>
    <w:p w:rsidR="00EA09EB" w:rsidRPr="00EA09EB" w:rsidRDefault="00EA09EB" w:rsidP="007A340E">
      <w:pPr>
        <w:ind w:firstLine="283"/>
        <w:rPr>
          <w:rtl/>
        </w:rPr>
      </w:pPr>
      <w:r w:rsidRPr="00EA09EB">
        <w:rPr>
          <w:rFonts w:hint="cs"/>
          <w:rtl/>
        </w:rPr>
        <w:t>وأمّا المقدّمة الثالثة فإنّ إثباتها متوقِّف على الاستعانة بروايات أهل البيت</w:t>
      </w:r>
      <w:r w:rsidR="007A340E">
        <w:rPr>
          <w:rFonts w:hint="cs"/>
          <w:rtl/>
        </w:rPr>
        <w:t>^</w:t>
      </w:r>
      <w:r w:rsidRPr="00064619">
        <w:rPr>
          <w:rFonts w:cs="Taher"/>
          <w:sz w:val="32"/>
          <w:vertAlign w:val="superscript"/>
          <w:rtl/>
        </w:rPr>
        <w:t>(</w:t>
      </w:r>
      <w:r w:rsidRPr="00064619">
        <w:rPr>
          <w:rStyle w:val="FootnoteReference"/>
          <w:rFonts w:cs="Taher"/>
          <w:sz w:val="32"/>
          <w:rtl/>
        </w:rPr>
        <w:footnoteReference w:id="747"/>
      </w:r>
      <w:r w:rsidRPr="00064619">
        <w:rPr>
          <w:rFonts w:cs="Taher"/>
          <w:sz w:val="32"/>
          <w:vertAlign w:val="superscript"/>
          <w:rtl/>
        </w:rPr>
        <w:t>)</w:t>
      </w:r>
      <w:r w:rsidRPr="00EA09EB">
        <w:rPr>
          <w:rFonts w:hint="cs"/>
          <w:rtl/>
        </w:rPr>
        <w:t xml:space="preserve">. ومما يساعد على هذا المعنى أنّ الله اعتبر الإمامة عهداً له. </w:t>
      </w:r>
    </w:p>
    <w:p w:rsidR="00EA09EB" w:rsidRPr="00A32FC0" w:rsidRDefault="00EA09EB" w:rsidP="00EA09EB">
      <w:pPr>
        <w:rPr>
          <w:rtl/>
          <w:lang w:bidi="ar-LB"/>
        </w:rPr>
      </w:pPr>
      <w:r w:rsidRPr="00A32FC0">
        <w:rPr>
          <w:rFonts w:hint="cs"/>
          <w:rtl/>
          <w:lang w:bidi="ar-LB"/>
        </w:rPr>
        <w:t>وأمّا المقدّمة الرابعة ـ وهي الأهمّ ـ فلا شكّ في ثبوت القسم الأوّل منها؛ وأمّا القسم الثاني فلا يمكن إثباته دون الاستعانة بالروايات. وكنا قد بحثنا في الفصول السابقة في الأدلّة الروائيّة لولاية الفقيه، ولاحظنا أنّها جميعها غير معتبرة؛ إمّا من ناحية السند؛ وإما من ناحية الدلالة. ولم نعثر ـ ولو على رواية واحدة ـ تامّة من حيث السند والدلالة. وعلى هذا فإن الاستدلال المدَّعى غيرُ تامّ.</w:t>
      </w:r>
    </w:p>
    <w:p w:rsidR="00EA09EB" w:rsidRPr="00EA09EB" w:rsidRDefault="00EA09EB" w:rsidP="007A340E">
      <w:pPr>
        <w:ind w:firstLine="283"/>
        <w:rPr>
          <w:rtl/>
        </w:rPr>
      </w:pPr>
      <w:r w:rsidRPr="007A340E">
        <w:rPr>
          <w:rFonts w:hint="cs"/>
          <w:b/>
          <w:bCs/>
          <w:rtl/>
        </w:rPr>
        <w:t>الثاني</w:t>
      </w:r>
      <w:r w:rsidRPr="00EA09EB">
        <w:rPr>
          <w:rFonts w:hint="cs"/>
          <w:rtl/>
        </w:rPr>
        <w:t>: وجوب طاعة وليّ الأمر.</w:t>
      </w:r>
    </w:p>
    <w:p w:rsidR="00EA09EB" w:rsidRPr="00A32FC0" w:rsidRDefault="00EA09EB" w:rsidP="00EA09EB">
      <w:pPr>
        <w:rPr>
          <w:rtl/>
          <w:lang w:bidi="ar-LB"/>
        </w:rPr>
      </w:pPr>
      <w:r w:rsidRPr="00A32FC0">
        <w:rPr>
          <w:rFonts w:hint="cs"/>
          <w:rtl/>
          <w:lang w:bidi="ar-LB"/>
        </w:rPr>
        <w:t xml:space="preserve">بالاستناد إلى الآيتين 59 و83 من سورة النساء يمكن أن يأخذ الاستدلال الشكل التالي: </w:t>
      </w:r>
    </w:p>
    <w:p w:rsidR="00EA09EB" w:rsidRPr="00EA09EB" w:rsidRDefault="00EA09EB" w:rsidP="007A340E">
      <w:pPr>
        <w:ind w:firstLine="283"/>
        <w:rPr>
          <w:rtl/>
        </w:rPr>
      </w:pPr>
      <w:r w:rsidRPr="007A340E">
        <w:rPr>
          <w:rFonts w:hint="cs"/>
          <w:b/>
          <w:bCs/>
          <w:rtl/>
        </w:rPr>
        <w:t>المقدّمة الأولى</w:t>
      </w:r>
      <w:r w:rsidRPr="00EA09EB">
        <w:rPr>
          <w:rFonts w:hint="cs"/>
          <w:rtl/>
        </w:rPr>
        <w:t>: طاعة أولي الأمر واجبة.</w:t>
      </w:r>
    </w:p>
    <w:p w:rsidR="00EA09EB" w:rsidRPr="00EA09EB" w:rsidRDefault="00EA09EB" w:rsidP="007A340E">
      <w:pPr>
        <w:ind w:firstLine="283"/>
        <w:rPr>
          <w:rtl/>
        </w:rPr>
      </w:pPr>
      <w:r w:rsidRPr="007A340E">
        <w:rPr>
          <w:rFonts w:hint="cs"/>
          <w:b/>
          <w:bCs/>
          <w:rtl/>
        </w:rPr>
        <w:t>المقدّمة الثانية</w:t>
      </w:r>
      <w:r w:rsidRPr="00EA09EB">
        <w:rPr>
          <w:rFonts w:hint="cs"/>
          <w:rtl/>
        </w:rPr>
        <w:t>: المراد من أولي الأمر هو مَنْ له حقّ الأمر والحكم شرعاً، أو الوالي الشرعيّ العادل.</w:t>
      </w:r>
    </w:p>
    <w:p w:rsidR="00EA09EB" w:rsidRPr="00EA09EB" w:rsidRDefault="00EA09EB" w:rsidP="007A340E">
      <w:pPr>
        <w:ind w:firstLine="283"/>
        <w:rPr>
          <w:rtl/>
        </w:rPr>
      </w:pPr>
      <w:r w:rsidRPr="007A340E">
        <w:rPr>
          <w:rFonts w:hint="cs"/>
          <w:b/>
          <w:bCs/>
          <w:rtl/>
        </w:rPr>
        <w:t>المقدّمة الثالثة</w:t>
      </w:r>
      <w:r w:rsidRPr="00EA09EB">
        <w:rPr>
          <w:rFonts w:hint="cs"/>
          <w:rtl/>
        </w:rPr>
        <w:t>: الأئمّة هم الولاة الشرعيّون العدول في زمن حضورهم، وأما في زمن غيبتهم فالفقهاء العدول هم الولاة الشرعيّون.</w:t>
      </w:r>
    </w:p>
    <w:p w:rsidR="00EA09EB" w:rsidRPr="00A32FC0" w:rsidRDefault="00EA09EB" w:rsidP="00EA09EB">
      <w:pPr>
        <w:rPr>
          <w:rtl/>
          <w:lang w:bidi="ar-LB"/>
        </w:rPr>
      </w:pPr>
      <w:r w:rsidRPr="00A32FC0">
        <w:rPr>
          <w:rFonts w:hint="cs"/>
          <w:rtl/>
          <w:lang w:bidi="ar-LB"/>
        </w:rPr>
        <w:t xml:space="preserve">أمّا المقدّمة الأولى فقرآنيّة، ولا شكّ في ثبوتها. </w:t>
      </w:r>
    </w:p>
    <w:p w:rsidR="00EA09EB" w:rsidRPr="00A32FC0" w:rsidRDefault="00EA09EB" w:rsidP="00EA09EB">
      <w:pPr>
        <w:rPr>
          <w:rtl/>
          <w:lang w:bidi="ar-LB"/>
        </w:rPr>
      </w:pPr>
      <w:r w:rsidRPr="00A32FC0">
        <w:rPr>
          <w:rFonts w:hint="cs"/>
          <w:rtl/>
          <w:lang w:bidi="ar-LB"/>
        </w:rPr>
        <w:t>وأمّا المقدّمة الثانية فهي ثابتة بالجملة أيضاً.</w:t>
      </w:r>
    </w:p>
    <w:p w:rsidR="00EA09EB" w:rsidRPr="00A32FC0" w:rsidRDefault="00EA09EB" w:rsidP="00EA09EB">
      <w:pPr>
        <w:rPr>
          <w:rtl/>
          <w:lang w:bidi="ar-LB"/>
        </w:rPr>
      </w:pPr>
      <w:r w:rsidRPr="00A32FC0">
        <w:rPr>
          <w:rFonts w:hint="cs"/>
          <w:rtl/>
          <w:lang w:bidi="ar-LB"/>
        </w:rPr>
        <w:t>وأمّا المقدّمة الثالثة فإنّ القسم الأول منها ثابت، ويعدّ من مسلّمات الشيعة؛ وأمّا القسم الثاني منها فقد ناقشه مفسِّرو الشيعة، حيث أجمع مفسِّرو الشيعة على أنّ أولي الأمر في القرآن هم الأئمة المعصومون</w:t>
      </w:r>
      <w:r w:rsidR="007A340E">
        <w:rPr>
          <w:rFonts w:hint="cs"/>
          <w:rtl/>
        </w:rPr>
        <w:t>^</w:t>
      </w:r>
      <w:r w:rsidRPr="00A32FC0">
        <w:rPr>
          <w:rFonts w:hint="cs"/>
          <w:rtl/>
          <w:lang w:bidi="ar-LB"/>
        </w:rPr>
        <w:t>.</w:t>
      </w:r>
    </w:p>
    <w:p w:rsidR="00EA09EB" w:rsidRPr="00A32FC0" w:rsidRDefault="00EA09EB" w:rsidP="00EA09EB">
      <w:pPr>
        <w:rPr>
          <w:rtl/>
          <w:lang w:bidi="ar-LB"/>
        </w:rPr>
      </w:pPr>
      <w:r w:rsidRPr="00A32FC0">
        <w:rPr>
          <w:rFonts w:hint="cs"/>
          <w:rtl/>
          <w:lang w:bidi="ar-LB"/>
        </w:rPr>
        <w:t>وبغضّ النظر عن هذا الإجماع فقد أقام المفسِّرون ثلاثة أدلّة على انحصار أولي الأمر في القرآن بالمعصومين</w:t>
      </w:r>
      <w:r w:rsidR="007A340E">
        <w:rPr>
          <w:rFonts w:hint="cs"/>
          <w:rtl/>
        </w:rPr>
        <w:t>^</w:t>
      </w:r>
      <w:r w:rsidRPr="00A32FC0">
        <w:rPr>
          <w:rFonts w:hint="cs"/>
          <w:rtl/>
          <w:lang w:bidi="ar-LB"/>
        </w:rPr>
        <w:t>:</w:t>
      </w:r>
    </w:p>
    <w:p w:rsidR="00EA09EB" w:rsidRPr="00A32FC0" w:rsidRDefault="00EA09EB" w:rsidP="00EA09EB">
      <w:pPr>
        <w:rPr>
          <w:rtl/>
          <w:lang w:bidi="ar-LB"/>
        </w:rPr>
      </w:pPr>
      <w:r w:rsidRPr="00EA09EB">
        <w:rPr>
          <w:rFonts w:hint="cs"/>
          <w:rtl/>
        </w:rPr>
        <w:t>1ـ البرهان العقليّ. إن طاعة أولي الأمر في الآية هي في عرض طاعة الرسول</w:t>
      </w:r>
      <w:r w:rsidRPr="00EA09EB">
        <w:rPr>
          <w:rFonts w:hint="cs"/>
          <w:rtl/>
        </w:rPr>
        <w:sym w:font="Roumouz" w:char="F02D"/>
      </w:r>
      <w:r w:rsidRPr="00EA09EB">
        <w:rPr>
          <w:rFonts w:hint="cs"/>
          <w:rtl/>
        </w:rPr>
        <w:t>. والطاعة في الآية مطلقة وغير مقيَّدة بقيد أو شرط، بل إنّ هذا الإطلاق آبٍ عن التقييد. والطاعة المطلقة يلزم منها عصمة أولي الأمر. والطاعة المطلقة لغير المعصوم غير جائزةٍ. والأمر بالطاعة المطلقة ممَّن يجوز فيه الخطأ قبيحٌ. وقد ورد هذا الاستدلال العقليّ المحكم في أهمّ تفاسير الشيعة، أي تفسير «التبيان»</w:t>
      </w:r>
      <w:r w:rsidRPr="00064619">
        <w:rPr>
          <w:rFonts w:cs="Taher"/>
          <w:vertAlign w:val="superscript"/>
          <w:rtl/>
        </w:rPr>
        <w:t>(</w:t>
      </w:r>
      <w:r w:rsidRPr="00064619">
        <w:rPr>
          <w:rStyle w:val="FootnoteReference"/>
          <w:rFonts w:cs="Taher"/>
          <w:sz w:val="32"/>
          <w:rtl/>
        </w:rPr>
        <w:footnoteReference w:id="748"/>
      </w:r>
      <w:r w:rsidRPr="00064619">
        <w:rPr>
          <w:rFonts w:cs="Taher"/>
          <w:vertAlign w:val="superscript"/>
          <w:rtl/>
        </w:rPr>
        <w:t>)</w:t>
      </w:r>
      <w:r w:rsidRPr="00EA09EB">
        <w:rPr>
          <w:rFonts w:hint="cs"/>
          <w:rtl/>
        </w:rPr>
        <w:t xml:space="preserve"> للشيخ الطوسيّ، وتفسير «مجمع البيان» للشيخ الطبرسيّ. كما ورد بشكلٍ أدقّ وأكثر صراحةً في تفسير «الميزان» للعلامة الطباطبائيّ</w:t>
      </w:r>
      <w:r w:rsidRPr="00064619">
        <w:rPr>
          <w:rFonts w:cs="Taher"/>
          <w:vertAlign w:val="superscript"/>
          <w:rtl/>
          <w:lang w:bidi="ar-LB"/>
        </w:rPr>
        <w:t>(</w:t>
      </w:r>
      <w:r w:rsidRPr="00064619">
        <w:rPr>
          <w:rStyle w:val="FootnoteReference"/>
          <w:rFonts w:cs="Taher"/>
          <w:sz w:val="32"/>
          <w:rtl/>
          <w:lang w:bidi="ar-LB"/>
        </w:rPr>
        <w:footnoteReference w:id="749"/>
      </w:r>
      <w:r w:rsidRPr="00064619">
        <w:rPr>
          <w:rFonts w:cs="Taher"/>
          <w:vertAlign w:val="superscript"/>
          <w:rtl/>
          <w:lang w:bidi="ar-LB"/>
        </w:rPr>
        <w:t>)</w:t>
      </w:r>
      <w:r w:rsidRPr="00A32FC0">
        <w:rPr>
          <w:rFonts w:hint="cs"/>
          <w:rtl/>
          <w:lang w:bidi="ar-LB"/>
        </w:rPr>
        <w:t>.</w:t>
      </w:r>
    </w:p>
    <w:p w:rsidR="00EA09EB" w:rsidRPr="00A32FC0" w:rsidRDefault="00EA09EB" w:rsidP="007D79F5">
      <w:pPr>
        <w:pStyle w:val="Normal87"/>
        <w:rPr>
          <w:rtl/>
        </w:rPr>
      </w:pPr>
      <w:r w:rsidRPr="00A32FC0">
        <w:rPr>
          <w:rFonts w:hint="cs"/>
          <w:rtl/>
        </w:rPr>
        <w:t>2ـ الروايات المستفيضة الدالّة على انحصار أولي الأمر بالأئمة</w:t>
      </w:r>
      <w:r w:rsidR="007A340E">
        <w:rPr>
          <w:rFonts w:hint="cs"/>
          <w:rtl/>
        </w:rPr>
        <w:t>^</w:t>
      </w:r>
      <w:r w:rsidRPr="00A32FC0">
        <w:rPr>
          <w:rFonts w:hint="cs"/>
          <w:rtl/>
        </w:rPr>
        <w:t>. فقد قال الشيخ الطوسيّ في تفسير «التبيان»: «أوجب الله طاعتهم كما أوجب طاعته وطاعة رسوله، ولا يجوز أن يوجب الله طاعة أحد على الإطلاق إلاّ مَنْ ثَبَتَت عصمته... وليس ذلك بحاصل في الأمراء</w:t>
      </w:r>
      <w:r>
        <w:rPr>
          <w:rFonts w:hint="cs"/>
          <w:rtl/>
        </w:rPr>
        <w:t>،</w:t>
      </w:r>
      <w:r w:rsidRPr="00A32FC0">
        <w:rPr>
          <w:rFonts w:hint="cs"/>
          <w:rtl/>
        </w:rPr>
        <w:t xml:space="preserve"> ولا العلماء، وإنما هو واجب في الأئمّة الذين دلَّت الأدلّة على عصمتهم وطهارتهم، وأما مَنْ قال: المراد به العلماء فقولُه بعيدٌ؛ لأن قوله: ﴿</w:t>
      </w:r>
      <w:r w:rsidRPr="00A32FC0">
        <w:rPr>
          <w:b/>
          <w:bCs/>
          <w:rtl/>
        </w:rPr>
        <w:t>وَأُوْلِي الأَمْرِ</w:t>
      </w:r>
      <w:r w:rsidRPr="00EA09EB">
        <w:rPr>
          <w:rFonts w:hint="cs"/>
          <w:rtl/>
        </w:rPr>
        <w:t>﴾ معناه أطيعوا مَنْ له الأمر، وليس ذلك للعلماء»</w:t>
      </w:r>
      <w:r w:rsidRPr="00064619">
        <w:rPr>
          <w:rFonts w:cs="Taher"/>
          <w:vertAlign w:val="superscript"/>
          <w:rtl/>
        </w:rPr>
        <w:t>(</w:t>
      </w:r>
      <w:r w:rsidRPr="00064619">
        <w:rPr>
          <w:rStyle w:val="FootnoteReference"/>
          <w:rFonts w:cs="Taher"/>
          <w:sz w:val="32"/>
          <w:rtl/>
        </w:rPr>
        <w:footnoteReference w:id="750"/>
      </w:r>
      <w:r w:rsidRPr="00064619">
        <w:rPr>
          <w:rFonts w:cs="Taher"/>
          <w:vertAlign w:val="superscript"/>
          <w:rtl/>
        </w:rPr>
        <w:t>)</w:t>
      </w:r>
      <w:r w:rsidRPr="00A32FC0">
        <w:rPr>
          <w:rFonts w:hint="cs"/>
          <w:rtl/>
        </w:rPr>
        <w:t>.</w:t>
      </w:r>
    </w:p>
    <w:p w:rsidR="00EA09EB" w:rsidRPr="00A32FC0" w:rsidRDefault="00EA09EB" w:rsidP="007D79F5">
      <w:pPr>
        <w:pStyle w:val="Normal84"/>
        <w:rPr>
          <w:rtl/>
        </w:rPr>
      </w:pPr>
      <w:r w:rsidRPr="00A32FC0">
        <w:rPr>
          <w:rFonts w:hint="cs"/>
          <w:rtl/>
        </w:rPr>
        <w:t>ومن جملة الروايات المستفيضة الدالّة على انحصار أولي الأمر في الأئمة المعصومين</w:t>
      </w:r>
      <w:r w:rsidR="007A340E">
        <w:rPr>
          <w:rFonts w:hint="cs"/>
          <w:rtl/>
        </w:rPr>
        <w:t>^</w:t>
      </w:r>
      <w:r w:rsidRPr="00A32FC0">
        <w:rPr>
          <w:rFonts w:hint="cs"/>
          <w:rtl/>
        </w:rPr>
        <w:t xml:space="preserve"> ما جاء في «الكافي» بسنده عن بريد العجليّ، عن أبي جعفر</w:t>
      </w:r>
      <w:r>
        <w:rPr>
          <w:rFonts w:hint="cs"/>
          <w:rtl/>
        </w:rPr>
        <w:t>×</w:t>
      </w:r>
      <w:r w:rsidRPr="00A32FC0">
        <w:rPr>
          <w:rFonts w:hint="cs"/>
          <w:rtl/>
        </w:rPr>
        <w:t>، قال: إيّانا عنى خاصّةً، أمر جميع المؤمنين إلى يوم القيامة بطاعتنا»</w:t>
      </w:r>
      <w:r w:rsidRPr="00064619">
        <w:rPr>
          <w:rFonts w:cs="Taher"/>
          <w:vertAlign w:val="superscript"/>
          <w:rtl/>
        </w:rPr>
        <w:t>(</w:t>
      </w:r>
      <w:r w:rsidRPr="00064619">
        <w:rPr>
          <w:rStyle w:val="FootnoteReference"/>
          <w:rFonts w:cs="Taher"/>
          <w:sz w:val="32"/>
          <w:rtl/>
        </w:rPr>
        <w:footnoteReference w:id="751"/>
      </w:r>
      <w:r w:rsidRPr="00064619">
        <w:rPr>
          <w:rFonts w:cs="Taher"/>
          <w:vertAlign w:val="superscript"/>
          <w:rtl/>
        </w:rPr>
        <w:t>)</w:t>
      </w:r>
      <w:r w:rsidRPr="00A32FC0">
        <w:rPr>
          <w:rFonts w:hint="cs"/>
          <w:rtl/>
        </w:rPr>
        <w:t>.</w:t>
      </w:r>
    </w:p>
    <w:p w:rsidR="00EA09EB" w:rsidRPr="00A32FC0" w:rsidRDefault="00EA09EB" w:rsidP="007D79F5">
      <w:pPr>
        <w:pStyle w:val="Normal84"/>
        <w:rPr>
          <w:rtl/>
        </w:rPr>
      </w:pPr>
      <w:r w:rsidRPr="00A32FC0">
        <w:rPr>
          <w:rFonts w:hint="cs"/>
          <w:rtl/>
        </w:rPr>
        <w:t>3ـ وهو دليل على أنّه ليس المراد من أولي الأمر في القرآن الفقهاء. فقد قال الشيخ الطوسيّ والشيخ الطبرسيّ في تفسير الآية 83 من سورة النساء: ﴿</w:t>
      </w:r>
      <w:r w:rsidRPr="00A32FC0">
        <w:rPr>
          <w:b/>
          <w:bCs/>
          <w:rtl/>
        </w:rPr>
        <w:t>وَلَوْ رَدُّوهُ إِلَى الرَّسُولِ</w:t>
      </w:r>
      <w:r w:rsidRPr="00EA09EB">
        <w:rPr>
          <w:rFonts w:hint="cs"/>
          <w:rtl/>
        </w:rPr>
        <w:t>﴾ بمعنى لو ردوه إلى سنّته. ﴿</w:t>
      </w:r>
      <w:r w:rsidRPr="00A32FC0">
        <w:rPr>
          <w:b/>
          <w:bCs/>
          <w:rtl/>
        </w:rPr>
        <w:t>وَإِلَى أُوْلِي الأَمْرِ مِنْهُمْ</w:t>
      </w:r>
      <w:r w:rsidRPr="00EA09EB">
        <w:rPr>
          <w:rFonts w:hint="cs"/>
          <w:rtl/>
        </w:rPr>
        <w:t>﴾: قال أبو جعفر</w:t>
      </w:r>
      <w:r>
        <w:rPr>
          <w:rFonts w:hint="cs"/>
          <w:rtl/>
        </w:rPr>
        <w:t>×</w:t>
      </w:r>
      <w:r w:rsidRPr="00EA09EB">
        <w:rPr>
          <w:rFonts w:hint="cs"/>
          <w:rtl/>
        </w:rPr>
        <w:t>: هم الأئمّة المعصومون؛ وقال ابن زيد والسدي وأبو عليّ: هم أمراء السرايا، والولاة، وكانوا يسمعون بأخبار السرايا، ولا يتحقَّقونها فيشيعونها، ولا يسألون أولي الأمر؛ وقال الحسن، وقتادة، وابن جريج، وابن أبي: هم أهل العلم والفقه الملازمين للنبيّ</w:t>
      </w:r>
      <w:r w:rsidRPr="00EA09EB">
        <w:rPr>
          <w:rFonts w:hint="cs"/>
          <w:rtl/>
        </w:rPr>
        <w:sym w:font="Roumouz" w:char="F02D"/>
      </w:r>
      <w:r w:rsidRPr="00EA09EB">
        <w:rPr>
          <w:rFonts w:hint="cs"/>
          <w:rtl/>
        </w:rPr>
        <w:t>... والأوّل أقوى؛ لأنه تعالى بيّن أنّهم متى ردّوه إلى أولي العلم علموه، والردّ إلى مَنْ ليس بمعصوم لا يوجب العلم؛ لجواز الخطأ عليه، بلا خلاف، سواء أكانوا أمراء السرايا أم العلماء»</w:t>
      </w:r>
      <w:r w:rsidRPr="00064619">
        <w:rPr>
          <w:rFonts w:cs="Taher"/>
          <w:vertAlign w:val="superscript"/>
          <w:rtl/>
        </w:rPr>
        <w:t>(</w:t>
      </w:r>
      <w:r w:rsidRPr="00064619">
        <w:rPr>
          <w:rStyle w:val="FootnoteReference"/>
          <w:rFonts w:cs="Taher"/>
          <w:sz w:val="32"/>
          <w:rtl/>
        </w:rPr>
        <w:footnoteReference w:id="752"/>
      </w:r>
      <w:r w:rsidRPr="00064619">
        <w:rPr>
          <w:rFonts w:cs="Taher"/>
          <w:vertAlign w:val="superscript"/>
          <w:rtl/>
        </w:rPr>
        <w:t>)</w:t>
      </w:r>
      <w:r w:rsidRPr="00A32FC0">
        <w:rPr>
          <w:rFonts w:hint="cs"/>
          <w:rtl/>
        </w:rPr>
        <w:t>.</w:t>
      </w:r>
    </w:p>
    <w:p w:rsidR="00EA09EB" w:rsidRPr="00EA09EB" w:rsidRDefault="00EA09EB" w:rsidP="007D79F5">
      <w:pPr>
        <w:pStyle w:val="Normal84"/>
        <w:rPr>
          <w:rtl/>
        </w:rPr>
      </w:pPr>
      <w:r w:rsidRPr="00A32FC0">
        <w:rPr>
          <w:rFonts w:hint="cs"/>
          <w:rtl/>
        </w:rPr>
        <w:t>أمّا العلامة الطباطبائي في تفسيره «الميزان»، وفي ردّه على مَنْ يقول بأنّ أولي الأمر هم العلماء، فقد قال: «وأما القول بأنّ أولي الأمر هم العلماء فعدم مناسبته للآية أظهر؛ إذ العلماء هم يومئذٍ المحدِّثون والفقهاء والقرّاء والمتكلِّمون في أصول الدين، وإنما خبرتهم في الفقه والحديث ونحو ذلك. ومورد قوله</w:t>
      </w:r>
      <w:r>
        <w:rPr>
          <w:rFonts w:hint="cs"/>
          <w:rtl/>
        </w:rPr>
        <w:t>:</w:t>
      </w:r>
      <w:r w:rsidRPr="00A32FC0">
        <w:rPr>
          <w:rFonts w:hint="cs"/>
          <w:rtl/>
        </w:rPr>
        <w:t xml:space="preserve"> ﴿</w:t>
      </w:r>
      <w:r w:rsidRPr="00633407">
        <w:rPr>
          <w:b/>
          <w:bCs/>
          <w:rtl/>
        </w:rPr>
        <w:t>وَإِذَا جَاءَهُمْ أَمْرٌ مِنَ الأَمْنِ أَوْ الْخَوْفِ</w:t>
      </w:r>
      <w:r w:rsidRPr="00EA09EB">
        <w:rPr>
          <w:rFonts w:hint="cs"/>
          <w:rtl/>
        </w:rPr>
        <w:t>﴾ هي الأخبار التي لها ارتباط بالسياسة، وترتبط بأطراف شتّى، وربما أفضى قبولها أو ردّها أو الإهمال فيها إلى مفاسد حيوية ومضارّ اجتماعية يمكن أن لا تستصلح بأيّ مصلح آخر، أو تبطل مساعي أمّة في طريق سعادتها، أو تذهب بسؤددهم، وتضرب بالذلّ والمسكنة والقتل والأسر عليها، وأيّ خبرة للعلماء ـ من حيث إنهم محدِّثون أو فقهاء أو قرّاء أو نحوهم ـ في هذه القضايا [السياسيّة]، حتّى يأمر الله سبحانه بإرجاعها وردّها إليهم؟ وأيّ رجاء في حلّ أمثال هذه المشكلات [السياسيّة] بأيديهم؟»</w:t>
      </w:r>
      <w:r w:rsidRPr="00064619">
        <w:rPr>
          <w:rFonts w:cs="Taher"/>
          <w:vertAlign w:val="superscript"/>
          <w:rtl/>
        </w:rPr>
        <w:t>(</w:t>
      </w:r>
      <w:r w:rsidRPr="00064619">
        <w:rPr>
          <w:rStyle w:val="FootnoteReference"/>
          <w:rFonts w:cs="Taher"/>
          <w:sz w:val="32"/>
          <w:rtl/>
        </w:rPr>
        <w:footnoteReference w:id="753"/>
      </w:r>
      <w:r w:rsidRPr="00064619">
        <w:rPr>
          <w:rFonts w:cs="Taher"/>
          <w:vertAlign w:val="superscript"/>
          <w:rtl/>
        </w:rPr>
        <w:t>)</w:t>
      </w:r>
      <w:r w:rsidRPr="00EA09EB">
        <w:rPr>
          <w:rFonts w:hint="cs"/>
          <w:rtl/>
        </w:rPr>
        <w:t>.</w:t>
      </w:r>
    </w:p>
    <w:p w:rsidR="00EA09EB" w:rsidRPr="00A32FC0" w:rsidRDefault="00EA09EB" w:rsidP="007D79F5">
      <w:pPr>
        <w:pStyle w:val="Normal84"/>
        <w:rPr>
          <w:rtl/>
        </w:rPr>
      </w:pPr>
      <w:r w:rsidRPr="00A32FC0">
        <w:rPr>
          <w:rFonts w:hint="cs"/>
          <w:rtl/>
        </w:rPr>
        <w:t xml:space="preserve">ونحن بدورنا سوف نبحث في شرط الفقاهة، النقطة الهامّة والدقيقة التي أشار إليها العلاّمة الطباطبائيّ. </w:t>
      </w:r>
    </w:p>
    <w:p w:rsidR="00EA09EB" w:rsidRPr="00A32FC0" w:rsidRDefault="00EA09EB" w:rsidP="007D79F5">
      <w:pPr>
        <w:pStyle w:val="Normal84"/>
        <w:rPr>
          <w:rtl/>
        </w:rPr>
      </w:pPr>
      <w:r w:rsidRPr="00A32FC0">
        <w:rPr>
          <w:rFonts w:hint="cs"/>
          <w:rtl/>
        </w:rPr>
        <w:t xml:space="preserve">وبعد عرض هذه الأدلة يتَّضح لنا أن تطبيق «أولي الأمر» في القرآن على الولي الفقيه ليس له أيّ مستند في المعارف الشيعية، بل هناك دليل قطعيّ على خلاف ذلك. </w:t>
      </w:r>
    </w:p>
    <w:p w:rsidR="00EA09EB" w:rsidRDefault="00EA09EB" w:rsidP="007D79F5">
      <w:pPr>
        <w:pStyle w:val="Normal84"/>
        <w:rPr>
          <w:rtl/>
        </w:rPr>
      </w:pPr>
      <w:r w:rsidRPr="008B0D65">
        <w:rPr>
          <w:rFonts w:hint="cs"/>
          <w:rtl/>
        </w:rPr>
        <w:t>والدليل الرابع على عدم إمكان تطبيق «أولي الأمر» على ولي الفقيه هو ما تقدّم سابقاً من عدم اعتبار الأدلة الروائية لولاية الفقيه.</w:t>
      </w:r>
    </w:p>
    <w:p w:rsidR="007A340E" w:rsidRPr="007D79F5" w:rsidRDefault="007A340E" w:rsidP="007D79F5">
      <w:pPr>
        <w:pStyle w:val="Normal93"/>
        <w:rPr>
          <w:sz w:val="32"/>
          <w:szCs w:val="34"/>
          <w:rtl/>
        </w:rPr>
      </w:pPr>
    </w:p>
    <w:p w:rsidR="00EA09EB" w:rsidRPr="007C6D0A" w:rsidRDefault="00EA09EB" w:rsidP="007A340E">
      <w:pPr>
        <w:pStyle w:val="Heading3"/>
        <w:rPr>
          <w:rtl/>
        </w:rPr>
      </w:pPr>
      <w:r w:rsidRPr="007A340E">
        <w:rPr>
          <w:rFonts w:hint="cs"/>
          <w:rtl/>
        </w:rPr>
        <w:t>الدليل</w:t>
      </w:r>
      <w:r w:rsidRPr="007C6D0A">
        <w:rPr>
          <w:rFonts w:hint="cs"/>
          <w:rtl/>
        </w:rPr>
        <w:t xml:space="preserve"> الثاني: آيات ولاية النبي</w:t>
      </w:r>
      <w:r w:rsidRPr="007C6D0A">
        <w:rPr>
          <w:rFonts w:hint="cs"/>
          <w:rtl/>
        </w:rPr>
        <w:sym w:font="Roumouz" w:char="F02D"/>
      </w:r>
      <w:r w:rsidRPr="007C6D0A">
        <w:rPr>
          <w:rFonts w:hint="cs"/>
          <w:rtl/>
        </w:rPr>
        <w:t>، وكونه قاضياً</w:t>
      </w:r>
    </w:p>
    <w:p w:rsidR="00EA09EB" w:rsidRPr="007C6D0A" w:rsidRDefault="00EA09EB" w:rsidP="007A340E">
      <w:pPr>
        <w:pStyle w:val="Heading4"/>
        <w:rPr>
          <w:rtl/>
        </w:rPr>
      </w:pPr>
      <w:r w:rsidRPr="007C6D0A">
        <w:rPr>
          <w:rFonts w:hint="cs"/>
          <w:rtl/>
        </w:rPr>
        <w:t xml:space="preserve">أوّلاً: </w:t>
      </w:r>
      <w:r w:rsidRPr="007A340E">
        <w:rPr>
          <w:rFonts w:hint="cs"/>
          <w:rtl/>
        </w:rPr>
        <w:t>آية</w:t>
      </w:r>
      <w:r w:rsidRPr="007C6D0A">
        <w:rPr>
          <w:rFonts w:hint="cs"/>
          <w:rtl/>
        </w:rPr>
        <w:t xml:space="preserve"> أولويّة النبيّ</w:t>
      </w:r>
      <w:r w:rsidRPr="007A340E">
        <w:rPr>
          <w:rFonts w:hint="cs"/>
          <w:i w:val="0"/>
          <w:iCs/>
        </w:rPr>
        <w:sym w:font="Roumouz" w:char="F02D"/>
      </w:r>
    </w:p>
    <w:p w:rsidR="00EA09EB" w:rsidRPr="00EA09EB" w:rsidRDefault="00EA09EB" w:rsidP="007A340E">
      <w:pPr>
        <w:ind w:firstLine="283"/>
        <w:rPr>
          <w:rtl/>
        </w:rPr>
      </w:pPr>
      <w:r w:rsidRPr="007A340E">
        <w:rPr>
          <w:rFonts w:hint="cs"/>
          <w:b/>
          <w:bCs/>
          <w:rtl/>
        </w:rPr>
        <w:t>الآية الثانية</w:t>
      </w:r>
      <w:r w:rsidRPr="00EA09EB">
        <w:rPr>
          <w:rFonts w:hint="cs"/>
          <w:rtl/>
        </w:rPr>
        <w:t>: ﴿</w:t>
      </w:r>
      <w:r w:rsidRPr="007A340E">
        <w:rPr>
          <w:b/>
          <w:bCs/>
          <w:rtl/>
        </w:rPr>
        <w:t>النَّبِيُّ أَوْلَى بِالْمُؤْمِنِينَ مِنْ أَنْفُسِهِمْ وَأَزْوَاجُهُ أُمَّهَاتُهُمْ وَأُوْلُو الأَرْحَامِ بَعْضُهُمْ أَوْلَى بِبَعْضٍ فِي كِتَابِ اللهِ مِنْ الْمُؤْمِنِينَ وَالْمُهَاجِرِينَ</w:t>
      </w:r>
      <w:r w:rsidRPr="00EA09EB">
        <w:rPr>
          <w:rFonts w:hint="cs"/>
          <w:rtl/>
        </w:rPr>
        <w:t>﴾(الأحزاب: 6). وقد استُدِلّ بهذه الآية الشريفة على ولاية الفقيه على الناس بالشكل التالي:</w:t>
      </w:r>
    </w:p>
    <w:p w:rsidR="00EA09EB" w:rsidRPr="00EA09EB" w:rsidRDefault="00EA09EB" w:rsidP="007D79F5">
      <w:pPr>
        <w:pStyle w:val="Normal93"/>
        <w:spacing w:line="230" w:lineRule="auto"/>
        <w:rPr>
          <w:rtl/>
        </w:rPr>
      </w:pPr>
      <w:r w:rsidRPr="007A340E">
        <w:rPr>
          <w:rFonts w:hint="cs"/>
          <w:b/>
          <w:bCs/>
          <w:rtl/>
        </w:rPr>
        <w:t>المقدّمة الأولى</w:t>
      </w:r>
      <w:r w:rsidRPr="00EA09EB">
        <w:rPr>
          <w:rFonts w:hint="cs"/>
          <w:rtl/>
        </w:rPr>
        <w:t>: النبي</w:t>
      </w:r>
      <w:r w:rsidRPr="00EA09EB">
        <w:rPr>
          <w:rFonts w:hint="cs"/>
          <w:rtl/>
        </w:rPr>
        <w:sym w:font="Roumouz" w:char="F02D"/>
      </w:r>
      <w:r w:rsidRPr="00EA09EB">
        <w:rPr>
          <w:rFonts w:hint="cs"/>
          <w:rtl/>
        </w:rPr>
        <w:t xml:space="preserve"> أولى بالمؤمنين من أنفسهم وتصرّفاتهم. وهذه الأولوية مطلقة، تشمل جميع شؤونهم، فتشمل الولاية التدبيريّة والزعامة السياسيّة. وللنبيّ</w:t>
      </w:r>
      <w:r w:rsidRPr="00EA09EB">
        <w:rPr>
          <w:rFonts w:hint="cs"/>
          <w:rtl/>
        </w:rPr>
        <w:sym w:font="Roumouz" w:char="F02D"/>
      </w:r>
      <w:r w:rsidRPr="00EA09EB">
        <w:rPr>
          <w:rFonts w:hint="cs"/>
          <w:rtl/>
        </w:rPr>
        <w:t xml:space="preserve"> أن يقوم بأيّ عمل يراه صلاحاً. ومن الواضح أنّه</w:t>
      </w:r>
      <w:r w:rsidRPr="00EA09EB">
        <w:rPr>
          <w:rFonts w:hint="cs"/>
          <w:rtl/>
        </w:rPr>
        <w:sym w:font="Roumouz" w:char="F02D"/>
      </w:r>
      <w:r w:rsidRPr="00EA09EB">
        <w:rPr>
          <w:rFonts w:hint="cs"/>
          <w:rtl/>
        </w:rPr>
        <w:t xml:space="preserve"> لا يريد بهذه الأمّة إلاّ خيراً.</w:t>
      </w:r>
    </w:p>
    <w:p w:rsidR="00EA09EB" w:rsidRPr="00EA09EB" w:rsidRDefault="00EA09EB" w:rsidP="007D79F5">
      <w:pPr>
        <w:rPr>
          <w:rtl/>
        </w:rPr>
      </w:pPr>
      <w:r w:rsidRPr="007A340E">
        <w:rPr>
          <w:rFonts w:hint="cs"/>
          <w:b/>
          <w:bCs/>
          <w:rtl/>
        </w:rPr>
        <w:t>المقدّمة الثانية</w:t>
      </w:r>
      <w:r w:rsidRPr="00EA09EB">
        <w:rPr>
          <w:rFonts w:hint="cs"/>
          <w:rtl/>
        </w:rPr>
        <w:t>: الفقهاء خلفاء النبيّ</w:t>
      </w:r>
      <w:r w:rsidRPr="00EA09EB">
        <w:rPr>
          <w:rFonts w:hint="cs"/>
          <w:rtl/>
        </w:rPr>
        <w:sym w:font="Roumouz" w:char="F02D"/>
      </w:r>
      <w:r w:rsidRPr="00EA09EB">
        <w:rPr>
          <w:rFonts w:hint="cs"/>
          <w:rtl/>
        </w:rPr>
        <w:t>؛ لقوله</w:t>
      </w:r>
      <w:r w:rsidRPr="00EA09EB">
        <w:rPr>
          <w:rFonts w:hint="cs"/>
        </w:rPr>
        <w:sym w:font="Roumouz" w:char="F02D"/>
      </w:r>
      <w:r w:rsidRPr="00EA09EB">
        <w:rPr>
          <w:rFonts w:hint="cs"/>
          <w:rtl/>
        </w:rPr>
        <w:t>: «اللهم ارحم خلفائي»؛ كما أنّ «العلماء (الفقهاء) ورثة الأنبياء».</w:t>
      </w:r>
    </w:p>
    <w:p w:rsidR="00EA09EB" w:rsidRPr="00EA09EB" w:rsidRDefault="00EA09EB" w:rsidP="007D79F5">
      <w:pPr>
        <w:pStyle w:val="Normal93"/>
        <w:spacing w:line="230" w:lineRule="auto"/>
        <w:rPr>
          <w:rtl/>
        </w:rPr>
      </w:pPr>
      <w:r w:rsidRPr="007A340E">
        <w:rPr>
          <w:rFonts w:hint="cs"/>
          <w:b/>
          <w:bCs/>
          <w:rtl/>
        </w:rPr>
        <w:t>المقدّمة الثالثة</w:t>
      </w:r>
      <w:r w:rsidRPr="00EA09EB">
        <w:rPr>
          <w:rFonts w:hint="cs"/>
          <w:rtl/>
        </w:rPr>
        <w:t>: للفقهاء جميع صلاحيّات النبي</w:t>
      </w:r>
      <w:r w:rsidRPr="00EA09EB">
        <w:rPr>
          <w:rFonts w:hint="cs"/>
          <w:rtl/>
        </w:rPr>
        <w:sym w:font="Roumouz" w:char="F02D"/>
      </w:r>
      <w:r w:rsidRPr="00EA09EB">
        <w:rPr>
          <w:rFonts w:hint="cs"/>
          <w:rtl/>
        </w:rPr>
        <w:t xml:space="preserve"> في دائرة الأمور السياسيّة والحكوميّة، أي إنّ ولايتهم مطلقة.</w:t>
      </w:r>
    </w:p>
    <w:p w:rsidR="00EA09EB" w:rsidRPr="00A32FC0" w:rsidRDefault="00EA09EB" w:rsidP="007D79F5">
      <w:pPr>
        <w:pStyle w:val="Normal93"/>
        <w:spacing w:line="230" w:lineRule="auto"/>
        <w:rPr>
          <w:rtl/>
        </w:rPr>
      </w:pPr>
      <w:r w:rsidRPr="00A32FC0">
        <w:rPr>
          <w:rFonts w:hint="cs"/>
          <w:rtl/>
        </w:rPr>
        <w:t>وهذا الاستدلال هو أهمّ دليل على أنّ ولاية الفقيه مطلقة. وسوف نتعرَّض لهذا الموضوع بشكل مفصَّل في محلّه.</w:t>
      </w:r>
    </w:p>
    <w:p w:rsidR="00EA09EB" w:rsidRPr="00A32FC0" w:rsidRDefault="00EA09EB" w:rsidP="007D79F5">
      <w:pPr>
        <w:pStyle w:val="Normal93"/>
        <w:spacing w:line="230" w:lineRule="auto"/>
        <w:rPr>
          <w:rtl/>
        </w:rPr>
      </w:pPr>
      <w:r w:rsidRPr="00A32FC0">
        <w:rPr>
          <w:rFonts w:hint="cs"/>
          <w:rtl/>
        </w:rPr>
        <w:t>وأمّا هنا فسوف نتعرَّض بشكلٍ إجماليٍّ إلى النقاط الأساسيّة في هذا البحث.</w:t>
      </w:r>
    </w:p>
    <w:p w:rsidR="00EA09EB" w:rsidRPr="00A32FC0" w:rsidRDefault="00EA09EB" w:rsidP="007D79F5">
      <w:pPr>
        <w:pStyle w:val="Normal93"/>
        <w:spacing w:line="230" w:lineRule="auto"/>
        <w:rPr>
          <w:rtl/>
        </w:rPr>
      </w:pPr>
      <w:r w:rsidRPr="00A32FC0">
        <w:rPr>
          <w:rFonts w:hint="cs"/>
          <w:rtl/>
        </w:rPr>
        <w:t>أمّا في المقدّمة الأولى:</w:t>
      </w:r>
    </w:p>
    <w:p w:rsidR="00EA09EB" w:rsidRPr="00A32FC0" w:rsidRDefault="00EA09EB" w:rsidP="007D79F5">
      <w:pPr>
        <w:pStyle w:val="Normal93"/>
        <w:spacing w:line="230" w:lineRule="auto"/>
        <w:rPr>
          <w:rtl/>
        </w:rPr>
      </w:pPr>
      <w:r w:rsidRPr="00A32FC0">
        <w:rPr>
          <w:rFonts w:hint="cs"/>
          <w:rtl/>
        </w:rPr>
        <w:t>1</w:t>
      </w:r>
      <w:r w:rsidRPr="00A32FC0">
        <w:rPr>
          <w:rtl/>
        </w:rPr>
        <w:t>ـ</w:t>
      </w:r>
      <w:r w:rsidRPr="00A32FC0">
        <w:rPr>
          <w:rFonts w:hint="cs"/>
          <w:rtl/>
        </w:rPr>
        <w:t xml:space="preserve"> لا يوجد أدنى شكّ في أولويّة النبيّ</w:t>
      </w:r>
      <w:r w:rsidRPr="00A32FC0">
        <w:rPr>
          <w:rFonts w:hint="cs"/>
          <w:rtl/>
        </w:rPr>
        <w:sym w:font="Roumouz" w:char="F02D"/>
      </w:r>
      <w:r w:rsidRPr="00A32FC0">
        <w:rPr>
          <w:rFonts w:hint="cs"/>
          <w:rtl/>
        </w:rPr>
        <w:t>. وهذا أمر اعتقاديّ وقرآنيّ مسلَّم.</w:t>
      </w:r>
    </w:p>
    <w:p w:rsidR="00EA09EB" w:rsidRPr="00A32FC0" w:rsidRDefault="00EA09EB" w:rsidP="007D79F5">
      <w:pPr>
        <w:pStyle w:val="Normal87"/>
        <w:rPr>
          <w:rtl/>
        </w:rPr>
      </w:pPr>
      <w:r w:rsidRPr="00A32FC0">
        <w:rPr>
          <w:rFonts w:hint="cs"/>
          <w:rtl/>
        </w:rPr>
        <w:t>2</w:t>
      </w:r>
      <w:r w:rsidRPr="00A32FC0">
        <w:rPr>
          <w:rtl/>
        </w:rPr>
        <w:t>ـ</w:t>
      </w:r>
      <w:r w:rsidRPr="00A32FC0">
        <w:rPr>
          <w:rFonts w:hint="cs"/>
          <w:rtl/>
        </w:rPr>
        <w:t xml:space="preserve"> إن أولويّة النبيّ</w:t>
      </w:r>
      <w:r w:rsidRPr="00A32FC0">
        <w:rPr>
          <w:rFonts w:hint="cs"/>
          <w:rtl/>
        </w:rPr>
        <w:sym w:font="Roumouz" w:char="F02D"/>
      </w:r>
      <w:r w:rsidRPr="00A32FC0">
        <w:rPr>
          <w:rFonts w:hint="cs"/>
          <w:rtl/>
        </w:rPr>
        <w:t xml:space="preserve"> وولايته أوسع ولاية بعد الولاية الإلهيّة. فالرسول</w:t>
      </w:r>
      <w:r w:rsidRPr="00A32FC0">
        <w:rPr>
          <w:rFonts w:hint="cs"/>
          <w:rtl/>
        </w:rPr>
        <w:sym w:font="Roumouz" w:char="F02D"/>
      </w:r>
      <w:r w:rsidRPr="00A32FC0">
        <w:rPr>
          <w:rFonts w:hint="cs"/>
          <w:rtl/>
        </w:rPr>
        <w:t xml:space="preserve"> يتمتَّع بأوسع ولاية إنسانيّة، وأكثرها نفوذاً.</w:t>
      </w:r>
    </w:p>
    <w:p w:rsidR="00EA09EB" w:rsidRPr="00EA09EB" w:rsidRDefault="00EA09EB" w:rsidP="007D79F5">
      <w:pPr>
        <w:pStyle w:val="Normal93"/>
        <w:spacing w:line="230" w:lineRule="auto"/>
        <w:rPr>
          <w:rtl/>
        </w:rPr>
      </w:pPr>
      <w:r w:rsidRPr="00EA09EB">
        <w:rPr>
          <w:rFonts w:hint="cs"/>
          <w:rtl/>
        </w:rPr>
        <w:t>3</w:t>
      </w:r>
      <w:r w:rsidRPr="00EA09EB">
        <w:rPr>
          <w:rtl/>
        </w:rPr>
        <w:t>ـ</w:t>
      </w:r>
      <w:r w:rsidRPr="00EA09EB">
        <w:rPr>
          <w:rFonts w:hint="cs"/>
          <w:rtl/>
        </w:rPr>
        <w:t xml:space="preserve"> إنّ مسألة المراد من أولويّة النبي</w:t>
      </w:r>
      <w:r w:rsidRPr="00EA09EB">
        <w:rPr>
          <w:rFonts w:hint="cs"/>
          <w:rtl/>
        </w:rPr>
        <w:sym w:font="Roumouz" w:char="F02D"/>
      </w:r>
      <w:r w:rsidRPr="00EA09EB">
        <w:rPr>
          <w:rFonts w:hint="cs"/>
          <w:rtl/>
        </w:rPr>
        <w:t xml:space="preserve"> وسعة دائرة هذه الولاية، أي بيان وتفسير إطلاق الولاية، هو محلّ بحث بين العلماء. فقد توقَّف بعض العلماء في هذه المسألة، واعتبر أنّه لا جدوى من بحثها</w:t>
      </w:r>
      <w:r w:rsidRPr="00064619">
        <w:rPr>
          <w:rFonts w:cs="Taher"/>
          <w:sz w:val="32"/>
          <w:vertAlign w:val="superscript"/>
          <w:rtl/>
        </w:rPr>
        <w:t>(</w:t>
      </w:r>
      <w:r w:rsidRPr="00064619">
        <w:rPr>
          <w:rStyle w:val="FootnoteReference"/>
          <w:rFonts w:cs="Taher"/>
          <w:sz w:val="32"/>
          <w:rtl/>
        </w:rPr>
        <w:footnoteReference w:id="754"/>
      </w:r>
      <w:r w:rsidRPr="00064619">
        <w:rPr>
          <w:rFonts w:cs="Taher"/>
          <w:sz w:val="32"/>
          <w:vertAlign w:val="superscript"/>
          <w:rtl/>
        </w:rPr>
        <w:t>)</w:t>
      </w:r>
      <w:r w:rsidRPr="00EA09EB">
        <w:rPr>
          <w:rFonts w:hint="cs"/>
          <w:rtl/>
        </w:rPr>
        <w:t>؛ واعتبر البعض الآخر أنّ الولاية النبويّة مطلقة من جميع النواحي، ولا يقيِّدها شيء</w:t>
      </w:r>
      <w:r w:rsidRPr="00064619">
        <w:rPr>
          <w:rFonts w:cs="Taher"/>
          <w:sz w:val="32"/>
          <w:vertAlign w:val="superscript"/>
          <w:rtl/>
        </w:rPr>
        <w:t>(</w:t>
      </w:r>
      <w:r w:rsidRPr="00064619">
        <w:rPr>
          <w:rStyle w:val="FootnoteReference"/>
          <w:rFonts w:cs="Taher"/>
          <w:sz w:val="32"/>
          <w:rtl/>
        </w:rPr>
        <w:footnoteReference w:id="755"/>
      </w:r>
      <w:r w:rsidRPr="00064619">
        <w:rPr>
          <w:rFonts w:cs="Taher"/>
          <w:sz w:val="32"/>
          <w:vertAlign w:val="superscript"/>
          <w:rtl/>
        </w:rPr>
        <w:t>)</w:t>
      </w:r>
      <w:r w:rsidRPr="00EA09EB">
        <w:rPr>
          <w:rFonts w:hint="cs"/>
          <w:rtl/>
        </w:rPr>
        <w:t>؛ وقال البعض الثالث بتقييدها، وخاصّة في الأمور العامّة</w:t>
      </w:r>
      <w:r w:rsidRPr="00064619">
        <w:rPr>
          <w:rFonts w:cs="Taher"/>
          <w:sz w:val="32"/>
          <w:vertAlign w:val="superscript"/>
          <w:rtl/>
        </w:rPr>
        <w:t>(</w:t>
      </w:r>
      <w:r w:rsidRPr="00064619">
        <w:rPr>
          <w:rStyle w:val="FootnoteReference"/>
          <w:rFonts w:cs="Taher"/>
          <w:sz w:val="32"/>
          <w:rtl/>
        </w:rPr>
        <w:footnoteReference w:id="756"/>
      </w:r>
      <w:r w:rsidRPr="00064619">
        <w:rPr>
          <w:rFonts w:cs="Taher"/>
          <w:sz w:val="32"/>
          <w:vertAlign w:val="superscript"/>
          <w:rtl/>
        </w:rPr>
        <w:t>)</w:t>
      </w:r>
      <w:r w:rsidRPr="00EA09EB">
        <w:rPr>
          <w:rFonts w:hint="cs"/>
          <w:rtl/>
        </w:rPr>
        <w:t>. وهناك عدة أقوال في كيفية هذه القيود وكمّيتها. وحيث إنه لا يوجد شكّ في ولاية النبيّ</w:t>
      </w:r>
      <w:r w:rsidRPr="00EA09EB">
        <w:rPr>
          <w:rFonts w:hint="cs"/>
          <w:rtl/>
        </w:rPr>
        <w:sym w:font="Roumouz" w:char="F02D"/>
      </w:r>
      <w:r w:rsidRPr="00EA09EB">
        <w:rPr>
          <w:rFonts w:hint="cs"/>
          <w:rtl/>
        </w:rPr>
        <w:t xml:space="preserve"> جملةً فمع تبنّينا لأيّ قول من هذه الأقوال الثلاثة تبقى المشكلة في المقدّمتين الثانية والثالثة. </w:t>
      </w:r>
    </w:p>
    <w:p w:rsidR="00EA09EB" w:rsidRPr="00A32FC0" w:rsidRDefault="00EA09EB" w:rsidP="007D79F5">
      <w:pPr>
        <w:pStyle w:val="Normal93"/>
        <w:rPr>
          <w:rtl/>
        </w:rPr>
      </w:pPr>
      <w:r w:rsidRPr="00A32FC0">
        <w:rPr>
          <w:rFonts w:hint="cs"/>
          <w:rtl/>
        </w:rPr>
        <w:t>فأمّا المقدمة الثانية فقد تقدَّم بحثها بشكلٍ مفصَّلٍ، وتبيَّن لنا أنّ روايات «اللهم ارحم خلفائي» لا تخلو من المناقشة السنديّة. وقلنا: إن هناك قرينة لفظيّة متَّصلة بهاتين المجموعتين من الروايات تدلّ على أن الخلافة والوراثة مختصّتان بالدعوة إلى الإسلام، وتعليم أحكام الشريعة ونشرها. ولا دلالة لها بأيّ شكلٍ من الأشكال على أنّ الخلافة والوراثة هي في ولاية النبيّ</w:t>
      </w:r>
      <w:r w:rsidRPr="00A32FC0">
        <w:rPr>
          <w:rFonts w:hint="cs"/>
          <w:rtl/>
        </w:rPr>
        <w:sym w:font="Roumouz" w:char="F02D"/>
      </w:r>
      <w:r w:rsidRPr="00A32FC0">
        <w:rPr>
          <w:rFonts w:hint="cs"/>
          <w:rtl/>
        </w:rPr>
        <w:t xml:space="preserve"> التدبيريّة وقضائه.</w:t>
      </w:r>
    </w:p>
    <w:p w:rsidR="00EA09EB" w:rsidRDefault="00EA09EB" w:rsidP="007D79F5">
      <w:pPr>
        <w:rPr>
          <w:rtl/>
        </w:rPr>
      </w:pPr>
      <w:r w:rsidRPr="00EA09EB">
        <w:rPr>
          <w:rFonts w:hint="cs"/>
          <w:rtl/>
        </w:rPr>
        <w:t xml:space="preserve">والمشكلة الأساسيّة التي تواجه المقدّمة الثالثة </w:t>
      </w:r>
      <w:r w:rsidRPr="00EA09EB">
        <w:rPr>
          <w:rtl/>
        </w:rPr>
        <w:t>ـ</w:t>
      </w:r>
      <w:r w:rsidRPr="00EA09EB">
        <w:rPr>
          <w:rFonts w:hint="cs"/>
          <w:rtl/>
        </w:rPr>
        <w:t xml:space="preserve"> على فرض صحّة المقدّمة الثانية </w:t>
      </w:r>
      <w:r w:rsidRPr="00EA09EB">
        <w:rPr>
          <w:rtl/>
        </w:rPr>
        <w:t>ـ</w:t>
      </w:r>
      <w:r w:rsidRPr="00EA09EB">
        <w:rPr>
          <w:rFonts w:hint="cs"/>
          <w:rtl/>
        </w:rPr>
        <w:t xml:space="preserve"> هي أنه كيف يمكن لنا أن نعلم أنّه لا دخالة «للوصف العنوانيّ للنبوّة» في الأولويّة المطلقة للنبيّ</w:t>
      </w:r>
      <w:r w:rsidRPr="00EA09EB">
        <w:rPr>
          <w:rFonts w:hint="cs"/>
          <w:rtl/>
        </w:rPr>
        <w:sym w:font="Roumouz" w:char="F02D"/>
      </w:r>
      <w:r w:rsidRPr="00EA09EB">
        <w:rPr>
          <w:rFonts w:hint="cs"/>
          <w:rtl/>
        </w:rPr>
        <w:t>، وأنّ النبي</w:t>
      </w:r>
      <w:r w:rsidRPr="00EA09EB">
        <w:rPr>
          <w:rFonts w:hint="cs"/>
          <w:rtl/>
        </w:rPr>
        <w:sym w:font="Roumouz" w:char="F02D"/>
      </w:r>
      <w:r w:rsidRPr="00EA09EB">
        <w:rPr>
          <w:rFonts w:hint="cs"/>
          <w:rtl/>
        </w:rPr>
        <w:t xml:space="preserve"> «عنوان مشير» للوالي؟ أي ما هو الدليل على أنّ الآية: ﴿</w:t>
      </w:r>
      <w:r w:rsidRPr="007A340E">
        <w:rPr>
          <w:b/>
          <w:bCs/>
          <w:rtl/>
        </w:rPr>
        <w:t>النَّبِيُّ أَوْلَى بِالْمُؤْمِنِينَ مِنْ أَنْفُسِهِمْ</w:t>
      </w:r>
      <w:r w:rsidRPr="00EA09EB">
        <w:rPr>
          <w:rFonts w:hint="cs"/>
          <w:rtl/>
        </w:rPr>
        <w:t>﴾ تعادل القول بأنّ «الوالي أولى بالمؤمنين من أنفسهم»؟ ألا يمكن أن يكون لعصمة النبيّ</w:t>
      </w:r>
      <w:r w:rsidRPr="00EA09EB">
        <w:rPr>
          <w:rFonts w:hint="cs"/>
          <w:rtl/>
        </w:rPr>
        <w:sym w:font="Roumouz" w:char="F02D"/>
      </w:r>
      <w:r w:rsidRPr="00EA09EB">
        <w:rPr>
          <w:rFonts w:hint="cs"/>
          <w:rtl/>
        </w:rPr>
        <w:t xml:space="preserve"> وعلمه بالغيب علاقة بهذه الأولويّة والولاية؟ ومن الواضح أن المقدّمتين الثانية والثالثة ليستا قرآنيّتين، بالإضافة إلى أنّهما غير تامّتين. وفي بحثنا في الولاية المطلقة سوف نتعرَّض لأدلّة المقدّمة الثالثة غير التامّة بشكلٍ مفصَّلٍ.</w:t>
      </w:r>
    </w:p>
    <w:p w:rsidR="007A340E" w:rsidRPr="00EA09EB" w:rsidRDefault="007A340E" w:rsidP="007A340E">
      <w:pPr>
        <w:ind w:firstLine="283"/>
        <w:rPr>
          <w:rtl/>
        </w:rPr>
      </w:pPr>
    </w:p>
    <w:p w:rsidR="00EA09EB" w:rsidRPr="007C6D0A" w:rsidRDefault="00EA09EB" w:rsidP="007A340E">
      <w:pPr>
        <w:pStyle w:val="Heading4"/>
        <w:rPr>
          <w:rtl/>
        </w:rPr>
      </w:pPr>
      <w:r w:rsidRPr="007C6D0A">
        <w:rPr>
          <w:rFonts w:hint="cs"/>
          <w:rtl/>
        </w:rPr>
        <w:t xml:space="preserve">ثانياً: </w:t>
      </w:r>
      <w:r w:rsidRPr="007A340E">
        <w:rPr>
          <w:rFonts w:hint="cs"/>
          <w:rtl/>
        </w:rPr>
        <w:t>آيات</w:t>
      </w:r>
      <w:r w:rsidRPr="007C6D0A">
        <w:rPr>
          <w:rFonts w:hint="cs"/>
          <w:rtl/>
        </w:rPr>
        <w:t xml:space="preserve"> قيادة رسول الله</w:t>
      </w:r>
      <w:r w:rsidRPr="007C6D0A">
        <w:rPr>
          <w:rFonts w:hint="cs"/>
          <w:rtl/>
        </w:rPr>
        <w:sym w:font="Roumouz" w:char="F02D"/>
      </w:r>
    </w:p>
    <w:p w:rsidR="00EA09EB" w:rsidRPr="00EA09EB" w:rsidRDefault="00EA09EB" w:rsidP="007A340E">
      <w:pPr>
        <w:ind w:firstLine="283"/>
        <w:rPr>
          <w:rtl/>
        </w:rPr>
      </w:pPr>
      <w:r w:rsidRPr="007A340E">
        <w:rPr>
          <w:rFonts w:hint="cs"/>
          <w:b/>
          <w:bCs/>
          <w:rtl/>
        </w:rPr>
        <w:t>الآية الثالثة</w:t>
      </w:r>
      <w:r w:rsidRPr="00EA09EB">
        <w:rPr>
          <w:rFonts w:hint="cs"/>
          <w:rtl/>
        </w:rPr>
        <w:t>: ﴿</w:t>
      </w:r>
      <w:r w:rsidRPr="007A340E">
        <w:rPr>
          <w:b/>
          <w:bCs/>
          <w:rtl/>
        </w:rPr>
        <w:t xml:space="preserve">إِنَّمَا الْمُؤْمِنُونَ الَّذِينَ آمَنُوا بِاللهِ وَرَسُولِهِ وَإِذَا كَانُوا مَعَهُ عَلَى أَمْرٍ جَامِعٍ لَمْ يَذْهَبُوا حَتَّى يَسْتَأْذِنُوهُ إِنَّ الَّذِينَ يَسْتَأْذِنُونَكَ أُوْلَئِكَ الَّذِينَ يُؤْمِنُونَ بِاللهِ وَرَسُولِهِ فَإِذَا اسْتَأْذَنُوكَ لِبَعْضِ شَأْنِهِمْ فَأْذَنْ لِمَنْ شِئْتَ مِنْهُمْ وَاسْتَغْفِرْ لَهُمْ اللهَ إِنَّ اللهَ غَفُورٌ رَحِيمٌ </w:t>
      </w:r>
      <w:r w:rsidRPr="007A340E">
        <w:rPr>
          <w:rFonts w:hint="cs"/>
          <w:b/>
          <w:bCs/>
          <w:rtl/>
        </w:rPr>
        <w:t>*</w:t>
      </w:r>
      <w:r w:rsidRPr="007A340E">
        <w:rPr>
          <w:b/>
          <w:bCs/>
          <w:rtl/>
        </w:rPr>
        <w:t xml:space="preserve"> لاَ تَجْعَلُوا دُعَاءَ الرَّسُولِ بَيْنَكُمْ كَدُعَاءِ بَعْضِكُمْ بَعْضاً قَدْ يَعْلَمُ اللهُ الَّذِينَ يَتَسَلَّلُونَ مِنْكُمْ لِوَاذاً فَلْيَحْذَرْ الَّذِينَ يُخَالِفُونَ عَنْ أَمْرِهِ أَنْ تُصِيبَهُمْ فِتْنَةٌ أَوْ يُصِيبَهُمْ عَذَابٌ أَلِيمٌ</w:t>
      </w:r>
      <w:r w:rsidRPr="00EA09EB">
        <w:rPr>
          <w:rFonts w:hint="cs"/>
          <w:rtl/>
        </w:rPr>
        <w:t>﴾(النور: 62 ـ 63).</w:t>
      </w:r>
    </w:p>
    <w:p w:rsidR="00EA09EB" w:rsidRPr="00A32FC0" w:rsidRDefault="00EA09EB" w:rsidP="00EA09EB">
      <w:pPr>
        <w:rPr>
          <w:rtl/>
          <w:lang w:bidi="ar-LB"/>
        </w:rPr>
      </w:pPr>
      <w:r w:rsidRPr="00A32FC0">
        <w:rPr>
          <w:rFonts w:hint="cs"/>
          <w:rtl/>
          <w:lang w:bidi="ar-LB"/>
        </w:rPr>
        <w:t>إنّ كيفية الاستدلال بهذه الآية على الولاية التعيينية للفقيه على الناس بهذا الشكل:</w:t>
      </w:r>
    </w:p>
    <w:p w:rsidR="00EA09EB" w:rsidRPr="00EA09EB" w:rsidRDefault="00EA09EB" w:rsidP="007A340E">
      <w:pPr>
        <w:ind w:firstLine="283"/>
        <w:rPr>
          <w:rtl/>
        </w:rPr>
      </w:pPr>
      <w:r w:rsidRPr="007A340E">
        <w:rPr>
          <w:rFonts w:hint="cs"/>
          <w:b/>
          <w:bCs/>
          <w:rtl/>
        </w:rPr>
        <w:t>المقدّمة الأولى</w:t>
      </w:r>
      <w:r w:rsidRPr="00EA09EB">
        <w:rPr>
          <w:rFonts w:hint="cs"/>
          <w:rtl/>
        </w:rPr>
        <w:t>: إنّ ترك أمرٍ جامعٍ بدون استئذان الرسول</w:t>
      </w:r>
      <w:r w:rsidRPr="00EA09EB">
        <w:rPr>
          <w:rFonts w:hint="cs"/>
          <w:rtl/>
        </w:rPr>
        <w:sym w:font="Roumouz" w:char="F02D"/>
      </w:r>
      <w:r w:rsidRPr="00EA09EB">
        <w:rPr>
          <w:rFonts w:hint="cs"/>
          <w:rtl/>
        </w:rPr>
        <w:t xml:space="preserve"> غيرُ جائز. والقعود عن أوامر النبي</w:t>
      </w:r>
      <w:r w:rsidRPr="00EA09EB">
        <w:rPr>
          <w:rFonts w:hint="cs"/>
          <w:rtl/>
        </w:rPr>
        <w:sym w:font="Roumouz" w:char="F02D"/>
      </w:r>
      <w:r w:rsidRPr="00EA09EB">
        <w:rPr>
          <w:rFonts w:hint="cs"/>
          <w:rtl/>
        </w:rPr>
        <w:t xml:space="preserve"> قعودٌ عن أوامر الله. وهذا يعني وجوب طاعة الرسول</w:t>
      </w:r>
      <w:r w:rsidRPr="00EA09EB">
        <w:rPr>
          <w:rFonts w:hint="cs"/>
          <w:rtl/>
        </w:rPr>
        <w:sym w:font="Roumouz" w:char="F02D"/>
      </w:r>
      <w:r w:rsidRPr="00EA09EB">
        <w:rPr>
          <w:rFonts w:hint="cs"/>
          <w:rtl/>
        </w:rPr>
        <w:t xml:space="preserve"> في الأوامر والنواهي الاجتماعيّة والسياسيّة.</w:t>
      </w:r>
    </w:p>
    <w:p w:rsidR="00EA09EB" w:rsidRPr="00EA09EB" w:rsidRDefault="00EA09EB" w:rsidP="007A340E">
      <w:pPr>
        <w:ind w:firstLine="283"/>
        <w:rPr>
          <w:rtl/>
        </w:rPr>
      </w:pPr>
      <w:r w:rsidRPr="007A340E">
        <w:rPr>
          <w:rFonts w:hint="cs"/>
          <w:b/>
          <w:bCs/>
          <w:rtl/>
        </w:rPr>
        <w:t>المقدّمة الثانية</w:t>
      </w:r>
      <w:r w:rsidRPr="00EA09EB">
        <w:rPr>
          <w:rFonts w:hint="cs"/>
          <w:rtl/>
        </w:rPr>
        <w:t>: إنّ المراد من الرسول</w:t>
      </w:r>
      <w:r w:rsidRPr="00EA09EB">
        <w:rPr>
          <w:rFonts w:hint="cs"/>
          <w:rtl/>
        </w:rPr>
        <w:sym w:font="Roumouz" w:char="F02D"/>
      </w:r>
      <w:r w:rsidRPr="00EA09EB">
        <w:rPr>
          <w:rFonts w:hint="cs"/>
          <w:rtl/>
        </w:rPr>
        <w:t xml:space="preserve"> في الآية الشريفة هو «العنوان المشير» إلى حيثيّة الحاكميّة والولاية للنبيّ</w:t>
      </w:r>
      <w:r w:rsidRPr="00EA09EB">
        <w:rPr>
          <w:rFonts w:hint="cs"/>
          <w:rtl/>
        </w:rPr>
        <w:sym w:font="Roumouz" w:char="F02D"/>
      </w:r>
      <w:r w:rsidRPr="00EA09EB">
        <w:rPr>
          <w:rFonts w:hint="cs"/>
          <w:rtl/>
        </w:rPr>
        <w:t>، لا الرسول من حيث الرسالة والنبوّة. وهذا يعني أنه يجب طاعة الرسول في الأوامر الاجتماعيّة والسياسيّة، من حيث كونُه والياً وحاكماً.</w:t>
      </w:r>
    </w:p>
    <w:p w:rsidR="00EA09EB" w:rsidRPr="00EA09EB" w:rsidRDefault="00EA09EB" w:rsidP="007A340E">
      <w:pPr>
        <w:ind w:firstLine="283"/>
        <w:rPr>
          <w:rtl/>
        </w:rPr>
      </w:pPr>
      <w:r w:rsidRPr="007A340E">
        <w:rPr>
          <w:rFonts w:hint="cs"/>
          <w:b/>
          <w:bCs/>
          <w:rtl/>
        </w:rPr>
        <w:t>المقدّمة الثالثة</w:t>
      </w:r>
      <w:r w:rsidRPr="00EA09EB">
        <w:rPr>
          <w:rFonts w:hint="cs"/>
          <w:rtl/>
        </w:rPr>
        <w:t>: الفقهاء هم خلفاء النبيّ</w:t>
      </w:r>
      <w:r w:rsidRPr="00EA09EB">
        <w:rPr>
          <w:rFonts w:hint="cs"/>
          <w:rtl/>
        </w:rPr>
        <w:sym w:font="Roumouz" w:char="F02D"/>
      </w:r>
      <w:r w:rsidRPr="00EA09EB">
        <w:rPr>
          <w:rFonts w:hint="cs"/>
          <w:rtl/>
        </w:rPr>
        <w:t xml:space="preserve"> وورثته في منصب الولاية والحاكميّة.</w:t>
      </w:r>
    </w:p>
    <w:p w:rsidR="00EA09EB" w:rsidRPr="00A32FC0" w:rsidRDefault="00EA09EB" w:rsidP="00EA09EB">
      <w:pPr>
        <w:rPr>
          <w:rtl/>
          <w:lang w:bidi="ar-LB"/>
        </w:rPr>
      </w:pPr>
      <w:r w:rsidRPr="00A32FC0">
        <w:rPr>
          <w:rFonts w:hint="cs"/>
          <w:rtl/>
          <w:lang w:bidi="ar-LB"/>
        </w:rPr>
        <w:t xml:space="preserve">أمّا المقدّمة الأولى فهي قرآنيّة، ولا ريب فيها. </w:t>
      </w:r>
    </w:p>
    <w:p w:rsidR="00EA09EB" w:rsidRPr="00A32FC0" w:rsidRDefault="00EA09EB" w:rsidP="00EA09EB">
      <w:pPr>
        <w:rPr>
          <w:rtl/>
          <w:lang w:bidi="ar-LB"/>
        </w:rPr>
      </w:pPr>
      <w:r w:rsidRPr="00A32FC0">
        <w:rPr>
          <w:rFonts w:hint="cs"/>
          <w:rtl/>
          <w:lang w:bidi="ar-LB"/>
        </w:rPr>
        <w:t>وأمّا المقدّمة الثانية فهي قابلة للنقاش؛ إذ إنّ ظاهر الآية أنّ وصف الرسول</w:t>
      </w:r>
      <w:r w:rsidRPr="00A32FC0">
        <w:rPr>
          <w:rFonts w:hint="cs"/>
          <w:rtl/>
        </w:rPr>
        <w:sym w:font="Roumouz" w:char="F02D"/>
      </w:r>
      <w:r w:rsidRPr="00A32FC0">
        <w:rPr>
          <w:rFonts w:hint="cs"/>
          <w:rtl/>
          <w:lang w:bidi="ar-LB"/>
        </w:rPr>
        <w:t xml:space="preserve"> فيها وصف عنوانيّ، أي إنّ هذا الحكم الذي تتضمَّنه الآية ثابتٌ للرسول</w:t>
      </w:r>
      <w:r w:rsidRPr="00A32FC0">
        <w:rPr>
          <w:rFonts w:hint="cs"/>
          <w:rtl/>
        </w:rPr>
        <w:sym w:font="Roumouz" w:char="F02D"/>
      </w:r>
      <w:r w:rsidRPr="00A32FC0">
        <w:rPr>
          <w:rFonts w:hint="cs"/>
          <w:rtl/>
          <w:lang w:bidi="ar-LB"/>
        </w:rPr>
        <w:t xml:space="preserve"> من حيث كونُه رسولاً. وحتّى لو سلمنا أنّ منشأ هذا الحكم </w:t>
      </w:r>
      <w:r w:rsidRPr="00A32FC0">
        <w:rPr>
          <w:rFonts w:hint="cs"/>
          <w:rtl/>
        </w:rPr>
        <w:t xml:space="preserve">ـ </w:t>
      </w:r>
      <w:r w:rsidRPr="00A32FC0">
        <w:rPr>
          <w:rFonts w:hint="cs"/>
          <w:rtl/>
          <w:lang w:bidi="ar-LB"/>
        </w:rPr>
        <w:t>وجوب الطاعة</w:t>
      </w:r>
      <w:r w:rsidRPr="00A32FC0">
        <w:rPr>
          <w:rFonts w:hint="cs"/>
          <w:rtl/>
        </w:rPr>
        <w:t xml:space="preserve"> ـ</w:t>
      </w:r>
      <w:r w:rsidRPr="00A32FC0">
        <w:rPr>
          <w:rFonts w:hint="cs"/>
          <w:rtl/>
          <w:lang w:bidi="ar-LB"/>
        </w:rPr>
        <w:t xml:space="preserve"> هو حيثية الولائيّة يبقى السؤال حول عدم ارتباط العصمة وعلم الغيب بهذا الحكم. فإنّ صرف احتمال كون العصمة وعلم الغيب مرتبطَيْن بترتُّب الحكم على الحيثيّة الولائيّة للرسول كافٍ لعدم سراية هذا الحكم على غير المعصوم. </w:t>
      </w:r>
    </w:p>
    <w:p w:rsidR="00EA09EB" w:rsidRPr="00A32FC0" w:rsidRDefault="00EA09EB" w:rsidP="00EA09EB">
      <w:pPr>
        <w:rPr>
          <w:rtl/>
          <w:lang w:bidi="ar-LB"/>
        </w:rPr>
      </w:pPr>
      <w:r w:rsidRPr="00A32FC0">
        <w:rPr>
          <w:rFonts w:hint="cs"/>
          <w:rtl/>
          <w:lang w:bidi="ar-LB"/>
        </w:rPr>
        <w:t>وأمّا المقدّمة الثالثة فقد تقدَّم عدم تمام أدلّتها ضمن البحث في الآية السابقة ـ بشكلٍ مجملٍ ـ، وضمن بحث الأدلّة الروائيّة على ولاية الفقيه ـ بشكلٍ مفصَّلٍ ـ.</w:t>
      </w:r>
    </w:p>
    <w:p w:rsidR="00EA09EB" w:rsidRPr="00EA09EB" w:rsidRDefault="00EA09EB" w:rsidP="007A340E">
      <w:pPr>
        <w:ind w:firstLine="283"/>
        <w:rPr>
          <w:rtl/>
        </w:rPr>
      </w:pPr>
      <w:r w:rsidRPr="007A340E">
        <w:rPr>
          <w:rFonts w:hint="cs"/>
          <w:b/>
          <w:bCs/>
          <w:rtl/>
        </w:rPr>
        <w:t>الآية الرابعة</w:t>
      </w:r>
      <w:r w:rsidRPr="00EA09EB">
        <w:rPr>
          <w:rFonts w:hint="cs"/>
          <w:rtl/>
        </w:rPr>
        <w:t>: ﴿</w:t>
      </w:r>
      <w:r w:rsidRPr="007A340E">
        <w:rPr>
          <w:b/>
          <w:bCs/>
          <w:rtl/>
        </w:rPr>
        <w:t>وَمَا كَانَ لِمُؤْمِنٍ وَلاَ مُؤْمِنَةٍ إِذَا قَضَى اللهُ وَرَسُولُهُ أَمْراً أَنْ يَكُونَ لَهُمْ الْخِيَرَةُ مِنْ أَمْرِهِمْ وَمَنْ يَعْصِ اللهَ وَرَسُولَهُ فَقَدْ ضَلَّ ضَلاَلاً مُبِيناً</w:t>
      </w:r>
      <w:r w:rsidRPr="00EA09EB">
        <w:rPr>
          <w:rFonts w:hint="cs"/>
          <w:rtl/>
        </w:rPr>
        <w:t>﴾(الأحزاب: 36).</w:t>
      </w:r>
    </w:p>
    <w:p w:rsidR="00EA09EB" w:rsidRPr="00A32FC0" w:rsidRDefault="00EA09EB" w:rsidP="00EA09EB">
      <w:pPr>
        <w:rPr>
          <w:rtl/>
          <w:lang w:bidi="ar-LB"/>
        </w:rPr>
      </w:pPr>
      <w:r w:rsidRPr="00A32FC0">
        <w:rPr>
          <w:rFonts w:hint="cs"/>
          <w:rtl/>
          <w:lang w:bidi="ar-LB"/>
        </w:rPr>
        <w:t xml:space="preserve">إنّ الاستدلال بهذه الآية شبيهٌ بالاستدلال بالآية السابقة. وهناك اختلافٌ في المقدّمة الأولى فقط. </w:t>
      </w:r>
    </w:p>
    <w:p w:rsidR="00EA09EB" w:rsidRPr="00A32FC0" w:rsidRDefault="00EA09EB" w:rsidP="00EA09EB">
      <w:pPr>
        <w:rPr>
          <w:rtl/>
          <w:lang w:bidi="ar-LB"/>
        </w:rPr>
      </w:pPr>
      <w:r w:rsidRPr="00A32FC0">
        <w:rPr>
          <w:rFonts w:hint="cs"/>
          <w:rtl/>
          <w:lang w:bidi="ar-LB"/>
        </w:rPr>
        <w:t>المقدّمة الأولى: طاعة أوامر رسول الله وأحكامه واجبة.</w:t>
      </w:r>
    </w:p>
    <w:p w:rsidR="00EA09EB" w:rsidRPr="00A32FC0" w:rsidRDefault="00EA09EB" w:rsidP="00EA09EB">
      <w:pPr>
        <w:rPr>
          <w:rtl/>
          <w:lang w:bidi="ar-LB"/>
        </w:rPr>
      </w:pPr>
      <w:r w:rsidRPr="00A32FC0">
        <w:rPr>
          <w:rFonts w:hint="cs"/>
          <w:rtl/>
          <w:lang w:bidi="ar-LB"/>
        </w:rPr>
        <w:t xml:space="preserve">وهذه المقدّمة قرآنيّة، ولا ريب فيها أيضاً. </w:t>
      </w:r>
    </w:p>
    <w:p w:rsidR="00EA09EB" w:rsidRDefault="00EA09EB" w:rsidP="00EA09EB">
      <w:pPr>
        <w:rPr>
          <w:rtl/>
          <w:lang w:bidi="ar-LB"/>
        </w:rPr>
      </w:pPr>
      <w:r w:rsidRPr="00A32FC0">
        <w:rPr>
          <w:rFonts w:hint="cs"/>
          <w:rtl/>
          <w:lang w:bidi="ar-LB"/>
        </w:rPr>
        <w:t>وأما المقدّمتان الثانية والثالثة فهما تماماً كالمقدّمتين الثانية والثالثة في الآية السابقة. والكلام فيهما هو الكلام نفسه هناك.</w:t>
      </w:r>
    </w:p>
    <w:p w:rsidR="007A340E" w:rsidRPr="00A32FC0" w:rsidRDefault="007A340E" w:rsidP="00EA09EB">
      <w:pPr>
        <w:rPr>
          <w:rtl/>
          <w:lang w:bidi="ar-LB"/>
        </w:rPr>
      </w:pPr>
    </w:p>
    <w:p w:rsidR="00EA09EB" w:rsidRPr="007C6D0A" w:rsidRDefault="00EA09EB" w:rsidP="007A340E">
      <w:pPr>
        <w:pStyle w:val="Heading4"/>
        <w:rPr>
          <w:rtl/>
        </w:rPr>
      </w:pPr>
      <w:r w:rsidRPr="007A340E">
        <w:rPr>
          <w:rFonts w:hint="cs"/>
          <w:rtl/>
        </w:rPr>
        <w:t>ثالثاً: ال</w:t>
      </w:r>
      <w:r w:rsidRPr="007C6D0A">
        <w:rPr>
          <w:rFonts w:hint="cs"/>
          <w:rtl/>
        </w:rPr>
        <w:t>آيات الدالة على كون الرسول</w:t>
      </w:r>
      <w:r w:rsidRPr="007C6D0A">
        <w:rPr>
          <w:rFonts w:hint="cs"/>
          <w:rtl/>
        </w:rPr>
        <w:sym w:font="Roumouz" w:char="F02D"/>
      </w:r>
      <w:r w:rsidRPr="007C6D0A">
        <w:rPr>
          <w:rFonts w:hint="cs"/>
          <w:rtl/>
        </w:rPr>
        <w:t xml:space="preserve"> قاضياً</w:t>
      </w:r>
    </w:p>
    <w:p w:rsidR="00EA09EB" w:rsidRPr="00EA09EB" w:rsidRDefault="00EA09EB" w:rsidP="007A340E">
      <w:pPr>
        <w:ind w:firstLine="283"/>
        <w:rPr>
          <w:rtl/>
        </w:rPr>
      </w:pPr>
      <w:r w:rsidRPr="007A340E">
        <w:rPr>
          <w:rFonts w:hint="cs"/>
          <w:b/>
          <w:bCs/>
          <w:rtl/>
        </w:rPr>
        <w:t>الآية الخامسة</w:t>
      </w:r>
      <w:r w:rsidRPr="00EA09EB">
        <w:rPr>
          <w:rFonts w:hint="cs"/>
          <w:rtl/>
        </w:rPr>
        <w:t>: ﴿</w:t>
      </w:r>
      <w:r w:rsidRPr="007A340E">
        <w:rPr>
          <w:b/>
          <w:bCs/>
          <w:rtl/>
        </w:rPr>
        <w:t>فَلاَ وَرَبِّكَ لاَ يُؤْمِنُونَ حَتَّى يُحَكِّمُوكَ فِيمَا شَجَرَ بَيْنَهُمْ ثُمَّ لاَ يَجِدُوا فِي أَنفُسِهِمْ حَرَجاً مِمَّا قَضَيْتَ وَيُسَلِّمُوا تَسْلِيماً</w:t>
      </w:r>
      <w:r w:rsidRPr="00EA09EB">
        <w:rPr>
          <w:rFonts w:hint="cs"/>
          <w:rtl/>
        </w:rPr>
        <w:t>﴾(النساء: 65).</w:t>
      </w:r>
    </w:p>
    <w:p w:rsidR="00EA09EB" w:rsidRPr="00EA09EB" w:rsidRDefault="00EA09EB" w:rsidP="007A340E">
      <w:pPr>
        <w:ind w:firstLine="283"/>
        <w:rPr>
          <w:rtl/>
        </w:rPr>
      </w:pPr>
      <w:r w:rsidRPr="007A340E">
        <w:rPr>
          <w:rFonts w:hint="cs"/>
          <w:b/>
          <w:bCs/>
          <w:rtl/>
        </w:rPr>
        <w:t>الآية السادسة</w:t>
      </w:r>
      <w:r w:rsidRPr="00EA09EB">
        <w:rPr>
          <w:rFonts w:hint="cs"/>
          <w:rtl/>
        </w:rPr>
        <w:t>: ﴿</w:t>
      </w:r>
      <w:r w:rsidRPr="007A340E">
        <w:rPr>
          <w:b/>
          <w:bCs/>
          <w:rtl/>
        </w:rPr>
        <w:t>إِنَّا أَنزَلْنَا إِلَيْكَ الْكِتَابَ بِالْحَقِّ لِتَحْكُمَ بَيْنَ النَّاسِ بِمَا أَرَاكَ اللهُ وَلاَ تَكُنْ لِلْخَائِنِينَ خَصِيماً</w:t>
      </w:r>
      <w:r w:rsidRPr="00EA09EB">
        <w:rPr>
          <w:rFonts w:hint="cs"/>
          <w:rtl/>
        </w:rPr>
        <w:t>﴾(النساء: 105).</w:t>
      </w:r>
    </w:p>
    <w:p w:rsidR="00EA09EB" w:rsidRPr="00A32FC0" w:rsidRDefault="00EA09EB" w:rsidP="00EA09EB">
      <w:pPr>
        <w:rPr>
          <w:rtl/>
          <w:lang w:bidi="ar-LB"/>
        </w:rPr>
      </w:pPr>
      <w:r w:rsidRPr="00A32FC0">
        <w:rPr>
          <w:rFonts w:hint="cs"/>
          <w:rtl/>
          <w:lang w:bidi="ar-LB"/>
        </w:rPr>
        <w:t>إن كيفية الاستدلال بهاتين الآيتين؛ لإثبات ولاية الفقيه على الناس، هو على الشكل التالي:</w:t>
      </w:r>
    </w:p>
    <w:p w:rsidR="00EA09EB" w:rsidRPr="00EA09EB" w:rsidRDefault="00EA09EB" w:rsidP="007A340E">
      <w:pPr>
        <w:ind w:firstLine="283"/>
        <w:rPr>
          <w:rtl/>
        </w:rPr>
      </w:pPr>
      <w:r w:rsidRPr="007A340E">
        <w:rPr>
          <w:rFonts w:hint="cs"/>
          <w:b/>
          <w:bCs/>
          <w:rtl/>
        </w:rPr>
        <w:t>المقدّمة الأولى</w:t>
      </w:r>
      <w:r w:rsidRPr="00EA09EB">
        <w:rPr>
          <w:rFonts w:hint="cs"/>
          <w:rtl/>
        </w:rPr>
        <w:t>: إنّ أحكام النبيّ</w:t>
      </w:r>
      <w:r w:rsidRPr="00EA09EB">
        <w:rPr>
          <w:rFonts w:hint="cs"/>
          <w:rtl/>
        </w:rPr>
        <w:sym w:font="Roumouz" w:char="F02D"/>
      </w:r>
      <w:r w:rsidRPr="00EA09EB">
        <w:rPr>
          <w:rFonts w:hint="cs"/>
          <w:rtl/>
        </w:rPr>
        <w:t xml:space="preserve"> القضائيّة ملزمة شرعاً. وعلى الناس قبول هذه الأحكام، ويجب أن لا يكون عندهم أيّ حرجٍ منها.</w:t>
      </w:r>
    </w:p>
    <w:p w:rsidR="00EA09EB" w:rsidRPr="00EA09EB" w:rsidRDefault="00EA09EB" w:rsidP="007A340E">
      <w:pPr>
        <w:ind w:firstLine="283"/>
        <w:rPr>
          <w:rtl/>
        </w:rPr>
      </w:pPr>
      <w:r w:rsidRPr="007A340E">
        <w:rPr>
          <w:rFonts w:hint="cs"/>
          <w:b/>
          <w:bCs/>
          <w:rtl/>
        </w:rPr>
        <w:t>المقدّمة الثانية</w:t>
      </w:r>
      <w:r w:rsidRPr="00EA09EB">
        <w:rPr>
          <w:rFonts w:hint="cs"/>
          <w:rtl/>
        </w:rPr>
        <w:t>: ليس هناك أيّ فرق بين أحكام النبيّ</w:t>
      </w:r>
      <w:r w:rsidRPr="00EA09EB">
        <w:rPr>
          <w:rFonts w:hint="cs"/>
          <w:rtl/>
        </w:rPr>
        <w:sym w:font="Roumouz" w:char="F02D"/>
      </w:r>
      <w:r w:rsidRPr="00EA09EB">
        <w:rPr>
          <w:rFonts w:hint="cs"/>
          <w:rtl/>
        </w:rPr>
        <w:t xml:space="preserve"> الولائيّة وأحكامه القضائيّة. أو إنه يمكن أن يُقال: كما هو الأمر في القضاء كذلك هو في الولاية السياسيّة للنبيّ</w:t>
      </w:r>
      <w:r w:rsidRPr="00EA09EB">
        <w:rPr>
          <w:rFonts w:hint="cs"/>
          <w:rtl/>
        </w:rPr>
        <w:sym w:font="Roumouz" w:char="F02D"/>
      </w:r>
      <w:r w:rsidRPr="00EA09EB">
        <w:rPr>
          <w:rFonts w:hint="cs"/>
          <w:rtl/>
        </w:rPr>
        <w:t>.</w:t>
      </w:r>
    </w:p>
    <w:p w:rsidR="00EA09EB" w:rsidRPr="00EA09EB" w:rsidRDefault="00EA09EB" w:rsidP="007A340E">
      <w:pPr>
        <w:ind w:firstLine="283"/>
        <w:rPr>
          <w:rtl/>
        </w:rPr>
      </w:pPr>
      <w:r w:rsidRPr="007A340E">
        <w:rPr>
          <w:rFonts w:hint="cs"/>
          <w:b/>
          <w:bCs/>
          <w:rtl/>
        </w:rPr>
        <w:t>المقدّمة الثالثة</w:t>
      </w:r>
      <w:r w:rsidRPr="00EA09EB">
        <w:rPr>
          <w:rFonts w:hint="cs"/>
          <w:rtl/>
        </w:rPr>
        <w:t>: إنّ النبيّ</w:t>
      </w:r>
      <w:r w:rsidRPr="00EA09EB">
        <w:rPr>
          <w:rFonts w:hint="cs"/>
          <w:rtl/>
        </w:rPr>
        <w:sym w:font="Roumouz" w:char="F02D"/>
      </w:r>
      <w:r w:rsidRPr="00EA09EB">
        <w:rPr>
          <w:rFonts w:hint="cs"/>
          <w:rtl/>
        </w:rPr>
        <w:t xml:space="preserve"> ليس مشمولاً بهذا الحكم، من حيث كونُه نبيّاً، بل بمناسبة الحكم والموضوع نستظهر أنّه مشمول من حيث هو وليٌّ وحاكمٌ. ولا علاقة لعصمة النبيّ</w:t>
      </w:r>
      <w:r w:rsidRPr="00EA09EB">
        <w:rPr>
          <w:rFonts w:hint="cs"/>
          <w:rtl/>
        </w:rPr>
        <w:sym w:font="Roumouz" w:char="F02D"/>
      </w:r>
      <w:r w:rsidRPr="00EA09EB">
        <w:rPr>
          <w:rFonts w:hint="cs"/>
          <w:rtl/>
        </w:rPr>
        <w:t xml:space="preserve"> وعلمه بالغيب بهذا الحكم.</w:t>
      </w:r>
    </w:p>
    <w:p w:rsidR="00EA09EB" w:rsidRPr="00EA09EB" w:rsidRDefault="00EA09EB" w:rsidP="007A340E">
      <w:pPr>
        <w:ind w:firstLine="283"/>
        <w:rPr>
          <w:rtl/>
        </w:rPr>
      </w:pPr>
      <w:r w:rsidRPr="007A340E">
        <w:rPr>
          <w:rFonts w:hint="cs"/>
          <w:b/>
          <w:bCs/>
          <w:rtl/>
        </w:rPr>
        <w:t>المقدّمة الرابعة</w:t>
      </w:r>
      <w:r w:rsidRPr="00EA09EB">
        <w:rPr>
          <w:rFonts w:hint="cs"/>
          <w:rtl/>
        </w:rPr>
        <w:t xml:space="preserve">: إنّ الفقهاء هم خلفاء الرسول ووارثوه في جميع الشؤون </w:t>
      </w:r>
      <w:r w:rsidRPr="00EA09EB">
        <w:rPr>
          <w:rtl/>
        </w:rPr>
        <w:t>ـ</w:t>
      </w:r>
      <w:r w:rsidRPr="00EA09EB">
        <w:rPr>
          <w:rFonts w:hint="cs"/>
          <w:rtl/>
        </w:rPr>
        <w:t xml:space="preserve"> غير المختصّة بالنبيّ فقط </w:t>
      </w:r>
      <w:r w:rsidRPr="00EA09EB">
        <w:rPr>
          <w:rtl/>
        </w:rPr>
        <w:t>ـ</w:t>
      </w:r>
      <w:r w:rsidRPr="00EA09EB">
        <w:rPr>
          <w:rFonts w:hint="cs"/>
          <w:rtl/>
        </w:rPr>
        <w:t>، ومن جملتها: الولاية والزعامة السياسيّة.</w:t>
      </w:r>
    </w:p>
    <w:p w:rsidR="00EA09EB" w:rsidRPr="00A32FC0" w:rsidRDefault="00EA09EB" w:rsidP="00EA09EB">
      <w:pPr>
        <w:rPr>
          <w:rtl/>
          <w:lang w:bidi="ar-LB"/>
        </w:rPr>
      </w:pPr>
      <w:r w:rsidRPr="00A32FC0">
        <w:rPr>
          <w:rFonts w:hint="cs"/>
          <w:rtl/>
          <w:lang w:bidi="ar-LB"/>
        </w:rPr>
        <w:t xml:space="preserve">أمّا المقدّمة الأولى فقرآنيّة، ولا ريب فيها أيضاً. </w:t>
      </w:r>
    </w:p>
    <w:p w:rsidR="00EA09EB" w:rsidRPr="00A32FC0" w:rsidRDefault="00EA09EB" w:rsidP="00EA09EB">
      <w:pPr>
        <w:rPr>
          <w:rtl/>
          <w:lang w:bidi="ar-LB"/>
        </w:rPr>
      </w:pPr>
      <w:r w:rsidRPr="00A32FC0">
        <w:rPr>
          <w:rFonts w:hint="cs"/>
          <w:rtl/>
          <w:lang w:bidi="ar-LB"/>
        </w:rPr>
        <w:t xml:space="preserve">أمّا استنتاج المقدّمة الثانية من الآيتين المذكورتين فهو محلّ نقاش. </w:t>
      </w:r>
    </w:p>
    <w:p w:rsidR="00EA09EB" w:rsidRPr="00EA09EB" w:rsidRDefault="00EA09EB" w:rsidP="007A340E">
      <w:pPr>
        <w:ind w:firstLine="283"/>
        <w:rPr>
          <w:rtl/>
        </w:rPr>
      </w:pPr>
      <w:r w:rsidRPr="00EA09EB">
        <w:rPr>
          <w:rFonts w:hint="cs"/>
          <w:rtl/>
        </w:rPr>
        <w:t>وتبقى المشكلة الأساسيّة في المقدّمتين الثالثة والرابعة؛ فإنّ الآيات ظاهرة في ترتُّب الحكم على الوصف العنوانيّ، وحمل الحكم على العنوان المشير يحتاج إلى دليل. بالإضافة إلى أنّ ارتباط العصمة وعلم الغيب بالحكم واضحٌ، وخصوصاً مع الالتفات إلى قوله تعالى: ﴿</w:t>
      </w:r>
      <w:r w:rsidRPr="007A340E">
        <w:rPr>
          <w:b/>
          <w:bCs/>
          <w:rtl/>
        </w:rPr>
        <w:t>ثُمَّ لاَ يَجِدُوا فِي أَنفُسِهِمْ حَرَجاً مِمَّا قَضَيْتَ</w:t>
      </w:r>
      <w:r w:rsidRPr="00EA09EB">
        <w:rPr>
          <w:rFonts w:hint="cs"/>
          <w:rtl/>
        </w:rPr>
        <w:t>﴾؛ لأننا غير مكلَّفين بتقبُّل أحكام قضاء غير النبيّ</w:t>
      </w:r>
      <w:r w:rsidRPr="00EA09EB">
        <w:rPr>
          <w:rFonts w:hint="cs"/>
          <w:rtl/>
        </w:rPr>
        <w:sym w:font="Roumouz" w:char="F02D"/>
      </w:r>
      <w:r w:rsidRPr="00EA09EB">
        <w:rPr>
          <w:rFonts w:hint="cs"/>
          <w:rtl/>
        </w:rPr>
        <w:t xml:space="preserve"> من دون حرجٍ نفسيٍّ.</w:t>
      </w:r>
    </w:p>
    <w:p w:rsidR="00EA09EB" w:rsidRDefault="00EA09EB" w:rsidP="00EA09EB">
      <w:pPr>
        <w:rPr>
          <w:rtl/>
          <w:lang w:bidi="ar-LB"/>
        </w:rPr>
      </w:pPr>
      <w:r w:rsidRPr="00A32FC0">
        <w:rPr>
          <w:rFonts w:hint="cs"/>
          <w:rtl/>
          <w:lang w:bidi="ar-LB"/>
        </w:rPr>
        <w:t>وأمّا المقدّمة الرابعة فهي غير تامّة؛ لما ذكرناه مراراً وتكراراً.</w:t>
      </w:r>
    </w:p>
    <w:p w:rsidR="007A340E" w:rsidRPr="00A32FC0" w:rsidRDefault="007A340E" w:rsidP="00EA09EB">
      <w:pPr>
        <w:rPr>
          <w:rtl/>
          <w:lang w:bidi="ar-LB"/>
        </w:rPr>
      </w:pPr>
    </w:p>
    <w:p w:rsidR="00EA09EB" w:rsidRPr="007C6D0A" w:rsidRDefault="00EA09EB" w:rsidP="007A340E">
      <w:pPr>
        <w:pStyle w:val="Heading4"/>
        <w:rPr>
          <w:rtl/>
        </w:rPr>
      </w:pPr>
      <w:r w:rsidRPr="007C6D0A">
        <w:rPr>
          <w:rFonts w:hint="cs"/>
          <w:rtl/>
        </w:rPr>
        <w:t>رابعاً: آية ولاية رسول الله</w:t>
      </w:r>
      <w:r w:rsidRPr="007C6D0A">
        <w:rPr>
          <w:rFonts w:hint="cs"/>
          <w:rtl/>
        </w:rPr>
        <w:sym w:font="Roumouz" w:char="F02D"/>
      </w:r>
      <w:r w:rsidRPr="007C6D0A">
        <w:rPr>
          <w:rFonts w:hint="cs"/>
          <w:rtl/>
        </w:rPr>
        <w:t xml:space="preserve"> والإمام عليّ</w:t>
      </w:r>
      <w:r w:rsidRPr="007A340E">
        <w:rPr>
          <w:rFonts w:ascii="Mosawi" w:hAnsi="Mosawi" w:cs="Mosawi" w:hint="cs"/>
          <w:b w:val="0"/>
          <w:i w:val="0"/>
          <w:sz w:val="14"/>
          <w:szCs w:val="26"/>
          <w:rtl/>
        </w:rPr>
        <w:t>×</w:t>
      </w:r>
    </w:p>
    <w:p w:rsidR="00EA09EB" w:rsidRPr="00EA09EB" w:rsidRDefault="00EA09EB" w:rsidP="007A340E">
      <w:pPr>
        <w:ind w:firstLine="283"/>
        <w:rPr>
          <w:rtl/>
        </w:rPr>
      </w:pPr>
      <w:r w:rsidRPr="007A340E">
        <w:rPr>
          <w:rFonts w:hint="cs"/>
          <w:b/>
          <w:bCs/>
          <w:rtl/>
        </w:rPr>
        <w:t>الآية السابعة</w:t>
      </w:r>
      <w:r w:rsidRPr="00EA09EB">
        <w:rPr>
          <w:rFonts w:hint="cs"/>
          <w:rtl/>
        </w:rPr>
        <w:t>: ﴿</w:t>
      </w:r>
      <w:r w:rsidRPr="007A340E">
        <w:rPr>
          <w:b/>
          <w:bCs/>
          <w:rtl/>
        </w:rPr>
        <w:t>إِنَّمَا وَلِيُّكُمْ اللهُ وَرَسُولُهُ وَالَّذِينَ آمَنُوا الَّذِينَ يُقِيمُونَ الصَّلاَةَ وَيُؤْتُونَ الزَّكَاةَ وَهُمْ رَاكِعُونَ</w:t>
      </w:r>
      <w:r w:rsidRPr="00EA09EB">
        <w:rPr>
          <w:rFonts w:hint="cs"/>
          <w:rtl/>
        </w:rPr>
        <w:t>﴾(المائدة: 55).</w:t>
      </w:r>
    </w:p>
    <w:p w:rsidR="00EA09EB" w:rsidRPr="00A32FC0" w:rsidRDefault="00EA09EB" w:rsidP="00EA09EB">
      <w:pPr>
        <w:rPr>
          <w:rtl/>
          <w:lang w:bidi="ar-LB"/>
        </w:rPr>
      </w:pPr>
      <w:r w:rsidRPr="00A32FC0">
        <w:rPr>
          <w:rFonts w:hint="cs"/>
          <w:rtl/>
          <w:lang w:bidi="ar-LB"/>
        </w:rPr>
        <w:t>ويمكن الاستدلال بهذه الآية؛ لإثبات ولاية الفقيه على الناس، بالشكل التالي:</w:t>
      </w:r>
    </w:p>
    <w:p w:rsidR="00EA09EB" w:rsidRPr="00EA09EB" w:rsidRDefault="00EA09EB" w:rsidP="00EA09EB">
      <w:pPr>
        <w:rPr>
          <w:rtl/>
        </w:rPr>
      </w:pPr>
      <w:r w:rsidRPr="007A340E">
        <w:rPr>
          <w:rFonts w:hint="cs"/>
          <w:b/>
          <w:bCs/>
          <w:rtl/>
        </w:rPr>
        <w:t>المقدّمة الأولى</w:t>
      </w:r>
      <w:r w:rsidRPr="00EA09EB">
        <w:rPr>
          <w:rFonts w:hint="cs"/>
          <w:rtl/>
        </w:rPr>
        <w:t>: إنّ لله والرسول</w:t>
      </w:r>
      <w:r w:rsidRPr="00EA09EB">
        <w:rPr>
          <w:rFonts w:hint="cs"/>
          <w:rtl/>
        </w:rPr>
        <w:sym w:font="Roumouz" w:char="F02D"/>
      </w:r>
      <w:r w:rsidRPr="00EA09EB">
        <w:rPr>
          <w:rFonts w:hint="cs"/>
          <w:rtl/>
        </w:rPr>
        <w:t xml:space="preserve"> والمؤمن الذي يؤدّي الزكاة أثناء ركوعه </w:t>
      </w:r>
      <w:r w:rsidRPr="00EA09EB">
        <w:rPr>
          <w:rtl/>
        </w:rPr>
        <w:t>ـ</w:t>
      </w:r>
      <w:r w:rsidRPr="00EA09EB">
        <w:rPr>
          <w:rFonts w:hint="cs"/>
          <w:rtl/>
        </w:rPr>
        <w:t xml:space="preserve"> أي الإمام عليّ</w:t>
      </w:r>
      <w:r>
        <w:rPr>
          <w:rFonts w:hint="cs"/>
          <w:rtl/>
        </w:rPr>
        <w:t>×</w:t>
      </w:r>
      <w:r w:rsidRPr="00EA09EB">
        <w:rPr>
          <w:rFonts w:hint="cs"/>
          <w:rtl/>
        </w:rPr>
        <w:t xml:space="preserve"> </w:t>
      </w:r>
      <w:r w:rsidRPr="00EA09EB">
        <w:rPr>
          <w:rtl/>
        </w:rPr>
        <w:t>ـ</w:t>
      </w:r>
      <w:r w:rsidRPr="00EA09EB">
        <w:rPr>
          <w:rFonts w:hint="cs"/>
          <w:rtl/>
        </w:rPr>
        <w:t xml:space="preserve"> الولاية على الناس.</w:t>
      </w:r>
    </w:p>
    <w:p w:rsidR="00EA09EB" w:rsidRPr="00EA09EB" w:rsidRDefault="00EA09EB" w:rsidP="007A340E">
      <w:pPr>
        <w:ind w:firstLine="283"/>
        <w:rPr>
          <w:rtl/>
        </w:rPr>
      </w:pPr>
      <w:r w:rsidRPr="007A340E">
        <w:rPr>
          <w:rFonts w:hint="cs"/>
          <w:b/>
          <w:bCs/>
          <w:rtl/>
        </w:rPr>
        <w:t>المقدّمة الثانية</w:t>
      </w:r>
      <w:r w:rsidRPr="00EA09EB">
        <w:rPr>
          <w:rFonts w:hint="cs"/>
          <w:rtl/>
        </w:rPr>
        <w:t>: إنّ حصر الولاية بالله ورسوله والإمام عليّ هو حصر إضافيّ، لا حقيقيّ.</w:t>
      </w:r>
    </w:p>
    <w:p w:rsidR="00EA09EB" w:rsidRPr="00EA09EB" w:rsidRDefault="00EA09EB" w:rsidP="00EA09EB">
      <w:pPr>
        <w:rPr>
          <w:rtl/>
        </w:rPr>
      </w:pPr>
      <w:r w:rsidRPr="007A340E">
        <w:rPr>
          <w:rFonts w:hint="cs"/>
          <w:b/>
          <w:bCs/>
          <w:rtl/>
        </w:rPr>
        <w:t>المقدّمة الثالثة</w:t>
      </w:r>
      <w:r w:rsidRPr="00EA09EB">
        <w:rPr>
          <w:rFonts w:hint="cs"/>
          <w:rtl/>
        </w:rPr>
        <w:t>: لا علاقة للعصمة وعلم الغيب بولاية الرسول</w:t>
      </w:r>
      <w:r w:rsidRPr="00EA09EB">
        <w:rPr>
          <w:rFonts w:hint="cs"/>
          <w:rtl/>
        </w:rPr>
        <w:sym w:font="Roumouz" w:char="F02D"/>
      </w:r>
      <w:r w:rsidRPr="00EA09EB">
        <w:rPr>
          <w:rFonts w:hint="cs"/>
          <w:rtl/>
        </w:rPr>
        <w:t xml:space="preserve"> والإمام عليّ</w:t>
      </w:r>
      <w:r>
        <w:rPr>
          <w:rFonts w:hint="cs"/>
          <w:rtl/>
        </w:rPr>
        <w:t>×</w:t>
      </w:r>
      <w:r w:rsidRPr="00EA09EB">
        <w:rPr>
          <w:rFonts w:hint="cs"/>
          <w:rtl/>
        </w:rPr>
        <w:t>، فقد ثبتت لهم هذه الولاية من حيث هم ولاة.</w:t>
      </w:r>
    </w:p>
    <w:p w:rsidR="00EA09EB" w:rsidRPr="00EA09EB" w:rsidRDefault="00EA09EB" w:rsidP="007A340E">
      <w:pPr>
        <w:ind w:firstLine="283"/>
        <w:rPr>
          <w:rtl/>
        </w:rPr>
      </w:pPr>
      <w:r w:rsidRPr="007A340E">
        <w:rPr>
          <w:rFonts w:hint="cs"/>
          <w:b/>
          <w:bCs/>
          <w:rtl/>
        </w:rPr>
        <w:t>المقدّمة الرابعة</w:t>
      </w:r>
      <w:r w:rsidRPr="00EA09EB">
        <w:rPr>
          <w:rFonts w:hint="cs"/>
          <w:rtl/>
        </w:rPr>
        <w:t>: إنّ الفقهاء هم خلفاء الرسول</w:t>
      </w:r>
      <w:r w:rsidRPr="00EA09EB">
        <w:rPr>
          <w:rFonts w:hint="cs"/>
          <w:rtl/>
        </w:rPr>
        <w:sym w:font="Roumouz" w:char="F02D"/>
      </w:r>
      <w:r w:rsidRPr="00EA09EB">
        <w:rPr>
          <w:rFonts w:hint="cs"/>
          <w:rtl/>
        </w:rPr>
        <w:t xml:space="preserve"> وورثته.</w:t>
      </w:r>
    </w:p>
    <w:p w:rsidR="00EA09EB" w:rsidRPr="00A32FC0" w:rsidRDefault="00EA09EB" w:rsidP="00EA09EB">
      <w:pPr>
        <w:rPr>
          <w:rtl/>
          <w:lang w:bidi="ar-LB"/>
        </w:rPr>
      </w:pPr>
      <w:r w:rsidRPr="00A32FC0">
        <w:rPr>
          <w:rFonts w:hint="cs"/>
          <w:rtl/>
          <w:lang w:bidi="ar-LB"/>
        </w:rPr>
        <w:t>أمّا المقدمة الأولى فقرآنيّةٌ صحيحةٌ.</w:t>
      </w:r>
    </w:p>
    <w:p w:rsidR="00EA09EB" w:rsidRPr="00A32FC0" w:rsidRDefault="00EA09EB" w:rsidP="00EA09EB">
      <w:pPr>
        <w:rPr>
          <w:rtl/>
          <w:lang w:bidi="ar-LB"/>
        </w:rPr>
      </w:pPr>
      <w:r w:rsidRPr="00A32FC0">
        <w:rPr>
          <w:rFonts w:hint="cs"/>
          <w:rtl/>
          <w:lang w:bidi="ar-LB"/>
        </w:rPr>
        <w:t xml:space="preserve">وأمّا المقدّمة الثانية فقابلة للنقاش؛ إذ إن القول بأن الحصر هنا إضافيّ </w:t>
      </w:r>
      <w:r w:rsidRPr="00A32FC0">
        <w:rPr>
          <w:rtl/>
          <w:lang w:bidi="ar-LB"/>
        </w:rPr>
        <w:t>ـ</w:t>
      </w:r>
      <w:r w:rsidRPr="00A32FC0">
        <w:rPr>
          <w:rFonts w:hint="cs"/>
          <w:rtl/>
          <w:lang w:bidi="ar-LB"/>
        </w:rPr>
        <w:t xml:space="preserve"> بالنسبة إلى المعصومين على الأقلّ </w:t>
      </w:r>
      <w:r w:rsidRPr="00A32FC0">
        <w:rPr>
          <w:rtl/>
          <w:lang w:bidi="ar-LB"/>
        </w:rPr>
        <w:t>ـ</w:t>
      </w:r>
      <w:r w:rsidRPr="00A32FC0">
        <w:rPr>
          <w:rFonts w:hint="cs"/>
          <w:rtl/>
          <w:lang w:bidi="ar-LB"/>
        </w:rPr>
        <w:t xml:space="preserve"> يحتاج إلى دليل. </w:t>
      </w:r>
    </w:p>
    <w:p w:rsidR="00EA09EB" w:rsidRPr="00A32FC0" w:rsidRDefault="00EA09EB" w:rsidP="00EA09EB">
      <w:pPr>
        <w:rPr>
          <w:rtl/>
          <w:lang w:bidi="ar-LB"/>
        </w:rPr>
      </w:pPr>
      <w:r w:rsidRPr="00A32FC0">
        <w:rPr>
          <w:rFonts w:hint="cs"/>
          <w:rtl/>
          <w:lang w:bidi="ar-LB"/>
        </w:rPr>
        <w:t>وأمّا المشكلة الأساسيّة فتكمن في المقدّمتين الثالثة والرابعة، فلو لم يكن للعصمة وعلم الغيب ارتباطٌ بولاية رسول الله</w:t>
      </w:r>
      <w:r w:rsidRPr="00A32FC0">
        <w:rPr>
          <w:rFonts w:hint="cs"/>
          <w:rtl/>
        </w:rPr>
        <w:sym w:font="Roumouz" w:char="F02D"/>
      </w:r>
      <w:r w:rsidRPr="00A32FC0">
        <w:rPr>
          <w:rFonts w:hint="cs"/>
          <w:rtl/>
          <w:lang w:bidi="ar-LB"/>
        </w:rPr>
        <w:t xml:space="preserve"> والأئمّة فكيف يمكن أن نثبت الدليل الأساسي للشيعة على الخلافة المباشرة لرسول الله</w:t>
      </w:r>
      <w:r w:rsidRPr="00A32FC0">
        <w:rPr>
          <w:rFonts w:hint="cs"/>
          <w:rtl/>
        </w:rPr>
        <w:sym w:font="Roumouz" w:char="F02D"/>
      </w:r>
      <w:r w:rsidRPr="00A32FC0">
        <w:rPr>
          <w:rFonts w:hint="cs"/>
          <w:rtl/>
          <w:lang w:bidi="ar-LB"/>
        </w:rPr>
        <w:t>؟ وهل يصحّ التشكيك في أدلّة أصول المذهب لإثبات مسألة فرعيّة؟</w:t>
      </w:r>
    </w:p>
    <w:p w:rsidR="00EA09EB" w:rsidRDefault="00EA09EB" w:rsidP="00EA09EB">
      <w:pPr>
        <w:rPr>
          <w:rtl/>
          <w:lang w:bidi="ar-LB"/>
        </w:rPr>
      </w:pPr>
      <w:r w:rsidRPr="00A32FC0">
        <w:rPr>
          <w:rFonts w:hint="cs"/>
          <w:rtl/>
          <w:lang w:bidi="ar-LB"/>
        </w:rPr>
        <w:t>وأمّا المقدّمة الرابعة، التي ترتكز على الروايات، فهي غير تامّة. وقد تقدم الكلام عليها سابقاً.</w:t>
      </w:r>
    </w:p>
    <w:p w:rsidR="007A340E" w:rsidRPr="00A32FC0" w:rsidRDefault="007A340E" w:rsidP="00EA09EB">
      <w:pPr>
        <w:rPr>
          <w:rtl/>
          <w:lang w:bidi="ar-LB"/>
        </w:rPr>
      </w:pPr>
    </w:p>
    <w:p w:rsidR="00EA09EB" w:rsidRPr="007C6D0A" w:rsidRDefault="00EA09EB" w:rsidP="007A340E">
      <w:pPr>
        <w:pStyle w:val="Heading3"/>
        <w:rPr>
          <w:rtl/>
        </w:rPr>
      </w:pPr>
      <w:r w:rsidRPr="007C6D0A">
        <w:rPr>
          <w:rFonts w:hint="cs"/>
          <w:rtl/>
        </w:rPr>
        <w:t xml:space="preserve">الدليل الثالث: </w:t>
      </w:r>
      <w:r w:rsidRPr="007A340E">
        <w:rPr>
          <w:rFonts w:hint="cs"/>
          <w:rtl/>
        </w:rPr>
        <w:t>الآيات</w:t>
      </w:r>
      <w:r w:rsidRPr="007C6D0A">
        <w:rPr>
          <w:rFonts w:hint="cs"/>
          <w:rtl/>
        </w:rPr>
        <w:t xml:space="preserve"> الدالّة على إمامة بعض الأنبياء، وكونهم قضاة</w:t>
      </w:r>
    </w:p>
    <w:p w:rsidR="00EA09EB" w:rsidRPr="00EA09EB" w:rsidRDefault="00EA09EB" w:rsidP="00EA09EB">
      <w:pPr>
        <w:rPr>
          <w:rtl/>
        </w:rPr>
      </w:pPr>
      <w:r w:rsidRPr="00EA09EB">
        <w:rPr>
          <w:rFonts w:hint="cs"/>
          <w:rtl/>
        </w:rPr>
        <w:t xml:space="preserve">وقد استند في هذا الدليل إلى آيتين: </w:t>
      </w:r>
      <w:r w:rsidRPr="007A340E">
        <w:rPr>
          <w:rFonts w:hint="cs"/>
          <w:b/>
          <w:bCs/>
          <w:rtl/>
        </w:rPr>
        <w:t>الأولى</w:t>
      </w:r>
      <w:r w:rsidRPr="00EA09EB">
        <w:rPr>
          <w:rFonts w:hint="cs"/>
          <w:rtl/>
        </w:rPr>
        <w:t>: حول إمامة النبيّ إبراهيم</w:t>
      </w:r>
      <w:r>
        <w:rPr>
          <w:rFonts w:hint="cs"/>
          <w:rtl/>
        </w:rPr>
        <w:t>×</w:t>
      </w:r>
      <w:r w:rsidRPr="00EA09EB">
        <w:rPr>
          <w:rFonts w:hint="cs"/>
          <w:rtl/>
        </w:rPr>
        <w:t xml:space="preserve">؛ </w:t>
      </w:r>
      <w:r w:rsidRPr="007A340E">
        <w:rPr>
          <w:rFonts w:hint="cs"/>
          <w:b/>
          <w:bCs/>
          <w:rtl/>
        </w:rPr>
        <w:t>والثانية</w:t>
      </w:r>
      <w:r w:rsidRPr="00EA09EB">
        <w:rPr>
          <w:rFonts w:hint="cs"/>
          <w:rtl/>
        </w:rPr>
        <w:t>: حول قضاء النبيّ داوود</w:t>
      </w:r>
      <w:r>
        <w:rPr>
          <w:rFonts w:hint="cs"/>
          <w:rtl/>
        </w:rPr>
        <w:t>×</w:t>
      </w:r>
      <w:r w:rsidRPr="00EA09EB">
        <w:rPr>
          <w:rFonts w:hint="cs"/>
          <w:rtl/>
        </w:rPr>
        <w:t>.</w:t>
      </w:r>
    </w:p>
    <w:p w:rsidR="00EA09EB" w:rsidRPr="00EA09EB" w:rsidRDefault="00EA09EB" w:rsidP="007A340E">
      <w:pPr>
        <w:ind w:firstLine="283"/>
        <w:rPr>
          <w:rtl/>
        </w:rPr>
      </w:pPr>
      <w:r w:rsidRPr="007A340E">
        <w:rPr>
          <w:rFonts w:hint="cs"/>
          <w:b/>
          <w:bCs/>
          <w:rtl/>
        </w:rPr>
        <w:t>الآية الثامنة</w:t>
      </w:r>
      <w:r w:rsidRPr="00EA09EB">
        <w:rPr>
          <w:rFonts w:hint="cs"/>
          <w:rtl/>
        </w:rPr>
        <w:t>: ﴿</w:t>
      </w:r>
      <w:r w:rsidRPr="007A340E">
        <w:rPr>
          <w:b/>
          <w:bCs/>
          <w:rtl/>
        </w:rPr>
        <w:t>وَإِذْ ابْتَلَى إِبْرَاهِيمَ رَبُّهُ بِكَلِمَاتٍ فَأَتَمَّهُنَّ قَالَ إِنِّي جَاعِلُكَ لِلنَّاسِ إِمَاماً قَالَ وَمِنْ ذُرِّيَّتِي قَالَ لاَ يَنَالُ عَهْدِي الظَّالِمِينَ</w:t>
      </w:r>
      <w:r w:rsidRPr="00EA09EB">
        <w:rPr>
          <w:rFonts w:hint="cs"/>
          <w:rtl/>
        </w:rPr>
        <w:t>﴾(البقرة: 124).</w:t>
      </w:r>
    </w:p>
    <w:p w:rsidR="00EA09EB" w:rsidRPr="00A32FC0" w:rsidRDefault="00EA09EB" w:rsidP="00EA09EB">
      <w:pPr>
        <w:rPr>
          <w:rtl/>
          <w:lang w:bidi="ar-LB"/>
        </w:rPr>
      </w:pPr>
      <w:r w:rsidRPr="00A32FC0">
        <w:rPr>
          <w:rFonts w:hint="cs"/>
          <w:rtl/>
          <w:lang w:bidi="ar-LB"/>
        </w:rPr>
        <w:t>ولإثبات الولاية التعيينيّة للفقيه من خلال هذه الآية يمكن أن يُقال:</w:t>
      </w:r>
    </w:p>
    <w:p w:rsidR="00EA09EB" w:rsidRPr="00EA09EB" w:rsidRDefault="00EA09EB" w:rsidP="00EA09EB">
      <w:pPr>
        <w:rPr>
          <w:rtl/>
        </w:rPr>
      </w:pPr>
      <w:r w:rsidRPr="007A340E">
        <w:rPr>
          <w:rFonts w:hint="cs"/>
          <w:b/>
          <w:bCs/>
          <w:rtl/>
        </w:rPr>
        <w:t>المقدّمة الأولى</w:t>
      </w:r>
      <w:r w:rsidRPr="00EA09EB">
        <w:rPr>
          <w:rFonts w:hint="cs"/>
          <w:rtl/>
        </w:rPr>
        <w:t>: إن الله قد نصَّب النبيّ إبراهيم</w:t>
      </w:r>
      <w:r>
        <w:rPr>
          <w:rFonts w:hint="cs"/>
          <w:rtl/>
        </w:rPr>
        <w:t>×</w:t>
      </w:r>
      <w:r w:rsidRPr="00EA09EB">
        <w:rPr>
          <w:rFonts w:hint="cs"/>
          <w:rtl/>
        </w:rPr>
        <w:t xml:space="preserve"> إماماً بعد اختباره.</w:t>
      </w:r>
    </w:p>
    <w:p w:rsidR="00EA09EB" w:rsidRPr="00EA09EB" w:rsidRDefault="00EA09EB" w:rsidP="007A340E">
      <w:pPr>
        <w:ind w:firstLine="283"/>
        <w:rPr>
          <w:rtl/>
        </w:rPr>
      </w:pPr>
      <w:r w:rsidRPr="007A340E">
        <w:rPr>
          <w:rFonts w:hint="cs"/>
          <w:b/>
          <w:bCs/>
          <w:rtl/>
        </w:rPr>
        <w:t>المقدّمة الثانية</w:t>
      </w:r>
      <w:r w:rsidRPr="00EA09EB">
        <w:rPr>
          <w:rFonts w:hint="cs"/>
          <w:rtl/>
        </w:rPr>
        <w:t>: المراد من الإمامة القيادة والزعامة والولاية التدبيريّة على الناس.</w:t>
      </w:r>
    </w:p>
    <w:p w:rsidR="00EA09EB" w:rsidRPr="00EA09EB" w:rsidRDefault="00EA09EB" w:rsidP="007A340E">
      <w:pPr>
        <w:ind w:firstLine="283"/>
        <w:rPr>
          <w:rtl/>
        </w:rPr>
      </w:pPr>
      <w:r w:rsidRPr="007A340E">
        <w:rPr>
          <w:rFonts w:hint="cs"/>
          <w:b/>
          <w:bCs/>
          <w:rtl/>
        </w:rPr>
        <w:t>المقدّمة الثالثة</w:t>
      </w:r>
      <w:r w:rsidRPr="00EA09EB">
        <w:rPr>
          <w:rFonts w:hint="cs"/>
          <w:rtl/>
        </w:rPr>
        <w:t>: هناك ملازمة بين الإمامة والعدالة؛ بقرينة ذيل الآية.</w:t>
      </w:r>
    </w:p>
    <w:p w:rsidR="00EA09EB" w:rsidRPr="00EA09EB" w:rsidRDefault="00EA09EB" w:rsidP="007A340E">
      <w:pPr>
        <w:ind w:firstLine="283"/>
        <w:rPr>
          <w:rtl/>
        </w:rPr>
      </w:pPr>
      <w:r w:rsidRPr="007A340E">
        <w:rPr>
          <w:rFonts w:hint="cs"/>
          <w:b/>
          <w:bCs/>
          <w:rtl/>
        </w:rPr>
        <w:t>المقدّمة الرابعة</w:t>
      </w:r>
      <w:r w:rsidRPr="00EA09EB">
        <w:rPr>
          <w:rFonts w:hint="cs"/>
          <w:rtl/>
        </w:rPr>
        <w:t>: إنّ الفقهاء ورثة الأنبياء، فهم يرثون عنهم الإمامة والولاية الشرعيّة على الناس.</w:t>
      </w:r>
    </w:p>
    <w:p w:rsidR="00EA09EB" w:rsidRPr="00A32FC0" w:rsidRDefault="00EA09EB" w:rsidP="00EA09EB">
      <w:pPr>
        <w:rPr>
          <w:rtl/>
          <w:lang w:bidi="ar-LB"/>
        </w:rPr>
      </w:pPr>
      <w:r w:rsidRPr="00A32FC0">
        <w:rPr>
          <w:rFonts w:hint="cs"/>
          <w:rtl/>
          <w:lang w:bidi="ar-LB"/>
        </w:rPr>
        <w:t>أمّا المقدّمة الأولى فلا نقاش في صحّتها؛ وأمّا المقدّمات الثلاث الأخرى فهي قابلة للنقاش.</w:t>
      </w:r>
    </w:p>
    <w:p w:rsidR="00EA09EB" w:rsidRPr="00A32FC0" w:rsidRDefault="00EA09EB" w:rsidP="00EA09EB">
      <w:pPr>
        <w:rPr>
          <w:rtl/>
          <w:lang w:bidi="ar-LB"/>
        </w:rPr>
      </w:pPr>
      <w:r w:rsidRPr="00EA09EB">
        <w:rPr>
          <w:rFonts w:hint="cs"/>
          <w:rtl/>
        </w:rPr>
        <w:t>ويُلاحَظ على المقدّمة الثانية أنّ الإمامة الورادة في الآية هي منصب أرفع من النبوّة. فبعد أن تخطّى النبيّ إبراهيم</w:t>
      </w:r>
      <w:r>
        <w:rPr>
          <w:rFonts w:hint="cs"/>
          <w:rtl/>
        </w:rPr>
        <w:t>×</w:t>
      </w:r>
      <w:r w:rsidRPr="00EA09EB">
        <w:rPr>
          <w:rFonts w:hint="cs"/>
          <w:rtl/>
        </w:rPr>
        <w:t xml:space="preserve"> الابتلاءات الصعبة، وبعد أن قضى سنوات في دعوة الناس إلى الدين كنبيٍّ، وبعد كِبَر سنّه، وبعد أن رأى ملكوت السماوات والأرض، حاز منصب الإمامة. ومن الواضح أنّ الزعامة السياسيّة والولاية التدبيريّة لا تحتاج إلى رؤية ملكوت السماوات والأرض، ولا تتطلَّب مثل هذه الابتلاءات الخاصّة، وهي ليست منصباً فوق النبوّة</w:t>
      </w:r>
      <w:r w:rsidRPr="00064619">
        <w:rPr>
          <w:rFonts w:cs="Taher"/>
          <w:vertAlign w:val="superscript"/>
          <w:rtl/>
          <w:lang w:bidi="ar-LB"/>
        </w:rPr>
        <w:t>(</w:t>
      </w:r>
      <w:r w:rsidRPr="00064619">
        <w:rPr>
          <w:rStyle w:val="FootnoteReference"/>
          <w:rFonts w:cs="Taher"/>
          <w:sz w:val="32"/>
          <w:rtl/>
          <w:lang w:bidi="ar-LB"/>
        </w:rPr>
        <w:footnoteReference w:id="757"/>
      </w:r>
      <w:r w:rsidRPr="00064619">
        <w:rPr>
          <w:rFonts w:cs="Taher"/>
          <w:vertAlign w:val="superscript"/>
          <w:rtl/>
          <w:lang w:bidi="ar-LB"/>
        </w:rPr>
        <w:t>)</w:t>
      </w:r>
      <w:r w:rsidRPr="00A32FC0">
        <w:rPr>
          <w:rFonts w:hint="cs"/>
          <w:rtl/>
          <w:lang w:bidi="ar-LB"/>
        </w:rPr>
        <w:t>. ومن هنا يتَّضح أنّ الإمامة الواردة في الآية الشريفة ليست بمعنى الزعامة السياسية.</w:t>
      </w:r>
    </w:p>
    <w:p w:rsidR="00EA09EB" w:rsidRPr="00EA09EB" w:rsidRDefault="00EA09EB" w:rsidP="00EA09EB">
      <w:pPr>
        <w:rPr>
          <w:rtl/>
        </w:rPr>
      </w:pPr>
      <w:r w:rsidRPr="00A32FC0">
        <w:rPr>
          <w:rFonts w:hint="cs"/>
          <w:rtl/>
          <w:lang w:bidi="ar-LB"/>
        </w:rPr>
        <w:t>ويُلاحَظ على المقدمة الثالثة أنّ هذه الآية هي أحد أدلة عصمة الأئمة</w:t>
      </w:r>
      <w:r w:rsidR="007A340E">
        <w:rPr>
          <w:rFonts w:hint="cs"/>
          <w:rtl/>
        </w:rPr>
        <w:t>^</w:t>
      </w:r>
      <w:r w:rsidRPr="00A32FC0">
        <w:rPr>
          <w:rFonts w:hint="cs"/>
          <w:rtl/>
          <w:lang w:bidi="ar-LB"/>
        </w:rPr>
        <w:t xml:space="preserve">؛ فإن المفسِّرين والمتكلِّمين من الشيعة، وكذلك علماء أصول الفقه، يرَوْن أنّ الظالم هو: </w:t>
      </w:r>
      <w:r w:rsidRPr="00A32FC0">
        <w:rPr>
          <w:rFonts w:hint="cs"/>
          <w:rtl/>
        </w:rPr>
        <w:t>«</w:t>
      </w:r>
      <w:r w:rsidRPr="00A32FC0">
        <w:rPr>
          <w:rFonts w:hint="cs"/>
          <w:rtl/>
          <w:lang w:bidi="ar-LB"/>
        </w:rPr>
        <w:t>مطلق من صدر عنه ظلمٌ ما</w:t>
      </w:r>
      <w:r w:rsidRPr="00A32FC0">
        <w:rPr>
          <w:rFonts w:hint="cs"/>
          <w:rtl/>
        </w:rPr>
        <w:t>»</w:t>
      </w:r>
      <w:r w:rsidRPr="00A32FC0">
        <w:rPr>
          <w:rFonts w:hint="cs"/>
          <w:rtl/>
          <w:lang w:bidi="ar-LB"/>
        </w:rPr>
        <w:t>. وبقرينة المقابلة يكون الإمام هو الشخص الذي لم يكن ظالماً في أيّ وقت من عمره، أي كان معصوماً. ومن المسلَّمات في عقائد الشيعة وجوب عصمة الإمام. وقد أجمع علماء الشيعة على أنّ هذه الآية تدلّ على شرط العصمة، وليس فقط على شرط العدالة</w:t>
      </w:r>
      <w:r w:rsidRPr="00064619">
        <w:rPr>
          <w:rFonts w:cs="Taher"/>
          <w:vertAlign w:val="superscript"/>
          <w:rtl/>
          <w:lang w:bidi="ar-LB"/>
        </w:rPr>
        <w:t>(</w:t>
      </w:r>
      <w:r w:rsidRPr="00064619">
        <w:rPr>
          <w:rStyle w:val="FootnoteReference"/>
          <w:rFonts w:cs="Taher"/>
          <w:sz w:val="32"/>
          <w:rtl/>
          <w:lang w:bidi="ar-LB"/>
        </w:rPr>
        <w:footnoteReference w:id="758"/>
      </w:r>
      <w:r w:rsidRPr="00064619">
        <w:rPr>
          <w:rFonts w:cs="Taher"/>
          <w:vertAlign w:val="superscript"/>
          <w:rtl/>
          <w:lang w:bidi="ar-LB"/>
        </w:rPr>
        <w:t>)</w:t>
      </w:r>
      <w:r w:rsidRPr="00EA09EB">
        <w:rPr>
          <w:rFonts w:hint="cs"/>
          <w:rtl/>
        </w:rPr>
        <w:t>. وبعبارة أخرى: هناك ملازمة بين الإمامة الواردة في الآية وبين العصمة. ومن الواضح أنّه مع وجود شرط كهذا لا يمكن لهذه الإمامة أن تُوَرَّث لغير المعصوم</w:t>
      </w:r>
      <w:r>
        <w:rPr>
          <w:rFonts w:hint="cs"/>
          <w:rtl/>
        </w:rPr>
        <w:t>×</w:t>
      </w:r>
      <w:r w:rsidRPr="00EA09EB">
        <w:rPr>
          <w:rFonts w:hint="cs"/>
          <w:rtl/>
        </w:rPr>
        <w:t>. وعلى هذا الأساس تكون خلافة الفقهاء أو وراثتهم في الإمامة مستحيلةً؛ لأنّهم غير معصومين.</w:t>
      </w:r>
    </w:p>
    <w:p w:rsidR="00EA09EB" w:rsidRPr="00A32FC0" w:rsidRDefault="00EA09EB" w:rsidP="00EA09EB">
      <w:pPr>
        <w:rPr>
          <w:rtl/>
          <w:lang w:bidi="ar-LB"/>
        </w:rPr>
      </w:pPr>
      <w:r w:rsidRPr="00A32FC0">
        <w:rPr>
          <w:rFonts w:hint="cs"/>
          <w:rtl/>
          <w:lang w:bidi="ar-LB"/>
        </w:rPr>
        <w:t xml:space="preserve">وأمّا المقدمة الرابعة فهي مخدوشة أيضاً، كما تقدم في البحث في الأدلّة الروائيّة على ولاية الفقيه. </w:t>
      </w:r>
    </w:p>
    <w:p w:rsidR="00EA09EB" w:rsidRPr="00EA09EB" w:rsidRDefault="00EA09EB" w:rsidP="007A340E">
      <w:pPr>
        <w:ind w:firstLine="283"/>
        <w:rPr>
          <w:rtl/>
        </w:rPr>
      </w:pPr>
      <w:r w:rsidRPr="007A340E">
        <w:rPr>
          <w:rFonts w:hint="cs"/>
          <w:b/>
          <w:bCs/>
          <w:rtl/>
        </w:rPr>
        <w:t>الآية التاسعة</w:t>
      </w:r>
      <w:r w:rsidRPr="00EA09EB">
        <w:rPr>
          <w:rFonts w:hint="cs"/>
          <w:rtl/>
        </w:rPr>
        <w:t>: ﴿</w:t>
      </w:r>
      <w:r w:rsidRPr="007A340E">
        <w:rPr>
          <w:b/>
          <w:bCs/>
          <w:rtl/>
        </w:rPr>
        <w:t>يَا دَاوُودُ إِنَّا جَعَلْنَاكَ خَلِيفَةً فِي الأَرْضِ فَاحْكُمْ بَيْنَ النَّاسِ بِالْحَقِّ</w:t>
      </w:r>
      <w:r w:rsidRPr="00EA09EB">
        <w:rPr>
          <w:rFonts w:hint="cs"/>
          <w:rtl/>
        </w:rPr>
        <w:t>﴾(ص: 26).</w:t>
      </w:r>
    </w:p>
    <w:p w:rsidR="00EA09EB" w:rsidRPr="00A32FC0" w:rsidRDefault="00EA09EB" w:rsidP="00EA09EB">
      <w:pPr>
        <w:rPr>
          <w:rtl/>
          <w:lang w:bidi="ar-LB"/>
        </w:rPr>
      </w:pPr>
      <w:r w:rsidRPr="00A32FC0">
        <w:rPr>
          <w:rFonts w:hint="cs"/>
          <w:rtl/>
          <w:lang w:bidi="ar-LB"/>
        </w:rPr>
        <w:t>ودلالة هذه الآية على ولاية الفقيه على الناس على الشكل التالي:</w:t>
      </w:r>
    </w:p>
    <w:p w:rsidR="00EA09EB" w:rsidRPr="00EA09EB" w:rsidRDefault="00EA09EB" w:rsidP="00EA09EB">
      <w:pPr>
        <w:rPr>
          <w:rtl/>
        </w:rPr>
      </w:pPr>
      <w:r w:rsidRPr="007A340E">
        <w:rPr>
          <w:rFonts w:hint="cs"/>
          <w:b/>
          <w:bCs/>
          <w:rtl/>
        </w:rPr>
        <w:t>المقدّمة الأولى</w:t>
      </w:r>
      <w:r w:rsidRPr="00EA09EB">
        <w:rPr>
          <w:rFonts w:hint="cs"/>
          <w:rtl/>
        </w:rPr>
        <w:t>: عندما نُصِّب النبيّ داوود</w:t>
      </w:r>
      <w:r>
        <w:rPr>
          <w:rFonts w:hint="cs"/>
          <w:rtl/>
        </w:rPr>
        <w:t>×</w:t>
      </w:r>
      <w:r w:rsidRPr="00EA09EB">
        <w:rPr>
          <w:rFonts w:hint="cs"/>
          <w:rtl/>
        </w:rPr>
        <w:t xml:space="preserve"> لخلافة الله في الأرض حاز صلاحية القضاء في المرافعات بين الناس.</w:t>
      </w:r>
    </w:p>
    <w:p w:rsidR="00EA09EB" w:rsidRPr="00EA09EB" w:rsidRDefault="00EA09EB" w:rsidP="00EA09EB">
      <w:pPr>
        <w:rPr>
          <w:rtl/>
        </w:rPr>
      </w:pPr>
      <w:r w:rsidRPr="007A340E">
        <w:rPr>
          <w:rFonts w:hint="cs"/>
          <w:b/>
          <w:bCs/>
          <w:rtl/>
        </w:rPr>
        <w:t>المقدّمة الثانية</w:t>
      </w:r>
      <w:r w:rsidRPr="00EA09EB">
        <w:rPr>
          <w:rFonts w:hint="cs"/>
          <w:rtl/>
        </w:rPr>
        <w:t>: كان للنبيّ داوود</w:t>
      </w:r>
      <w:r>
        <w:rPr>
          <w:rFonts w:hint="cs"/>
          <w:rtl/>
        </w:rPr>
        <w:t>×</w:t>
      </w:r>
      <w:r w:rsidRPr="00EA09EB">
        <w:rPr>
          <w:rFonts w:hint="cs"/>
          <w:rtl/>
        </w:rPr>
        <w:t xml:space="preserve"> زعامة سياسيّة على الناس أيضاً. ويمكن إثبات هذا من إحدى طريقين: إمّا من جهة وجود ملازمة بين القضاء والولاية والزعامة؛ وإمّا بالقول: إنّ الحكم في الآية أساساً هو أعمّ من الحكم القضائيّ، ويشمل الحكم الولائيّ. وتفريع الحكم عن الخلافة في الآية يتناسب مع كون المراد منه </w:t>
      </w:r>
      <w:r w:rsidRPr="00EA09EB">
        <w:rPr>
          <w:rtl/>
        </w:rPr>
        <w:t>ـ</w:t>
      </w:r>
      <w:r w:rsidRPr="00EA09EB">
        <w:rPr>
          <w:rFonts w:hint="cs"/>
          <w:rtl/>
        </w:rPr>
        <w:t xml:space="preserve"> أي الحكم </w:t>
      </w:r>
      <w:r w:rsidRPr="00EA09EB">
        <w:rPr>
          <w:rtl/>
        </w:rPr>
        <w:t>ـ</w:t>
      </w:r>
      <w:r w:rsidRPr="00EA09EB">
        <w:rPr>
          <w:rFonts w:hint="cs"/>
          <w:rtl/>
        </w:rPr>
        <w:t xml:space="preserve"> الأعمّ من الولاية والقضاء.</w:t>
      </w:r>
    </w:p>
    <w:p w:rsidR="00EA09EB" w:rsidRPr="00EA09EB" w:rsidRDefault="00EA09EB" w:rsidP="00EA09EB">
      <w:pPr>
        <w:rPr>
          <w:rtl/>
        </w:rPr>
      </w:pPr>
      <w:r w:rsidRPr="007A340E">
        <w:rPr>
          <w:rFonts w:hint="cs"/>
          <w:b/>
          <w:bCs/>
          <w:rtl/>
        </w:rPr>
        <w:t>المقدّمة الثالثة</w:t>
      </w:r>
      <w:r w:rsidRPr="00EA09EB">
        <w:rPr>
          <w:rFonts w:hint="cs"/>
          <w:rtl/>
        </w:rPr>
        <w:t>: لم تكن حيازة النبيّ داوود</w:t>
      </w:r>
      <w:r>
        <w:rPr>
          <w:rFonts w:hint="cs"/>
          <w:rtl/>
        </w:rPr>
        <w:t>×</w:t>
      </w:r>
      <w:r w:rsidRPr="00EA09EB">
        <w:rPr>
          <w:rFonts w:hint="cs"/>
          <w:rtl/>
        </w:rPr>
        <w:t xml:space="preserve"> هذا المنصب من حيث كونُه نبيّاً، بل من حيث كونُه والياً، فالعصمة وعلم الغيب غير مرتبطين بهذا المنصب.</w:t>
      </w:r>
    </w:p>
    <w:p w:rsidR="00EA09EB" w:rsidRPr="00EA09EB" w:rsidRDefault="00EA09EB" w:rsidP="007A340E">
      <w:pPr>
        <w:ind w:firstLine="283"/>
        <w:rPr>
          <w:rtl/>
        </w:rPr>
      </w:pPr>
      <w:r w:rsidRPr="007A340E">
        <w:rPr>
          <w:rFonts w:hint="cs"/>
          <w:b/>
          <w:bCs/>
          <w:rtl/>
        </w:rPr>
        <w:t>المقدّمة الرابعة</w:t>
      </w:r>
      <w:r w:rsidRPr="00EA09EB">
        <w:rPr>
          <w:rFonts w:hint="cs"/>
          <w:rtl/>
        </w:rPr>
        <w:t>: إنّ الفقهاء ورثة الأنبياء، فيرثون عنهم الولاية والزعامة السياسيّة.</w:t>
      </w:r>
    </w:p>
    <w:p w:rsidR="00EA09EB" w:rsidRPr="00A32FC0" w:rsidRDefault="00EA09EB" w:rsidP="00EA09EB">
      <w:pPr>
        <w:rPr>
          <w:rtl/>
          <w:lang w:bidi="ar-LB"/>
        </w:rPr>
      </w:pPr>
      <w:r w:rsidRPr="00A32FC0">
        <w:rPr>
          <w:rFonts w:hint="cs"/>
          <w:rtl/>
          <w:lang w:bidi="ar-LB"/>
        </w:rPr>
        <w:t xml:space="preserve">أمّا المقدّمة الأولى فتامّة. </w:t>
      </w:r>
    </w:p>
    <w:p w:rsidR="00EA09EB" w:rsidRDefault="00EA09EB" w:rsidP="00EA09EB">
      <w:pPr>
        <w:rPr>
          <w:rtl/>
          <w:lang w:bidi="ar-LB"/>
        </w:rPr>
      </w:pPr>
      <w:r w:rsidRPr="00A32FC0">
        <w:rPr>
          <w:rFonts w:hint="cs"/>
          <w:rtl/>
          <w:lang w:bidi="ar-LB"/>
        </w:rPr>
        <w:t>وعلى فرض القبول بالمقدّمة الثانية والثالثة فإنّ المقدّمة الرابعة مخدوشة، كما تقدّم سابقاً في الأدلة الروائيّة على ولاية الفقيه.</w:t>
      </w:r>
    </w:p>
    <w:p w:rsidR="007A340E" w:rsidRPr="00A32FC0" w:rsidRDefault="007A340E" w:rsidP="00EA09EB">
      <w:pPr>
        <w:rPr>
          <w:rtl/>
          <w:lang w:bidi="ar-LB"/>
        </w:rPr>
      </w:pPr>
    </w:p>
    <w:p w:rsidR="00EA09EB" w:rsidRPr="00EC57CE" w:rsidRDefault="00EA09EB" w:rsidP="007A340E">
      <w:pPr>
        <w:pStyle w:val="Heading3"/>
        <w:rPr>
          <w:rtl/>
        </w:rPr>
      </w:pPr>
      <w:r w:rsidRPr="00EC57CE">
        <w:rPr>
          <w:rFonts w:hint="cs"/>
          <w:rtl/>
        </w:rPr>
        <w:t xml:space="preserve">الدليل </w:t>
      </w:r>
      <w:r w:rsidRPr="007A340E">
        <w:rPr>
          <w:rFonts w:hint="cs"/>
          <w:rtl/>
        </w:rPr>
        <w:t>الرابع</w:t>
      </w:r>
      <w:r w:rsidRPr="00EC57CE">
        <w:rPr>
          <w:rFonts w:hint="cs"/>
          <w:rtl/>
        </w:rPr>
        <w:t xml:space="preserve">: </w:t>
      </w:r>
      <w:r w:rsidRPr="007A340E">
        <w:rPr>
          <w:rFonts w:hint="cs"/>
          <w:rtl/>
        </w:rPr>
        <w:t>الآيات</w:t>
      </w:r>
      <w:r w:rsidRPr="00EC57CE">
        <w:rPr>
          <w:rFonts w:hint="cs"/>
          <w:rtl/>
        </w:rPr>
        <w:t xml:space="preserve"> الاجتماعيّة في القرآن الكريم</w:t>
      </w:r>
    </w:p>
    <w:p w:rsidR="00EA09EB" w:rsidRPr="00A32FC0" w:rsidRDefault="00EA09EB" w:rsidP="00EA09EB">
      <w:pPr>
        <w:rPr>
          <w:rtl/>
          <w:lang w:bidi="ar-LB"/>
        </w:rPr>
      </w:pPr>
      <w:r w:rsidRPr="00A32FC0">
        <w:rPr>
          <w:rFonts w:hint="cs"/>
          <w:rtl/>
          <w:lang w:bidi="ar-LB"/>
        </w:rPr>
        <w:t>وهي:</w:t>
      </w:r>
    </w:p>
    <w:p w:rsidR="00EA09EB" w:rsidRPr="00A32FC0" w:rsidRDefault="00EA09EB" w:rsidP="00EA09EB">
      <w:pPr>
        <w:rPr>
          <w:rtl/>
          <w:lang w:bidi="ar-LB"/>
        </w:rPr>
      </w:pPr>
      <w:r w:rsidRPr="00EA09EB">
        <w:rPr>
          <w:rFonts w:hint="cs"/>
          <w:rtl/>
        </w:rPr>
        <w:t>1ـ ﴿</w:t>
      </w:r>
      <w:r w:rsidRPr="00A32FC0">
        <w:rPr>
          <w:b/>
          <w:bCs/>
          <w:rtl/>
        </w:rPr>
        <w:t>وَالسَّارِقُ وَالسَّارِقَةُ فَاقْطَعُوا أَيْدِيَهُمَا</w:t>
      </w:r>
      <w:r w:rsidRPr="00A32FC0">
        <w:rPr>
          <w:rFonts w:hint="cs"/>
          <w:rtl/>
        </w:rPr>
        <w:t>﴾</w:t>
      </w:r>
      <w:r>
        <w:rPr>
          <w:rFonts w:hint="cs"/>
          <w:rtl/>
        </w:rPr>
        <w:t>(</w:t>
      </w:r>
      <w:r w:rsidRPr="00A32FC0">
        <w:rPr>
          <w:rFonts w:hint="cs"/>
          <w:rtl/>
          <w:lang w:bidi="ar-LB"/>
        </w:rPr>
        <w:t xml:space="preserve">المائدة: 38). </w:t>
      </w:r>
    </w:p>
    <w:p w:rsidR="00EA09EB" w:rsidRPr="00A32FC0" w:rsidRDefault="00EA09EB" w:rsidP="00EA09EB">
      <w:pPr>
        <w:rPr>
          <w:rtl/>
          <w:lang w:bidi="ar-LB"/>
        </w:rPr>
      </w:pPr>
      <w:r w:rsidRPr="00A32FC0">
        <w:rPr>
          <w:rFonts w:hint="cs"/>
          <w:rtl/>
          <w:lang w:bidi="ar-LB"/>
        </w:rPr>
        <w:t>2ـ ﴿</w:t>
      </w:r>
      <w:r w:rsidRPr="00A32FC0">
        <w:rPr>
          <w:b/>
          <w:bCs/>
          <w:rtl/>
        </w:rPr>
        <w:t>الزَّانِيَةُ وَالزَّانِي فَاجْلِدُوا كُلَّ وَاحِدٍ مِنْهُمَا مِائَةَ جَلْدَةٍ</w:t>
      </w:r>
      <w:r w:rsidRPr="00A32FC0">
        <w:rPr>
          <w:rFonts w:hint="cs"/>
          <w:rtl/>
        </w:rPr>
        <w:t>﴾</w:t>
      </w:r>
      <w:r>
        <w:rPr>
          <w:rFonts w:hint="cs"/>
          <w:rtl/>
        </w:rPr>
        <w:t>(</w:t>
      </w:r>
      <w:r w:rsidRPr="00A32FC0">
        <w:rPr>
          <w:rFonts w:hint="cs"/>
          <w:rtl/>
          <w:lang w:bidi="ar-LB"/>
        </w:rPr>
        <w:t xml:space="preserve">النور: 2). </w:t>
      </w:r>
    </w:p>
    <w:p w:rsidR="00EA09EB" w:rsidRPr="00A32FC0" w:rsidRDefault="00EA09EB" w:rsidP="00EA09EB">
      <w:pPr>
        <w:rPr>
          <w:rtl/>
          <w:lang w:bidi="ar-LB"/>
        </w:rPr>
      </w:pPr>
      <w:r w:rsidRPr="00A32FC0">
        <w:rPr>
          <w:rFonts w:hint="cs"/>
          <w:rtl/>
          <w:lang w:bidi="ar-LB"/>
        </w:rPr>
        <w:t>3ـ ﴿</w:t>
      </w:r>
      <w:r w:rsidRPr="00A32FC0">
        <w:rPr>
          <w:b/>
          <w:bCs/>
          <w:rtl/>
        </w:rPr>
        <w:t>خُذْ مِنْ أَمْوَالِهِمْ صَدَقَةً</w:t>
      </w:r>
      <w:r w:rsidRPr="00A32FC0">
        <w:rPr>
          <w:rFonts w:hint="cs"/>
          <w:rtl/>
        </w:rPr>
        <w:t>﴾</w:t>
      </w:r>
      <w:r>
        <w:rPr>
          <w:rFonts w:hint="cs"/>
          <w:rtl/>
        </w:rPr>
        <w:t>(</w:t>
      </w:r>
      <w:r w:rsidRPr="00A32FC0">
        <w:rPr>
          <w:rFonts w:hint="cs"/>
          <w:rtl/>
          <w:lang w:bidi="ar-LB"/>
        </w:rPr>
        <w:t xml:space="preserve">التوبة: 103). </w:t>
      </w:r>
    </w:p>
    <w:p w:rsidR="00EA09EB" w:rsidRPr="00A32FC0" w:rsidRDefault="00EA09EB" w:rsidP="00EA09EB">
      <w:pPr>
        <w:rPr>
          <w:rtl/>
          <w:lang w:bidi="ar-LB"/>
        </w:rPr>
      </w:pPr>
      <w:r w:rsidRPr="00A32FC0">
        <w:rPr>
          <w:rFonts w:hint="cs"/>
          <w:rtl/>
          <w:lang w:bidi="ar-LB"/>
        </w:rPr>
        <w:t>4ـ ﴿</w:t>
      </w:r>
      <w:r w:rsidRPr="00A32FC0">
        <w:rPr>
          <w:b/>
          <w:bCs/>
          <w:rtl/>
        </w:rPr>
        <w:t xml:space="preserve">وَأَعِدُّوا لَهُمْ مَا اسْتَطَعْتُمْ مِنْ قُوَّةٍ وَمِنْ رِبَاطِ الْخَيْلِ تُرْهِبُونَ بِهِ عَدُوَّ </w:t>
      </w:r>
      <w:r>
        <w:rPr>
          <w:b/>
          <w:bCs/>
          <w:rtl/>
        </w:rPr>
        <w:t>اللهِ</w:t>
      </w:r>
      <w:r w:rsidRPr="00A32FC0">
        <w:rPr>
          <w:b/>
          <w:bCs/>
          <w:rtl/>
        </w:rPr>
        <w:t xml:space="preserve"> وَعَدُوَّكُمْ</w:t>
      </w:r>
      <w:r w:rsidRPr="00A32FC0">
        <w:rPr>
          <w:rFonts w:hint="cs"/>
          <w:rtl/>
        </w:rPr>
        <w:t>﴾</w:t>
      </w:r>
      <w:r>
        <w:rPr>
          <w:rFonts w:hint="cs"/>
          <w:rtl/>
        </w:rPr>
        <w:t>(</w:t>
      </w:r>
      <w:r w:rsidRPr="00A32FC0">
        <w:rPr>
          <w:rFonts w:hint="cs"/>
          <w:rtl/>
          <w:lang w:bidi="ar-LB"/>
        </w:rPr>
        <w:t xml:space="preserve">الأنفال: 60). </w:t>
      </w:r>
    </w:p>
    <w:p w:rsidR="00EA09EB" w:rsidRPr="00EA09EB" w:rsidRDefault="00EA09EB" w:rsidP="00EA09EB">
      <w:pPr>
        <w:rPr>
          <w:rtl/>
        </w:rPr>
      </w:pPr>
      <w:r w:rsidRPr="00A32FC0">
        <w:rPr>
          <w:rFonts w:hint="cs"/>
          <w:rtl/>
          <w:lang w:bidi="ar-LB"/>
        </w:rPr>
        <w:t>5ـ ﴿</w:t>
      </w:r>
      <w:r w:rsidRPr="00A32FC0">
        <w:rPr>
          <w:b/>
          <w:bCs/>
          <w:rtl/>
        </w:rPr>
        <w:t xml:space="preserve">وَإِنْ طَائِفَتَانِ مِنْ الْمُؤْمِنِينَ اقْتَتَلُوا فَأَصْلِحُوا بَيْنَهُمَا فَإِنْ بَغَتْ إِحْدَاهُمَا عَلَى الأُخْرَى فَقَاتِلُوا الَّتِي تَبْغِي حَتَّى تَفِيءَ إِلَى أَمْرِ </w:t>
      </w:r>
      <w:r>
        <w:rPr>
          <w:b/>
          <w:bCs/>
          <w:rtl/>
        </w:rPr>
        <w:t>اللهِ</w:t>
      </w:r>
      <w:r w:rsidRPr="00A32FC0">
        <w:rPr>
          <w:b/>
          <w:bCs/>
          <w:rtl/>
        </w:rPr>
        <w:t xml:space="preserve"> فَإِنْ فَاءَتْ فَأَصْلِحُوا بَيْنَهُمَا بِالْعَدْلِ</w:t>
      </w:r>
      <w:r w:rsidRPr="00EA09EB">
        <w:rPr>
          <w:rFonts w:hint="cs"/>
          <w:rtl/>
        </w:rPr>
        <w:t>﴾(الحجرات: 9). وما شابهها من الآيات.</w:t>
      </w:r>
    </w:p>
    <w:p w:rsidR="00EA09EB" w:rsidRPr="00A32FC0" w:rsidRDefault="00EA09EB" w:rsidP="00EA09EB">
      <w:pPr>
        <w:rPr>
          <w:rtl/>
          <w:lang w:bidi="ar-LB"/>
        </w:rPr>
      </w:pPr>
      <w:r w:rsidRPr="00A32FC0">
        <w:rPr>
          <w:rFonts w:hint="cs"/>
          <w:rtl/>
          <w:lang w:bidi="ar-LB"/>
        </w:rPr>
        <w:t>وصحّة دلالة هذه الآيات على ولاية الفقيه متوقِّفة على صحة المقدّمات التالية:</w:t>
      </w:r>
    </w:p>
    <w:p w:rsidR="00EA09EB" w:rsidRPr="00EA09EB" w:rsidRDefault="00EA09EB" w:rsidP="007A340E">
      <w:pPr>
        <w:ind w:firstLine="283"/>
        <w:rPr>
          <w:rtl/>
        </w:rPr>
      </w:pPr>
      <w:r w:rsidRPr="007A340E">
        <w:rPr>
          <w:rFonts w:hint="cs"/>
          <w:b/>
          <w:bCs/>
          <w:rtl/>
        </w:rPr>
        <w:t>المقدّمة الأولى</w:t>
      </w:r>
      <w:r w:rsidRPr="00EA09EB">
        <w:rPr>
          <w:rFonts w:hint="cs"/>
          <w:rtl/>
        </w:rPr>
        <w:t>: إن إجراء الحدود، وجباية الأموال، وإقامة الجمعة، والأمر بالمعروف، والنهي عن المنكر و...، واجبةٌ شرعاً.</w:t>
      </w:r>
    </w:p>
    <w:p w:rsidR="00EA09EB" w:rsidRPr="00EA09EB" w:rsidRDefault="00EA09EB" w:rsidP="007A340E">
      <w:pPr>
        <w:ind w:firstLine="283"/>
        <w:rPr>
          <w:rtl/>
        </w:rPr>
      </w:pPr>
      <w:r w:rsidRPr="007A340E">
        <w:rPr>
          <w:rFonts w:hint="cs"/>
          <w:b/>
          <w:bCs/>
          <w:rtl/>
        </w:rPr>
        <w:t>المقدّمة الثانية</w:t>
      </w:r>
      <w:r w:rsidRPr="00EA09EB">
        <w:rPr>
          <w:rFonts w:hint="cs"/>
          <w:rtl/>
        </w:rPr>
        <w:t>: يُعَدّ إجراء هذه التكاليف الشرعيّة من دون إقامة حكومة دينيّة أمراً صعباً للغاية</w:t>
      </w:r>
      <w:r w:rsidRPr="00064619">
        <w:rPr>
          <w:rFonts w:cs="Taher"/>
          <w:sz w:val="32"/>
          <w:vertAlign w:val="superscript"/>
          <w:rtl/>
          <w:lang w:bidi="ar-LB"/>
        </w:rPr>
        <w:t>(</w:t>
      </w:r>
      <w:r w:rsidRPr="00064619">
        <w:rPr>
          <w:rStyle w:val="FootnoteReference"/>
          <w:rFonts w:cs="Taher"/>
          <w:sz w:val="32"/>
          <w:rtl/>
          <w:lang w:bidi="ar-LB"/>
        </w:rPr>
        <w:footnoteReference w:id="759"/>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B57E2A">
        <w:rPr>
          <w:rFonts w:hint="cs"/>
          <w:b/>
          <w:bCs/>
          <w:rtl/>
          <w:lang w:bidi="ar-LB"/>
        </w:rPr>
        <w:t>المقدّمة الثالثة:</w:t>
      </w:r>
      <w:r w:rsidRPr="00A32FC0">
        <w:rPr>
          <w:rFonts w:hint="cs"/>
          <w:rtl/>
          <w:lang w:bidi="ar-LB"/>
        </w:rPr>
        <w:t xml:space="preserve"> إنّ المسؤول عن إجراء هذه التكاليف هو الفقيه العادل.</w:t>
      </w:r>
    </w:p>
    <w:p w:rsidR="00EA09EB" w:rsidRPr="00A32FC0" w:rsidRDefault="00EA09EB" w:rsidP="00EA09EB">
      <w:pPr>
        <w:rPr>
          <w:rtl/>
          <w:lang w:bidi="ar-LB"/>
        </w:rPr>
      </w:pPr>
      <w:r w:rsidRPr="00A32FC0">
        <w:rPr>
          <w:rFonts w:hint="cs"/>
          <w:rtl/>
          <w:lang w:bidi="ar-LB"/>
        </w:rPr>
        <w:t>ونتيجة هذه المقدمات الثلاث إثبات ولاية الفقيه.</w:t>
      </w:r>
    </w:p>
    <w:p w:rsidR="00EA09EB" w:rsidRPr="00A32FC0" w:rsidRDefault="00EA09EB" w:rsidP="00EA09EB">
      <w:pPr>
        <w:rPr>
          <w:rtl/>
          <w:lang w:bidi="ar-LB"/>
        </w:rPr>
      </w:pPr>
      <w:r w:rsidRPr="00A32FC0">
        <w:rPr>
          <w:rFonts w:hint="cs"/>
          <w:rtl/>
          <w:lang w:bidi="ar-LB"/>
        </w:rPr>
        <w:t>أمّا المقدّمة الأولى فهي من مسلَّمات التعاليم القرآنيّة. فأحكام الإسلام لا تنحصر بالأحكام الفرديّة، بل تشمل الأحكام الاجتماعيّة أيضاً.</w:t>
      </w:r>
    </w:p>
    <w:p w:rsidR="00EA09EB" w:rsidRPr="00A32FC0" w:rsidRDefault="00EA09EB" w:rsidP="00EA09EB">
      <w:pPr>
        <w:rPr>
          <w:rtl/>
          <w:lang w:bidi="ar-LB"/>
        </w:rPr>
      </w:pPr>
      <w:r w:rsidRPr="00A32FC0">
        <w:rPr>
          <w:rFonts w:hint="cs"/>
          <w:rtl/>
          <w:lang w:bidi="ar-LB"/>
        </w:rPr>
        <w:t xml:space="preserve">وأمّا المقدّمة الثانية فهي ثابتة أيضاً، ولا نقاش فيها إجمالاً. </w:t>
      </w:r>
    </w:p>
    <w:p w:rsidR="00EA09EB" w:rsidRPr="00A32FC0" w:rsidRDefault="00EA09EB" w:rsidP="00EA09EB">
      <w:pPr>
        <w:rPr>
          <w:rtl/>
          <w:lang w:bidi="ar-LB"/>
        </w:rPr>
      </w:pPr>
      <w:r w:rsidRPr="00A32FC0">
        <w:rPr>
          <w:rFonts w:hint="cs"/>
          <w:rtl/>
          <w:lang w:bidi="ar-LB"/>
        </w:rPr>
        <w:t>وأمّا المقدمة الثالثة فهي ثابتة أيضاً، بمساندة روايات أهل البيت</w:t>
      </w:r>
      <w:r w:rsidR="007A340E">
        <w:rPr>
          <w:rFonts w:hint="cs"/>
          <w:rtl/>
        </w:rPr>
        <w:t>^</w:t>
      </w:r>
      <w:r w:rsidRPr="00A32FC0">
        <w:rPr>
          <w:rFonts w:hint="cs"/>
          <w:rtl/>
          <w:lang w:bidi="ar-LB"/>
        </w:rPr>
        <w:t>.</w:t>
      </w:r>
    </w:p>
    <w:p w:rsidR="00EA09EB" w:rsidRPr="00A32FC0" w:rsidRDefault="00EA09EB" w:rsidP="00EA09EB">
      <w:pPr>
        <w:rPr>
          <w:rtl/>
          <w:lang w:bidi="ar-LB"/>
        </w:rPr>
      </w:pPr>
      <w:r w:rsidRPr="00A32FC0">
        <w:rPr>
          <w:rFonts w:hint="cs"/>
          <w:rtl/>
          <w:lang w:bidi="ar-LB"/>
        </w:rPr>
        <w:t>إلاّ أن القبول بهذه المقدّمات الثلاث لا ينتج لنا ثبوت الولاية التعيينيّة للفقيه</w:t>
      </w:r>
      <w:r>
        <w:rPr>
          <w:rFonts w:hint="cs"/>
          <w:rtl/>
          <w:lang w:bidi="ar-LB"/>
        </w:rPr>
        <w:t>؛</w:t>
      </w:r>
      <w:r w:rsidRPr="00A32FC0">
        <w:rPr>
          <w:rFonts w:hint="cs"/>
          <w:rtl/>
          <w:lang w:bidi="ar-LB"/>
        </w:rPr>
        <w:t xml:space="preserve"> لأنه: </w:t>
      </w:r>
    </w:p>
    <w:p w:rsidR="00EA09EB" w:rsidRPr="00EA09EB" w:rsidRDefault="00EA09EB" w:rsidP="007D79F5">
      <w:pPr>
        <w:pStyle w:val="Normal84"/>
        <w:rPr>
          <w:rtl/>
        </w:rPr>
      </w:pPr>
      <w:r w:rsidRPr="007A340E">
        <w:rPr>
          <w:rFonts w:hint="cs"/>
          <w:b/>
          <w:bCs/>
          <w:rtl/>
        </w:rPr>
        <w:t>أولاً</w:t>
      </w:r>
      <w:r w:rsidRPr="00EA09EB">
        <w:rPr>
          <w:rFonts w:hint="cs"/>
          <w:rtl/>
        </w:rPr>
        <w:t>: إنّ هذه المقدمات الثلاث تثبت لنا أن هذه الوظائف الشرعيّة في عهدة الفقهاء العدول، ولكنها لا تثبت لنا أنّ تدبير الشؤون العامّة والإدارة السياسيّة للمجمتع هي من وظائف الفقيه أيضاً. وبعبارة أخرى: لا يوجد أيّ ملازمة بين الأمور الشرعيّة (إجراء الحدود، وجباية الأموال الشرعيّة، وإقامة الجمعة، و...) وبين الأمور العرفيّة (الدفاع عن الحدود، وحفظ الأمن، ونظم الأمور، و...). فإنّ التفكيك بينهما أمرٌ ممكنٌ، كما كان الحال في العصر الصفويّ في إيران. إنّ الآيات التي تدلّ على جعل تكاليف القسم الأوّل في عهدة الفقهاء لا تثبت لهم مضامين القسم الثاني، أي الأمور العرفيّة.</w:t>
      </w:r>
    </w:p>
    <w:p w:rsidR="00EA09EB" w:rsidRPr="00EA09EB" w:rsidRDefault="00EA09EB" w:rsidP="007D79F5">
      <w:pPr>
        <w:pStyle w:val="Normal84"/>
        <w:rPr>
          <w:rtl/>
        </w:rPr>
      </w:pPr>
      <w:r w:rsidRPr="007A340E">
        <w:rPr>
          <w:rFonts w:hint="cs"/>
          <w:b/>
          <w:bCs/>
          <w:rtl/>
        </w:rPr>
        <w:t>وثانياً</w:t>
      </w:r>
      <w:r w:rsidRPr="00EA09EB">
        <w:rPr>
          <w:rFonts w:hint="cs"/>
          <w:rtl/>
        </w:rPr>
        <w:t xml:space="preserve">: لو غضضنا النظر عن الإشكال الأوّل، وسلَّمنا بزعامة الفقهاء، فليس هناك أيّ دليل في هذه الآيات أو الروايات التي تقدّم بحثها على أنّ هذه الزعامة هي من سنخ الولاية الشرعيّة. فالزعامة والقيادة أعمّ من الولاية الشرعيّة. </w:t>
      </w:r>
    </w:p>
    <w:p w:rsidR="00EA09EB" w:rsidRPr="00A32FC0" w:rsidRDefault="00EA09EB" w:rsidP="007D79F5">
      <w:pPr>
        <w:pStyle w:val="Normal84"/>
        <w:rPr>
          <w:rtl/>
        </w:rPr>
      </w:pPr>
      <w:r w:rsidRPr="00A32FC0">
        <w:rPr>
          <w:rFonts w:hint="cs"/>
          <w:b/>
          <w:bCs/>
          <w:rtl/>
        </w:rPr>
        <w:t>وثالثاً</w:t>
      </w:r>
      <w:r w:rsidRPr="00A32FC0">
        <w:rPr>
          <w:rFonts w:hint="cs"/>
          <w:rtl/>
        </w:rPr>
        <w:t>: لو غضضنا النظر أيضاً عن الإشكالين السابقين فإنّنا نقول: إنّه لا دليل على تعيين الفقهاء لهذا المنصب، لا في هذه الآيات، ولا في الروايات المبحوثة سابقاً؛ لأنه من الممكن أن يقوم الناس بانتخاب فقيه عادل من بين الفقهاء؛ للقيام بتدبير شؤون المجتمع، وإجراء الأحكام الشرعيّة، أي إنه منتخَبٌ من قِبَل الناس، لا أنه معيَّنٌ من قِبَل الشارع. فالمنصوص من قِبَل الشارع هو بيان شروطه، أمّا تعيينُه فبانتخاب الناس.</w:t>
      </w:r>
    </w:p>
    <w:p w:rsidR="007A340E" w:rsidRDefault="00EA09EB" w:rsidP="007A340E">
      <w:pPr>
        <w:pStyle w:val="Heading2"/>
        <w:jc w:val="center"/>
        <w:rPr>
          <w:rtl/>
          <w:lang w:bidi="ar-LB"/>
        </w:rPr>
      </w:pPr>
      <w:r w:rsidRPr="00A32FC0">
        <w:rPr>
          <w:rtl/>
          <w:lang w:bidi="ar-LB"/>
        </w:rPr>
        <w:br w:type="page"/>
      </w:r>
    </w:p>
    <w:p w:rsidR="007A340E" w:rsidRDefault="007A340E" w:rsidP="007A340E">
      <w:pPr>
        <w:rPr>
          <w:rtl/>
          <w:lang w:bidi="ar-LB"/>
        </w:rPr>
        <w:sectPr w:rsidR="007A340E" w:rsidSect="009003FC">
          <w:headerReference w:type="even" r:id="rId70"/>
          <w:headerReference w:type="default" r:id="rId71"/>
          <w:headerReference w:type="first" r:id="rId72"/>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59" w:name="_Toc413658841"/>
      <w:r w:rsidRPr="00E2207F">
        <w:rPr>
          <w:rFonts w:hint="cs"/>
          <w:rtl/>
          <w:lang w:bidi="ar-LB"/>
        </w:rPr>
        <w:t>الفصل الثاني والعشرون: دليل الإجماع على الحكومة الولائيّة</w:t>
      </w:r>
      <w:bookmarkEnd w:id="59"/>
    </w:p>
    <w:p w:rsidR="00EA09EB" w:rsidRPr="00A32FC0" w:rsidRDefault="00EA09EB" w:rsidP="00CE7A94">
      <w:pPr>
        <w:pStyle w:val="Normal93"/>
        <w:rPr>
          <w:rtl/>
        </w:rPr>
      </w:pPr>
      <w:r w:rsidRPr="00A32FC0">
        <w:rPr>
          <w:rFonts w:hint="cs"/>
          <w:rtl/>
        </w:rPr>
        <w:t xml:space="preserve">هل يوجد إجماع على الولاية التعيينيّة للفقيه على الناس في دائرة الشؤون العامّة؟ </w:t>
      </w:r>
    </w:p>
    <w:p w:rsidR="00EA09EB" w:rsidRPr="00A32FC0" w:rsidRDefault="00EA09EB" w:rsidP="00CE7A94">
      <w:pPr>
        <w:pStyle w:val="Normal93"/>
        <w:rPr>
          <w:rtl/>
        </w:rPr>
      </w:pPr>
      <w:r w:rsidRPr="00A32FC0">
        <w:rPr>
          <w:rFonts w:hint="cs"/>
          <w:rtl/>
        </w:rPr>
        <w:t xml:space="preserve">لقد ادّعى بعض الفقهاء الإجماع على هذا الأمر. </w:t>
      </w:r>
    </w:p>
    <w:p w:rsidR="00EA09EB" w:rsidRPr="00A32FC0" w:rsidRDefault="00EA09EB" w:rsidP="00CE7A94">
      <w:pPr>
        <w:pStyle w:val="Normal93"/>
        <w:rPr>
          <w:rtl/>
        </w:rPr>
      </w:pPr>
      <w:r w:rsidRPr="00EA09EB">
        <w:rPr>
          <w:rFonts w:hint="cs"/>
          <w:rtl/>
        </w:rPr>
        <w:t>وأوّل من أشار إلى هذا الإجماع هو المحقِّق الكركيّ(</w:t>
      </w:r>
      <w:r w:rsidR="00B57E2A">
        <w:rPr>
          <w:rFonts w:hint="cs"/>
          <w:rtl/>
        </w:rPr>
        <w:t>م</w:t>
      </w:r>
      <w:r w:rsidRPr="00EA09EB">
        <w:rPr>
          <w:rFonts w:hint="cs"/>
          <w:rtl/>
        </w:rPr>
        <w:t>940هـ) عندما عبّر عنه بـ «اتّفاق الأصحاب»</w:t>
      </w:r>
      <w:r w:rsidRPr="00064619">
        <w:rPr>
          <w:rFonts w:cs="Taher"/>
          <w:vertAlign w:val="superscript"/>
          <w:rtl/>
        </w:rPr>
        <w:t>(</w:t>
      </w:r>
      <w:r w:rsidRPr="00064619">
        <w:rPr>
          <w:rStyle w:val="FootnoteReference"/>
          <w:rFonts w:cs="Taher"/>
          <w:sz w:val="32"/>
          <w:rtl/>
        </w:rPr>
        <w:footnoteReference w:id="760"/>
      </w:r>
      <w:r w:rsidRPr="00064619">
        <w:rPr>
          <w:rFonts w:cs="Taher"/>
          <w:vertAlign w:val="superscript"/>
          <w:rtl/>
        </w:rPr>
        <w:t>)</w:t>
      </w:r>
      <w:r w:rsidRPr="00A32FC0">
        <w:rPr>
          <w:rFonts w:hint="cs"/>
          <w:rtl/>
        </w:rPr>
        <w:t xml:space="preserve">. </w:t>
      </w:r>
    </w:p>
    <w:p w:rsidR="00EA09EB" w:rsidRPr="00A32FC0" w:rsidRDefault="00EA09EB" w:rsidP="00CE7A94">
      <w:pPr>
        <w:pStyle w:val="Normal93"/>
        <w:rPr>
          <w:rtl/>
        </w:rPr>
      </w:pPr>
      <w:r w:rsidRPr="00A32FC0">
        <w:rPr>
          <w:rFonts w:hint="cs"/>
          <w:rtl/>
        </w:rPr>
        <w:t>وقد عدّ الملا أحمد النراقي الإجماع أوّل دليل على ولاية الفقيه</w:t>
      </w:r>
      <w:r w:rsidRPr="00064619">
        <w:rPr>
          <w:rFonts w:cs="Taher"/>
          <w:vertAlign w:val="superscript"/>
          <w:rtl/>
        </w:rPr>
        <w:t>(</w:t>
      </w:r>
      <w:r w:rsidRPr="00064619">
        <w:rPr>
          <w:rStyle w:val="FootnoteReference"/>
          <w:rFonts w:cs="Taher"/>
          <w:sz w:val="32"/>
          <w:rtl/>
        </w:rPr>
        <w:footnoteReference w:id="761"/>
      </w:r>
      <w:r w:rsidRPr="00064619">
        <w:rPr>
          <w:rFonts w:cs="Taher"/>
          <w:vertAlign w:val="superscript"/>
          <w:rtl/>
        </w:rPr>
        <w:t>)</w:t>
      </w:r>
      <w:r w:rsidRPr="00A32FC0">
        <w:rPr>
          <w:rFonts w:hint="cs"/>
          <w:rtl/>
        </w:rPr>
        <w:t xml:space="preserve">. </w:t>
      </w:r>
    </w:p>
    <w:p w:rsidR="00EA09EB" w:rsidRPr="00A32FC0" w:rsidRDefault="00EA09EB" w:rsidP="00CE7A94">
      <w:pPr>
        <w:pStyle w:val="Normal93"/>
        <w:rPr>
          <w:rtl/>
        </w:rPr>
      </w:pPr>
      <w:r w:rsidRPr="00A32FC0">
        <w:rPr>
          <w:rFonts w:hint="cs"/>
          <w:rtl/>
        </w:rPr>
        <w:t>ونَسَبَ صاحب «الجواهر» عموم ولاية الحاكم إلى ظاهر الأصحاب</w:t>
      </w:r>
      <w:r w:rsidRPr="00064619">
        <w:rPr>
          <w:rFonts w:cs="Taher"/>
          <w:vertAlign w:val="superscript"/>
          <w:rtl/>
        </w:rPr>
        <w:t>(</w:t>
      </w:r>
      <w:r w:rsidRPr="00064619">
        <w:rPr>
          <w:rStyle w:val="FootnoteReference"/>
          <w:rFonts w:cs="Taher"/>
          <w:sz w:val="32"/>
          <w:rtl/>
        </w:rPr>
        <w:footnoteReference w:id="762"/>
      </w:r>
      <w:r w:rsidRPr="00064619">
        <w:rPr>
          <w:rFonts w:cs="Taher"/>
          <w:vertAlign w:val="superscript"/>
          <w:rtl/>
        </w:rPr>
        <w:t>)</w:t>
      </w:r>
      <w:r w:rsidRPr="00A32FC0">
        <w:rPr>
          <w:rFonts w:hint="cs"/>
          <w:rtl/>
        </w:rPr>
        <w:t xml:space="preserve">. </w:t>
      </w:r>
    </w:p>
    <w:p w:rsidR="00EA09EB" w:rsidRPr="00A32FC0" w:rsidRDefault="00EA09EB" w:rsidP="00EA09EB">
      <w:pPr>
        <w:rPr>
          <w:rtl/>
          <w:lang w:bidi="ar-LB"/>
        </w:rPr>
      </w:pPr>
      <w:r w:rsidRPr="00A32FC0">
        <w:rPr>
          <w:rFonts w:hint="cs"/>
          <w:rtl/>
          <w:lang w:bidi="ar-LB"/>
        </w:rPr>
        <w:t>كما رأى صاحب «مفتاح الكرامة» أنّ للعقل والإجماع والأخبار دلالةً على هذه المسألة</w:t>
      </w:r>
      <w:r w:rsidRPr="00064619">
        <w:rPr>
          <w:rFonts w:cs="Taher"/>
          <w:vertAlign w:val="superscript"/>
          <w:rtl/>
          <w:lang w:bidi="ar-LB"/>
        </w:rPr>
        <w:t>(</w:t>
      </w:r>
      <w:r w:rsidRPr="00064619">
        <w:rPr>
          <w:rStyle w:val="FootnoteReference"/>
          <w:rFonts w:cs="Taher"/>
          <w:sz w:val="32"/>
          <w:rtl/>
          <w:lang w:bidi="ar-LB"/>
        </w:rPr>
        <w:footnoteReference w:id="763"/>
      </w:r>
      <w:r w:rsidRPr="00064619">
        <w:rPr>
          <w:rFonts w:cs="Taher"/>
          <w:vertAlign w:val="superscript"/>
          <w:rtl/>
          <w:lang w:bidi="ar-LB"/>
        </w:rPr>
        <w:t>)</w:t>
      </w:r>
      <w:r w:rsidRPr="00A32FC0">
        <w:rPr>
          <w:rFonts w:hint="cs"/>
          <w:rtl/>
          <w:lang w:bidi="ar-LB"/>
        </w:rPr>
        <w:t>.</w:t>
      </w:r>
    </w:p>
    <w:p w:rsidR="00EA09EB" w:rsidRPr="00A32FC0" w:rsidRDefault="00EA09EB" w:rsidP="00EA09EB">
      <w:pPr>
        <w:rPr>
          <w:rtl/>
          <w:lang w:bidi="ar-LB"/>
        </w:rPr>
      </w:pPr>
      <w:r w:rsidRPr="00A32FC0">
        <w:rPr>
          <w:rFonts w:hint="cs"/>
          <w:rtl/>
          <w:lang w:bidi="ar-LB"/>
        </w:rPr>
        <w:t xml:space="preserve">وقد قال المحقِّق الهمداني في كتابه </w:t>
      </w:r>
      <w:r w:rsidRPr="00A32FC0">
        <w:rPr>
          <w:rFonts w:hint="cs"/>
          <w:rtl/>
        </w:rPr>
        <w:t>«</w:t>
      </w:r>
      <w:r w:rsidRPr="00A32FC0">
        <w:rPr>
          <w:rFonts w:hint="cs"/>
          <w:rtl/>
          <w:lang w:bidi="ar-LB"/>
        </w:rPr>
        <w:t>مصباح الفقيه</w:t>
      </w:r>
      <w:r w:rsidRPr="00A32FC0">
        <w:rPr>
          <w:rFonts w:hint="cs"/>
          <w:rtl/>
        </w:rPr>
        <w:t>»</w:t>
      </w:r>
      <w:r w:rsidRPr="00A32FC0">
        <w:rPr>
          <w:rFonts w:hint="cs"/>
          <w:rtl/>
          <w:lang w:bidi="ar-LB"/>
        </w:rPr>
        <w:t xml:space="preserve">: </w:t>
      </w:r>
      <w:r w:rsidRPr="00A32FC0">
        <w:rPr>
          <w:rFonts w:hint="cs"/>
          <w:rtl/>
        </w:rPr>
        <w:t>«</w:t>
      </w:r>
      <w:r w:rsidRPr="00A32FC0">
        <w:rPr>
          <w:rFonts w:hint="cs"/>
          <w:rtl/>
          <w:lang w:bidi="ar-LB"/>
        </w:rPr>
        <w:t>لا ينبغي الاستشكال في نيابة الفقيه الجامع لشرائط الفتوى عن الإمام</w:t>
      </w:r>
      <w:r>
        <w:rPr>
          <w:rFonts w:hint="cs"/>
          <w:rtl/>
        </w:rPr>
        <w:t>×</w:t>
      </w:r>
      <w:r w:rsidRPr="00A32FC0">
        <w:rPr>
          <w:rFonts w:hint="cs"/>
          <w:rtl/>
          <w:lang w:bidi="ar-LB"/>
        </w:rPr>
        <w:t xml:space="preserve"> حال الغيبة في مثل هذه الأمور [ما من شأنه الرجوع فيه إلى الرئيس]، كما يؤيده التتبُّع في كلمات الأصحاب، حيث يظهر منها كونها لديهم من الأمور المسلَّمة في كلّ باب، حتى أنّه جعل غيرُ واحد عمدة المستند لعموم نيابة الفقيه لمثل هذه الأشياء الإجماع</w:t>
      </w:r>
      <w:r w:rsidRPr="00A32FC0">
        <w:rPr>
          <w:rFonts w:hint="cs"/>
          <w:rtl/>
        </w:rPr>
        <w:t>»</w:t>
      </w:r>
      <w:r w:rsidRPr="00064619">
        <w:rPr>
          <w:rFonts w:cs="Taher"/>
          <w:vertAlign w:val="superscript"/>
          <w:rtl/>
        </w:rPr>
        <w:t>(</w:t>
      </w:r>
      <w:r w:rsidRPr="00064619">
        <w:rPr>
          <w:rStyle w:val="FootnoteReference"/>
          <w:rFonts w:cs="Taher"/>
          <w:sz w:val="32"/>
          <w:rtl/>
        </w:rPr>
        <w:footnoteReference w:id="764"/>
      </w:r>
      <w:r w:rsidRPr="00064619">
        <w:rPr>
          <w:rFonts w:cs="Taher"/>
          <w:vertAlign w:val="superscript"/>
          <w:rtl/>
        </w:rPr>
        <w:t>)</w:t>
      </w:r>
      <w:r w:rsidRPr="00A32FC0">
        <w:rPr>
          <w:rFonts w:hint="cs"/>
          <w:rtl/>
          <w:lang w:bidi="ar-LB"/>
        </w:rPr>
        <w:t>.</w:t>
      </w:r>
    </w:p>
    <w:p w:rsidR="00EA09EB" w:rsidRPr="00A32FC0" w:rsidRDefault="00EA09EB" w:rsidP="00EA09EB">
      <w:pPr>
        <w:rPr>
          <w:rtl/>
          <w:lang w:bidi="ar-LB"/>
        </w:rPr>
      </w:pPr>
      <w:r w:rsidRPr="00A32FC0">
        <w:rPr>
          <w:rFonts w:hint="cs"/>
          <w:rtl/>
          <w:lang w:bidi="ar-LB"/>
        </w:rPr>
        <w:t>كما سمّى المراغي الإجماع المحصَّل والمنقول في هذا الباب بـ</w:t>
      </w:r>
      <w:r w:rsidRPr="00A32FC0">
        <w:rPr>
          <w:rFonts w:hint="cs"/>
          <w:rtl/>
        </w:rPr>
        <w:t xml:space="preserve"> «</w:t>
      </w:r>
      <w:r w:rsidRPr="00A32FC0">
        <w:rPr>
          <w:rFonts w:hint="cs"/>
          <w:rtl/>
          <w:lang w:bidi="ar-LB"/>
        </w:rPr>
        <w:t>إجماع على القاعدة</w:t>
      </w:r>
      <w:r w:rsidRPr="00A32FC0">
        <w:rPr>
          <w:rFonts w:hint="cs"/>
          <w:rtl/>
        </w:rPr>
        <w:t>»،</w:t>
      </w:r>
      <w:r w:rsidRPr="00A32FC0">
        <w:rPr>
          <w:rFonts w:hint="cs"/>
          <w:rtl/>
          <w:lang w:bidi="ar-LB"/>
        </w:rPr>
        <w:t xml:space="preserve"> الذي يختلف عن </w:t>
      </w:r>
      <w:r w:rsidRPr="00A32FC0">
        <w:rPr>
          <w:rFonts w:hint="cs"/>
          <w:rtl/>
        </w:rPr>
        <w:t>«</w:t>
      </w:r>
      <w:r w:rsidRPr="00A32FC0">
        <w:rPr>
          <w:rFonts w:hint="cs"/>
          <w:rtl/>
          <w:lang w:bidi="ar-LB"/>
        </w:rPr>
        <w:t>الإجماع على الحكم</w:t>
      </w:r>
      <w:r w:rsidRPr="00A32FC0">
        <w:rPr>
          <w:rFonts w:hint="cs"/>
          <w:rtl/>
        </w:rPr>
        <w:t>»</w:t>
      </w:r>
      <w:r w:rsidRPr="00064619">
        <w:rPr>
          <w:rFonts w:cs="Taher"/>
          <w:vertAlign w:val="superscript"/>
          <w:rtl/>
        </w:rPr>
        <w:t>(</w:t>
      </w:r>
      <w:r w:rsidRPr="00064619">
        <w:rPr>
          <w:rStyle w:val="FootnoteReference"/>
          <w:rFonts w:cs="Taher"/>
          <w:sz w:val="32"/>
          <w:rtl/>
        </w:rPr>
        <w:footnoteReference w:id="765"/>
      </w:r>
      <w:r w:rsidRPr="00064619">
        <w:rPr>
          <w:rFonts w:cs="Taher"/>
          <w:vertAlign w:val="superscript"/>
          <w:rtl/>
        </w:rPr>
        <w:t>)</w:t>
      </w:r>
      <w:r w:rsidRPr="00A32FC0">
        <w:rPr>
          <w:rFonts w:hint="cs"/>
          <w:rtl/>
          <w:lang w:bidi="ar-LB"/>
        </w:rPr>
        <w:t xml:space="preserve">. </w:t>
      </w:r>
    </w:p>
    <w:p w:rsidR="00EA09EB" w:rsidRPr="00A32FC0" w:rsidRDefault="00EA09EB" w:rsidP="00EA09EB">
      <w:pPr>
        <w:rPr>
          <w:rtl/>
          <w:lang w:bidi="ar-LB"/>
        </w:rPr>
      </w:pPr>
      <w:r w:rsidRPr="00A32FC0">
        <w:rPr>
          <w:rFonts w:hint="cs"/>
          <w:rtl/>
          <w:lang w:bidi="ar-LB"/>
        </w:rPr>
        <w:t xml:space="preserve">كما اعتبر الآقا الدربندي أيضاً الإجماع في هذه المسألة </w:t>
      </w:r>
      <w:r w:rsidRPr="00A32FC0">
        <w:rPr>
          <w:rFonts w:hint="cs"/>
          <w:rtl/>
        </w:rPr>
        <w:t>«</w:t>
      </w:r>
      <w:r w:rsidRPr="00A32FC0">
        <w:rPr>
          <w:rFonts w:hint="cs"/>
          <w:rtl/>
          <w:lang w:bidi="ar-LB"/>
        </w:rPr>
        <w:t>على القاعدة</w:t>
      </w:r>
      <w:r w:rsidRPr="00A32FC0">
        <w:rPr>
          <w:rFonts w:hint="cs"/>
          <w:rtl/>
        </w:rPr>
        <w:t>»</w:t>
      </w:r>
      <w:r w:rsidRPr="00064619">
        <w:rPr>
          <w:rFonts w:cs="Taher"/>
          <w:vertAlign w:val="superscript"/>
          <w:rtl/>
        </w:rPr>
        <w:t>(</w:t>
      </w:r>
      <w:r w:rsidRPr="00064619">
        <w:rPr>
          <w:rStyle w:val="FootnoteReference"/>
          <w:rFonts w:cs="Taher"/>
          <w:sz w:val="32"/>
          <w:rtl/>
        </w:rPr>
        <w:footnoteReference w:id="766"/>
      </w:r>
      <w:r w:rsidRPr="00064619">
        <w:rPr>
          <w:rFonts w:cs="Taher"/>
          <w:vertAlign w:val="superscript"/>
          <w:rtl/>
        </w:rPr>
        <w:t>)</w:t>
      </w:r>
      <w:r w:rsidRPr="00A32FC0">
        <w:rPr>
          <w:rFonts w:hint="cs"/>
          <w:rtl/>
          <w:lang w:bidi="ar-LB"/>
        </w:rPr>
        <w:t xml:space="preserve">. </w:t>
      </w:r>
    </w:p>
    <w:p w:rsidR="00EA09EB" w:rsidRPr="00EA09EB" w:rsidRDefault="00EA09EB" w:rsidP="00EA09EB">
      <w:pPr>
        <w:rPr>
          <w:rtl/>
        </w:rPr>
      </w:pPr>
      <w:r w:rsidRPr="00A32FC0">
        <w:rPr>
          <w:rFonts w:hint="cs"/>
          <w:rtl/>
          <w:lang w:bidi="ar-LB"/>
        </w:rPr>
        <w:t>كما اعتبرها الآقا محمد تقي النجفيّ من قبيل أصالة الطهارة</w:t>
      </w:r>
      <w:r w:rsidRPr="00064619">
        <w:rPr>
          <w:rFonts w:cs="Taher"/>
          <w:vertAlign w:val="superscript"/>
          <w:rtl/>
          <w:lang w:bidi="ar-LB"/>
        </w:rPr>
        <w:t>(</w:t>
      </w:r>
      <w:r w:rsidRPr="00064619">
        <w:rPr>
          <w:rStyle w:val="FootnoteReference"/>
          <w:rFonts w:cs="Taher"/>
          <w:sz w:val="32"/>
          <w:rtl/>
          <w:lang w:bidi="ar-LB"/>
        </w:rPr>
        <w:footnoteReference w:id="767"/>
      </w:r>
      <w:r w:rsidRPr="00064619">
        <w:rPr>
          <w:rFonts w:cs="Taher"/>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ويمكن أن يقال حول وجوه دلالة الإجماعات المُدّعاة على الولاية التعيينيّة للفقيه:</w:t>
      </w:r>
    </w:p>
    <w:p w:rsidR="00EA09EB" w:rsidRPr="00EA09EB" w:rsidRDefault="00EA09EB" w:rsidP="007A340E">
      <w:pPr>
        <w:ind w:firstLine="283"/>
        <w:rPr>
          <w:rtl/>
        </w:rPr>
      </w:pPr>
      <w:r w:rsidRPr="007A340E">
        <w:rPr>
          <w:rFonts w:hint="cs"/>
          <w:b/>
          <w:bCs/>
          <w:rtl/>
        </w:rPr>
        <w:t>أولاً</w:t>
      </w:r>
      <w:r w:rsidRPr="00EA09EB">
        <w:rPr>
          <w:rFonts w:hint="cs"/>
          <w:rtl/>
        </w:rPr>
        <w:t>: إنّ هذه الإجماعات هي «على القاعدة». وبعبارة أخرى: «مدركية». ومن البعيد جدّاً أن يكون لها مستند غير الروايات والأدلّة العقلية. إنّ الإجماع المدركيّ لا يُعَدّ دليلاً مستقلاًّ. واعتبارُه متوقِّفٌ على اعتبار مدركه.</w:t>
      </w:r>
    </w:p>
    <w:p w:rsidR="00EA09EB" w:rsidRPr="00EA09EB" w:rsidRDefault="00EA09EB" w:rsidP="00EA09EB">
      <w:pPr>
        <w:rPr>
          <w:rtl/>
        </w:rPr>
      </w:pPr>
      <w:r w:rsidRPr="007A340E">
        <w:rPr>
          <w:rFonts w:hint="cs"/>
          <w:b/>
          <w:bCs/>
          <w:rtl/>
        </w:rPr>
        <w:t>ثانياً</w:t>
      </w:r>
      <w:r w:rsidRPr="00EA09EB">
        <w:rPr>
          <w:rFonts w:hint="cs"/>
          <w:rtl/>
        </w:rPr>
        <w:t>: إنّ كلّ هذه الإجماعات تعود إلى متأخِّري المتأخِّرين. وأمّا المتقدِّمون، بل والمتأخِّرون، فلم يدَّعوا هذا الإجماع. إنّ ولاية الفقيه وإنْ كانت بحثاً قد لازم الفقه الشيعيّ منذ تأسيسه، إلاّ أنّ الولاية السياسيّة للفقهاء، أو الولاية التدبيريّة على الأموال والأنفس، مسألة مستجدّة ترجع إلى القرون الأخيرة. إنّ الإجماع في مثل هذه المسألة لا يُعَدّ دليلاً، ولا كاشفاً عن قول المعصوم</w:t>
      </w:r>
      <w:r>
        <w:rPr>
          <w:rFonts w:hint="cs"/>
          <w:rtl/>
        </w:rPr>
        <w:t>×</w:t>
      </w:r>
      <w:r w:rsidRPr="00EA09EB">
        <w:rPr>
          <w:rFonts w:hint="cs"/>
          <w:rtl/>
        </w:rPr>
        <w:t>.</w:t>
      </w:r>
    </w:p>
    <w:p w:rsidR="00EA09EB" w:rsidRPr="00EA09EB" w:rsidRDefault="00EA09EB" w:rsidP="00EA09EB">
      <w:pPr>
        <w:rPr>
          <w:rtl/>
        </w:rPr>
      </w:pPr>
      <w:r w:rsidRPr="007A340E">
        <w:rPr>
          <w:rFonts w:hint="cs"/>
          <w:b/>
          <w:bCs/>
          <w:rtl/>
        </w:rPr>
        <w:t>ثالثاً</w:t>
      </w:r>
      <w:r w:rsidRPr="00EA09EB">
        <w:rPr>
          <w:rFonts w:hint="cs"/>
          <w:rtl/>
        </w:rPr>
        <w:t>: من البعيد جدّاً أن تكون هذه الإجماعات المدّعاة من قبيل الإجماع الدخولي؛ لأنّ مثل هذا الادعاء في عصر الغيبة يُعَدّ ضعيفاً. وهذه الإجماعات إمّا أن تكون من باب الإجماع اللطفيّ، أو من باب الإجماع الحدسيّ. والإجماع اللطفي باطلٌ. وأما الإجماع الحدسيّ فهو ـ غالباً ـ غير مسلَّم</w:t>
      </w:r>
      <w:r w:rsidRPr="00064619">
        <w:rPr>
          <w:rFonts w:cs="Taher"/>
          <w:sz w:val="32"/>
          <w:vertAlign w:val="superscript"/>
          <w:rtl/>
          <w:lang w:bidi="ar-LB"/>
        </w:rPr>
        <w:t>(</w:t>
      </w:r>
      <w:r w:rsidRPr="00064619">
        <w:rPr>
          <w:rStyle w:val="FootnoteReference"/>
          <w:rFonts w:cs="Taher"/>
          <w:sz w:val="32"/>
          <w:rtl/>
          <w:lang w:bidi="ar-LB"/>
        </w:rPr>
        <w:footnoteReference w:id="768"/>
      </w:r>
      <w:r w:rsidRPr="00064619">
        <w:rPr>
          <w:rFonts w:cs="Taher"/>
          <w:sz w:val="32"/>
          <w:vertAlign w:val="superscript"/>
          <w:rtl/>
          <w:lang w:bidi="ar-LB"/>
        </w:rPr>
        <w:t>)</w:t>
      </w:r>
      <w:r w:rsidRPr="00EA09EB">
        <w:rPr>
          <w:rFonts w:hint="cs"/>
          <w:rtl/>
        </w:rPr>
        <w:t>. لذلك فإنّ هذه الإجماعات لا يمكن أن تكون كاشفة عن قول المعصوم</w:t>
      </w:r>
      <w:r>
        <w:rPr>
          <w:rFonts w:hint="cs"/>
          <w:rtl/>
        </w:rPr>
        <w:t>×</w:t>
      </w:r>
      <w:r w:rsidRPr="00EA09EB">
        <w:rPr>
          <w:rFonts w:hint="cs"/>
          <w:rtl/>
        </w:rPr>
        <w:t>.</w:t>
      </w:r>
    </w:p>
    <w:p w:rsidR="00EA09EB" w:rsidRPr="00A32FC0" w:rsidRDefault="00EA09EB" w:rsidP="00EA09EB">
      <w:pPr>
        <w:rPr>
          <w:rtl/>
          <w:lang w:bidi="ar-LB"/>
        </w:rPr>
      </w:pPr>
      <w:r w:rsidRPr="002A644D">
        <w:rPr>
          <w:rFonts w:hint="cs"/>
          <w:b/>
          <w:bCs/>
          <w:rtl/>
          <w:lang w:bidi="ar-LB"/>
        </w:rPr>
        <w:t>رابعاً</w:t>
      </w:r>
      <w:r w:rsidRPr="00EA09EB">
        <w:rPr>
          <w:rFonts w:hint="cs"/>
          <w:rtl/>
        </w:rPr>
        <w:t>: كيف يمكن للإجماع أن يكون صحيحاً في مسألة كَثُر فيها الاختلاف بين الفقهاء؟</w:t>
      </w:r>
      <w:r w:rsidRPr="00064619">
        <w:rPr>
          <w:rFonts w:cs="Taher"/>
          <w:vertAlign w:val="superscript"/>
          <w:rtl/>
          <w:lang w:bidi="ar-LB"/>
        </w:rPr>
        <w:t>(</w:t>
      </w:r>
      <w:r w:rsidRPr="00064619">
        <w:rPr>
          <w:rStyle w:val="FootnoteReference"/>
          <w:rFonts w:cs="Taher"/>
          <w:sz w:val="32"/>
          <w:rtl/>
          <w:lang w:bidi="ar-LB"/>
        </w:rPr>
        <w:footnoteReference w:id="769"/>
      </w:r>
      <w:r w:rsidRPr="00064619">
        <w:rPr>
          <w:rFonts w:cs="Taher"/>
          <w:vertAlign w:val="superscript"/>
          <w:rtl/>
          <w:lang w:bidi="ar-LB"/>
        </w:rPr>
        <w:t>)</w:t>
      </w:r>
      <w:r w:rsidRPr="00A32FC0">
        <w:rPr>
          <w:rFonts w:hint="cs"/>
          <w:rtl/>
          <w:lang w:bidi="ar-LB"/>
        </w:rPr>
        <w:t xml:space="preserve">. </w:t>
      </w:r>
    </w:p>
    <w:p w:rsidR="00EA09EB" w:rsidRPr="00EA09EB" w:rsidRDefault="00EA09EB" w:rsidP="00CE7A94">
      <w:pPr>
        <w:pStyle w:val="Normal84"/>
        <w:rPr>
          <w:rtl/>
        </w:rPr>
      </w:pPr>
      <w:r w:rsidRPr="00A32FC0">
        <w:rPr>
          <w:rFonts w:hint="cs"/>
          <w:rtl/>
        </w:rPr>
        <w:t xml:space="preserve">ليس هناك إجماع في </w:t>
      </w:r>
      <w:r>
        <w:rPr>
          <w:rFonts w:hint="cs"/>
          <w:rtl/>
        </w:rPr>
        <w:t>أيّ</w:t>
      </w:r>
      <w:r w:rsidRPr="00A32FC0">
        <w:rPr>
          <w:rFonts w:hint="cs"/>
          <w:rtl/>
        </w:rPr>
        <w:t xml:space="preserve"> مرتبة من مراتب ولاية الفقيه (الأمور الحسبية، الأمور العامة، المطلقة). والمسلَّم عند جميع الفقهاء إنما هو جواز تصرُّف الفقيه من باب القدر المتيقَّن، وذلك في الأمور الحِسْبِيّة فقط، وليس ولاية الفقيه في الأمور الحسبيّة. وقد أنكر جمعٌ من الفقهاء، كالآخوند الخراسانيّ صاحب «الكفاية»(</w:t>
      </w:r>
      <w:r>
        <w:rPr>
          <w:rFonts w:hint="cs"/>
          <w:rtl/>
        </w:rPr>
        <w:t xml:space="preserve">م </w:t>
      </w:r>
      <w:r w:rsidRPr="00A32FC0">
        <w:rPr>
          <w:rFonts w:hint="cs"/>
          <w:rtl/>
        </w:rPr>
        <w:t>1329هـ)، والسيد الحكيم(</w:t>
      </w:r>
      <w:r>
        <w:rPr>
          <w:rFonts w:hint="cs"/>
          <w:rtl/>
        </w:rPr>
        <w:t xml:space="preserve">م </w:t>
      </w:r>
      <w:r w:rsidRPr="00A32FC0">
        <w:rPr>
          <w:rFonts w:hint="cs"/>
          <w:rtl/>
        </w:rPr>
        <w:t>1390هـ)، والسيد أحمد الخوانساريّ(</w:t>
      </w:r>
      <w:r>
        <w:rPr>
          <w:rFonts w:hint="cs"/>
          <w:rtl/>
        </w:rPr>
        <w:t xml:space="preserve">م </w:t>
      </w:r>
      <w:r w:rsidRPr="00A32FC0">
        <w:rPr>
          <w:rFonts w:hint="cs"/>
          <w:rtl/>
        </w:rPr>
        <w:t>1405هـ)، والسيد الخوئيّ(</w:t>
      </w:r>
      <w:r>
        <w:rPr>
          <w:rFonts w:hint="cs"/>
          <w:rtl/>
        </w:rPr>
        <w:t xml:space="preserve">م </w:t>
      </w:r>
      <w:r w:rsidRPr="00A32FC0">
        <w:rPr>
          <w:rFonts w:hint="cs"/>
          <w:rtl/>
        </w:rPr>
        <w:t>1412هـ)، ولاية الفقيه حتّى في الأمور الحسبيّة</w:t>
      </w:r>
      <w:r w:rsidRPr="00064619">
        <w:rPr>
          <w:rFonts w:cs="Taher"/>
          <w:vertAlign w:val="superscript"/>
          <w:rtl/>
        </w:rPr>
        <w:t>(</w:t>
      </w:r>
      <w:r w:rsidRPr="00064619">
        <w:rPr>
          <w:rStyle w:val="FootnoteReference"/>
          <w:rFonts w:cs="Taher"/>
          <w:sz w:val="32"/>
          <w:rtl/>
        </w:rPr>
        <w:footnoteReference w:id="770"/>
      </w:r>
      <w:r w:rsidRPr="00064619">
        <w:rPr>
          <w:rFonts w:cs="Taher"/>
          <w:vertAlign w:val="superscript"/>
          <w:rtl/>
        </w:rPr>
        <w:t>)</w:t>
      </w:r>
      <w:r w:rsidRPr="00EA09EB">
        <w:rPr>
          <w:rFonts w:hint="cs"/>
          <w:rtl/>
        </w:rPr>
        <w:t>. بالإضافة إلى إجمال معقد بعض هذه الإجماعات المذكورة، من حيث دائرة الولاية، أهي من الأمور الحسبيّة أم من الأمور العامّة؟</w:t>
      </w:r>
    </w:p>
    <w:p w:rsidR="00EA09EB" w:rsidRPr="00A32FC0" w:rsidRDefault="00EA09EB" w:rsidP="00EA09EB">
      <w:pPr>
        <w:rPr>
          <w:rtl/>
          <w:lang w:bidi="ar-LB"/>
        </w:rPr>
      </w:pPr>
      <w:r w:rsidRPr="00A32FC0">
        <w:rPr>
          <w:rFonts w:hint="cs"/>
          <w:rtl/>
          <w:lang w:bidi="ar-LB"/>
        </w:rPr>
        <w:t xml:space="preserve">وعلى </w:t>
      </w:r>
      <w:r>
        <w:rPr>
          <w:rFonts w:hint="cs"/>
          <w:rtl/>
          <w:lang w:bidi="ar-LB"/>
        </w:rPr>
        <w:t>أيّ</w:t>
      </w:r>
      <w:r w:rsidRPr="00A32FC0">
        <w:rPr>
          <w:rFonts w:hint="cs"/>
          <w:rtl/>
          <w:lang w:bidi="ar-LB"/>
        </w:rPr>
        <w:t xml:space="preserve"> حال، على فرض التسليم بالإجماع على ولاية الفقيه في الأمور الحسبيّة فإنّ ولاية الفقيه على الناس في الأمور العامّة ليست محلّ إجماع قطعاً. والولاية المبحوث عنها في الحكومة الولائيّة هي الولاية العامّة، بل المطلقة، للفقيه، لا الولاية في الأمور الحسبيّة.</w:t>
      </w:r>
    </w:p>
    <w:p w:rsidR="007A340E" w:rsidRDefault="00EA09EB" w:rsidP="007A340E">
      <w:pPr>
        <w:pStyle w:val="Heading2"/>
        <w:jc w:val="center"/>
        <w:rPr>
          <w:rtl/>
        </w:rPr>
      </w:pPr>
      <w:r w:rsidRPr="00EA09EB">
        <w:rPr>
          <w:rtl/>
        </w:rPr>
        <w:br w:type="page"/>
      </w:r>
    </w:p>
    <w:p w:rsidR="007A340E" w:rsidRDefault="007A340E" w:rsidP="007A340E">
      <w:pPr>
        <w:rPr>
          <w:rtl/>
          <w:lang w:bidi="ar-LB"/>
        </w:rPr>
        <w:sectPr w:rsidR="007A340E" w:rsidSect="009003FC">
          <w:headerReference w:type="first" r:id="rId73"/>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60" w:name="_Toc413658842"/>
      <w:r w:rsidRPr="00E2207F">
        <w:rPr>
          <w:rFonts w:hint="cs"/>
          <w:rtl/>
          <w:lang w:bidi="ar-LB"/>
        </w:rPr>
        <w:t xml:space="preserve">الفصل الثالث والعشرون: </w:t>
      </w:r>
      <w:r w:rsidRPr="007A340E">
        <w:rPr>
          <w:rFonts w:hint="cs"/>
          <w:rtl/>
        </w:rPr>
        <w:t>الأدلة</w:t>
      </w:r>
      <w:r w:rsidR="00504ADB">
        <w:rPr>
          <w:rFonts w:hint="cs"/>
          <w:rtl/>
          <w:lang w:bidi="ar-LB"/>
        </w:rPr>
        <w:t xml:space="preserve"> العقليّة المستقل</w:t>
      </w:r>
      <w:r w:rsidRPr="00E2207F">
        <w:rPr>
          <w:rFonts w:hint="cs"/>
          <w:rtl/>
          <w:lang w:bidi="ar-LB"/>
        </w:rPr>
        <w:t>ة على ولاية الفقيه</w:t>
      </w:r>
      <w:bookmarkEnd w:id="60"/>
    </w:p>
    <w:p w:rsidR="00EA09EB" w:rsidRPr="00A32FC0" w:rsidRDefault="00EA09EB" w:rsidP="00EA09EB">
      <w:pPr>
        <w:rPr>
          <w:rtl/>
          <w:lang w:bidi="ar-LB"/>
        </w:rPr>
      </w:pPr>
      <w:r w:rsidRPr="00A32FC0">
        <w:rPr>
          <w:rFonts w:hint="cs"/>
          <w:rtl/>
          <w:lang w:bidi="ar-LB"/>
        </w:rPr>
        <w:t xml:space="preserve">إن المراد من الدليل العقلي هو الدليل الذي تكون إحدى مقدّماته ـ على الأقلّ ـ عقليّة. لذلك فالأدلة العقلية </w:t>
      </w:r>
      <w:r w:rsidRPr="00A32FC0">
        <w:rPr>
          <w:rtl/>
          <w:lang w:bidi="ar-LB"/>
        </w:rPr>
        <w:t>ـ</w:t>
      </w:r>
      <w:r w:rsidRPr="00A32FC0">
        <w:rPr>
          <w:rFonts w:hint="cs"/>
          <w:rtl/>
          <w:lang w:bidi="ar-LB"/>
        </w:rPr>
        <w:t xml:space="preserve"> سواء في الفقه أم في علم الكلام </w:t>
      </w:r>
      <w:r w:rsidRPr="00A32FC0">
        <w:rPr>
          <w:rtl/>
          <w:lang w:bidi="ar-LB"/>
        </w:rPr>
        <w:t>ـ</w:t>
      </w:r>
      <w:r w:rsidRPr="00A32FC0">
        <w:rPr>
          <w:rFonts w:hint="cs"/>
          <w:rtl/>
          <w:lang w:bidi="ar-LB"/>
        </w:rPr>
        <w:t xml:space="preserve"> تنقسم إلى قسمين: الدليل العقلي المستقلّ؛</w:t>
      </w:r>
      <w:r>
        <w:rPr>
          <w:rFonts w:hint="cs"/>
          <w:rtl/>
          <w:lang w:bidi="ar-LB"/>
        </w:rPr>
        <w:t xml:space="preserve"> و</w:t>
      </w:r>
      <w:r w:rsidRPr="00A32FC0">
        <w:rPr>
          <w:rFonts w:hint="cs"/>
          <w:rtl/>
          <w:lang w:bidi="ar-LB"/>
        </w:rPr>
        <w:t xml:space="preserve">الدليل العقليّ غير المستقلّ، أو الدليل المركَّب من العقل والنقل. </w:t>
      </w:r>
    </w:p>
    <w:p w:rsidR="00EA09EB" w:rsidRPr="00A32FC0" w:rsidRDefault="00EA09EB" w:rsidP="00EA09EB">
      <w:pPr>
        <w:rPr>
          <w:rtl/>
          <w:lang w:bidi="ar-LB"/>
        </w:rPr>
      </w:pPr>
      <w:r w:rsidRPr="00A32FC0">
        <w:rPr>
          <w:rFonts w:hint="cs"/>
          <w:rtl/>
          <w:lang w:bidi="ar-LB"/>
        </w:rPr>
        <w:t xml:space="preserve">إنّ مقدّمات القسم الأوّل كلّها عقليّة. ويصل العقل فيها إلى النتيجة بدون الاعتماد على النقل أو غيره. </w:t>
      </w:r>
    </w:p>
    <w:p w:rsidR="00EA09EB" w:rsidRPr="00A32FC0" w:rsidRDefault="00EA09EB" w:rsidP="00EA09EB">
      <w:pPr>
        <w:rPr>
          <w:rtl/>
          <w:lang w:bidi="ar-LB"/>
        </w:rPr>
      </w:pPr>
      <w:r w:rsidRPr="00A32FC0">
        <w:rPr>
          <w:rFonts w:hint="cs"/>
          <w:rtl/>
          <w:lang w:bidi="ar-LB"/>
        </w:rPr>
        <w:t xml:space="preserve">وأمّا القسم الثاني فبعض مقدّماته عقليّة، وبعضها نقليّة. </w:t>
      </w:r>
    </w:p>
    <w:p w:rsidR="00EA09EB" w:rsidRPr="00A32FC0" w:rsidRDefault="00EA09EB" w:rsidP="00EA09EB">
      <w:pPr>
        <w:rPr>
          <w:rtl/>
          <w:lang w:bidi="ar-LB"/>
        </w:rPr>
      </w:pPr>
      <w:r w:rsidRPr="00A32FC0">
        <w:rPr>
          <w:rFonts w:hint="cs"/>
          <w:rtl/>
          <w:lang w:bidi="ar-LB"/>
        </w:rPr>
        <w:t xml:space="preserve">وقد استدلّ على ولاية الفقيه على الناس بكلا القسمين، وإنْ كان الاستدلال بالدليل العقليّ غير المستقلّ أكثر. </w:t>
      </w:r>
    </w:p>
    <w:p w:rsidR="00EA09EB" w:rsidRPr="00A32FC0" w:rsidRDefault="00EA09EB" w:rsidP="00CE7A94">
      <w:pPr>
        <w:pStyle w:val="Normal87"/>
        <w:rPr>
          <w:rtl/>
        </w:rPr>
      </w:pPr>
      <w:r w:rsidRPr="00A32FC0">
        <w:rPr>
          <w:rFonts w:hint="cs"/>
          <w:rtl/>
        </w:rPr>
        <w:t>فقد كان المحقِّق النراقي والشيخ المامقاني والسيد البروجرديّ وال</w:t>
      </w:r>
      <w:r>
        <w:rPr>
          <w:rFonts w:hint="cs"/>
          <w:rtl/>
        </w:rPr>
        <w:t>سيد</w:t>
      </w:r>
      <w:r w:rsidRPr="00A32FC0">
        <w:rPr>
          <w:rFonts w:hint="cs"/>
          <w:rtl/>
        </w:rPr>
        <w:t xml:space="preserve"> الخمينيّ من جملة الفقهاء الذين استدلّوا بالأدلّة العقليّة المستقلّة على ولاية الفقيه على الناس. </w:t>
      </w:r>
    </w:p>
    <w:p w:rsidR="00EA09EB" w:rsidRPr="00A32FC0" w:rsidRDefault="00EA09EB" w:rsidP="00EA09EB">
      <w:pPr>
        <w:rPr>
          <w:rtl/>
          <w:lang w:bidi="ar-LB"/>
        </w:rPr>
      </w:pPr>
      <w:r w:rsidRPr="00A32FC0">
        <w:rPr>
          <w:rFonts w:hint="cs"/>
          <w:rtl/>
          <w:lang w:bidi="ar-LB"/>
        </w:rPr>
        <w:t xml:space="preserve">والقسم الثاني هو دراسة الأدلّة المركَّبة من العقل والنقل على ولاية الفقيه على الناس. </w:t>
      </w:r>
    </w:p>
    <w:p w:rsidR="00EA09EB" w:rsidRPr="00A32FC0" w:rsidRDefault="00EA09EB" w:rsidP="00EA09EB">
      <w:pPr>
        <w:rPr>
          <w:rtl/>
          <w:lang w:bidi="ar-LB"/>
        </w:rPr>
      </w:pPr>
      <w:r w:rsidRPr="00A32FC0">
        <w:rPr>
          <w:rFonts w:hint="cs"/>
          <w:rtl/>
          <w:lang w:bidi="ar-LB"/>
        </w:rPr>
        <w:t>وفي بحثنا لهذين القسمين سوف نقوم بتفكيك الأدلّة، وإفراد الصياغات المختلفة لكلّ دليل، ثم نقوم بعد ذلك بصياغة الدليل، مع تفكيك مقدّماته المنطقيّة بعضها عن بعض، ومن ثمّ نقوم بدراسة وتحليل كلّ مقدّمة على حدة. وسوف نقوم في هذا الفصل بتحليل الأدلة العقليّة المستقلّة على ولاية الفقيه على الناس، وبمناقشتها.</w:t>
      </w:r>
    </w:p>
    <w:p w:rsidR="00EA09EB" w:rsidRPr="00EC57CE" w:rsidRDefault="00EA09EB" w:rsidP="00EA09EB">
      <w:pPr>
        <w:rPr>
          <w:rtl/>
          <w:lang w:bidi="ar-LB"/>
        </w:rPr>
      </w:pPr>
      <w:r w:rsidRPr="00EA09EB">
        <w:rPr>
          <w:rFonts w:hint="cs"/>
          <w:rtl/>
        </w:rPr>
        <w:t>قبل بحثه في الأدلّة النقليّة لولاية الفقيه على الناس قال السيد الخمينيّ، في معرض بحثه حول الأدلّة العقليّة: «فما هو دليل الإمامة بعينه دليلٌ على لزوم الحكومة بعد غيبة وليّ الأمر</w:t>
      </w:r>
      <w:r w:rsidRPr="00EA09EB">
        <w:rPr>
          <w:rFonts w:hint="cs"/>
        </w:rPr>
        <w:sym w:font="Abz Roumouz" w:char="F02E"/>
      </w:r>
      <w:r w:rsidRPr="00EA09EB">
        <w:rPr>
          <w:rFonts w:hint="cs"/>
          <w:rtl/>
        </w:rPr>
        <w:t>»</w:t>
      </w:r>
      <w:r w:rsidRPr="00064619">
        <w:rPr>
          <w:rFonts w:cs="Taher"/>
          <w:vertAlign w:val="superscript"/>
          <w:rtl/>
        </w:rPr>
        <w:t>(</w:t>
      </w:r>
      <w:r w:rsidRPr="00064619">
        <w:rPr>
          <w:rStyle w:val="FootnoteReference"/>
          <w:rFonts w:cs="Taher"/>
          <w:sz w:val="32"/>
          <w:rtl/>
        </w:rPr>
        <w:footnoteReference w:id="771"/>
      </w:r>
      <w:r w:rsidRPr="00064619">
        <w:rPr>
          <w:rFonts w:cs="Taher"/>
          <w:vertAlign w:val="superscript"/>
          <w:rtl/>
        </w:rPr>
        <w:t>)</w:t>
      </w:r>
      <w:r w:rsidRPr="00EC57CE">
        <w:rPr>
          <w:rFonts w:hint="cs"/>
          <w:rtl/>
          <w:lang w:bidi="ar-LB"/>
        </w:rPr>
        <w:t>.</w:t>
      </w:r>
    </w:p>
    <w:p w:rsidR="00EA09EB" w:rsidRPr="00EA09EB" w:rsidRDefault="00EA09EB" w:rsidP="00EA09EB">
      <w:pPr>
        <w:rPr>
          <w:rtl/>
        </w:rPr>
      </w:pPr>
      <w:r w:rsidRPr="00A00AF4">
        <w:rPr>
          <w:rFonts w:hint="cs"/>
          <w:rtl/>
          <w:lang w:bidi="ar-LB"/>
        </w:rPr>
        <w:t xml:space="preserve">كما كان الشيخ جوادي الآملي من أوّل الساعين لإقامة أدلة عقليّة على ولاية الفقيه على الناس، وخصوصاً أنّه كان يعتبر أن مسألة ولاية الفقيه مسألة كلاميّة، وعلى هذا الأساس يصبح للأدلة العقليّة أهمّيّة خاصّة. وتعتبر كلماته توضيحاً وشرحاً للعبارة التي نقلناها عن أستاذه </w:t>
      </w:r>
      <w:r>
        <w:rPr>
          <w:rFonts w:hint="cs"/>
          <w:rtl/>
          <w:lang w:bidi="ar-LB"/>
        </w:rPr>
        <w:t xml:space="preserve">السيد </w:t>
      </w:r>
      <w:r w:rsidRPr="00A00AF4">
        <w:rPr>
          <w:rFonts w:hint="cs"/>
          <w:rtl/>
          <w:lang w:bidi="ar-LB"/>
        </w:rPr>
        <w:t xml:space="preserve">الخمينيّ: </w:t>
      </w:r>
      <w:r w:rsidRPr="00A00AF4">
        <w:rPr>
          <w:rFonts w:hint="cs"/>
          <w:b/>
          <w:bCs/>
          <w:rtl/>
          <w:lang w:bidi="ar-AE"/>
        </w:rPr>
        <w:t>أوّلاً</w:t>
      </w:r>
      <w:r w:rsidRPr="00EA09EB">
        <w:rPr>
          <w:rFonts w:hint="cs"/>
          <w:rtl/>
        </w:rPr>
        <w:t>: «إنّ مسألة ولاية الفقيه متفرِّعة عن مسألة إمامة الأئمّة المعصومين</w:t>
      </w:r>
      <w:r w:rsidR="007A340E">
        <w:rPr>
          <w:rFonts w:hint="cs"/>
          <w:rtl/>
        </w:rPr>
        <w:t>^</w:t>
      </w:r>
      <w:r w:rsidRPr="00EA09EB">
        <w:rPr>
          <w:rFonts w:hint="cs"/>
          <w:rtl/>
        </w:rPr>
        <w:t>، وهي صنوها في بعض المبادئ والبراهين»</w:t>
      </w:r>
      <w:r w:rsidRPr="00064619">
        <w:rPr>
          <w:rFonts w:cs="Taher"/>
          <w:vertAlign w:val="superscript"/>
          <w:rtl/>
        </w:rPr>
        <w:t>(</w:t>
      </w:r>
      <w:r w:rsidRPr="00064619">
        <w:rPr>
          <w:rStyle w:val="FootnoteReference"/>
          <w:rFonts w:cs="Taher"/>
          <w:sz w:val="32"/>
          <w:rtl/>
        </w:rPr>
        <w:footnoteReference w:id="772"/>
      </w:r>
      <w:r w:rsidRPr="00064619">
        <w:rPr>
          <w:rFonts w:cs="Taher"/>
          <w:vertAlign w:val="superscript"/>
          <w:rtl/>
        </w:rPr>
        <w:t>)</w:t>
      </w:r>
      <w:r w:rsidRPr="00EA09EB">
        <w:rPr>
          <w:rFonts w:hint="cs"/>
          <w:rtl/>
        </w:rPr>
        <w:t>.</w:t>
      </w:r>
    </w:p>
    <w:p w:rsidR="00EA09EB" w:rsidRPr="00EA09EB" w:rsidRDefault="00EA09EB" w:rsidP="00CE7A94">
      <w:pPr>
        <w:pStyle w:val="Normal93"/>
        <w:rPr>
          <w:rtl/>
        </w:rPr>
      </w:pPr>
      <w:r w:rsidRPr="007A340E">
        <w:rPr>
          <w:rFonts w:hint="cs"/>
          <w:b/>
          <w:bCs/>
          <w:rtl/>
        </w:rPr>
        <w:t>ثانياً</w:t>
      </w:r>
      <w:r w:rsidRPr="00EA09EB">
        <w:rPr>
          <w:rFonts w:hint="cs"/>
          <w:rtl/>
        </w:rPr>
        <w:t>: «إنّ جميع براهين الإمامة جاريةٌ لإثبات النيابة العامّة في عصر الغيبة؛ وذلك لأن النظام الأصلح والأحسن للمجتمعات البشريّة، الذي يمثِّل الغاية من خلق العالم الخارجي، وكذلك قاعدة اللُّطْف التي تستند هي والنظام الأصلح إلى اتِّصاف الله سبحانه وتعالى بالحكمة، يقتضيان أن تشعّ النيابة عن الإمام المعصوم</w:t>
      </w:r>
      <w:r>
        <w:rPr>
          <w:rFonts w:hint="cs"/>
          <w:rtl/>
        </w:rPr>
        <w:t>×</w:t>
      </w:r>
      <w:r w:rsidRPr="00EA09EB">
        <w:rPr>
          <w:rFonts w:hint="cs"/>
          <w:rtl/>
        </w:rPr>
        <w:t xml:space="preserve"> حتّى في عصر احتجابه عن الناس»</w:t>
      </w:r>
      <w:r w:rsidRPr="00064619">
        <w:rPr>
          <w:rFonts w:cs="Taher"/>
          <w:sz w:val="32"/>
          <w:vertAlign w:val="superscript"/>
          <w:rtl/>
        </w:rPr>
        <w:t>(</w:t>
      </w:r>
      <w:r w:rsidRPr="00064619">
        <w:rPr>
          <w:rStyle w:val="FootnoteReference"/>
          <w:rFonts w:cs="Taher"/>
          <w:sz w:val="32"/>
          <w:rtl/>
        </w:rPr>
        <w:footnoteReference w:id="773"/>
      </w:r>
      <w:r w:rsidRPr="00064619">
        <w:rPr>
          <w:rFonts w:cs="Taher"/>
          <w:sz w:val="32"/>
          <w:vertAlign w:val="superscript"/>
          <w:rtl/>
        </w:rPr>
        <w:t>)</w:t>
      </w:r>
      <w:r w:rsidRPr="00EA09EB">
        <w:rPr>
          <w:rFonts w:hint="cs"/>
          <w:rtl/>
        </w:rPr>
        <w:t>.</w:t>
      </w:r>
    </w:p>
    <w:p w:rsidR="00EA09EB" w:rsidRPr="00EA09EB" w:rsidRDefault="00EA09EB" w:rsidP="007A340E">
      <w:pPr>
        <w:ind w:firstLine="283"/>
        <w:rPr>
          <w:rtl/>
        </w:rPr>
      </w:pPr>
      <w:r w:rsidRPr="007A340E">
        <w:rPr>
          <w:rFonts w:hint="cs"/>
          <w:b/>
          <w:bCs/>
          <w:rtl/>
        </w:rPr>
        <w:t>ثالثاً</w:t>
      </w:r>
      <w:r w:rsidRPr="00EA09EB">
        <w:rPr>
          <w:rFonts w:hint="cs"/>
          <w:rtl/>
        </w:rPr>
        <w:t>: «إنّ جميع البراهين العقلية التي تثبت حاجة المجتمع إلى عنصرٍ فاعل للنظم الصحيح جارية أيضاً؛ لإثبات النائب في غَيْبة وليّ العصر، أو مَنْ يمثِّله»</w:t>
      </w:r>
      <w:r w:rsidRPr="00064619">
        <w:rPr>
          <w:rFonts w:cs="Taher"/>
          <w:sz w:val="32"/>
          <w:vertAlign w:val="superscript"/>
          <w:rtl/>
        </w:rPr>
        <w:t>(</w:t>
      </w:r>
      <w:r w:rsidRPr="00064619">
        <w:rPr>
          <w:rStyle w:val="FootnoteReference"/>
          <w:rFonts w:cs="Taher"/>
          <w:sz w:val="32"/>
          <w:rtl/>
        </w:rPr>
        <w:footnoteReference w:id="774"/>
      </w:r>
      <w:r w:rsidRPr="00064619">
        <w:rPr>
          <w:rFonts w:cs="Taher"/>
          <w:sz w:val="32"/>
          <w:vertAlign w:val="superscript"/>
          <w:rtl/>
        </w:rPr>
        <w:t>)</w:t>
      </w:r>
      <w:r w:rsidRPr="00EA09EB">
        <w:rPr>
          <w:rFonts w:hint="cs"/>
          <w:rtl/>
        </w:rPr>
        <w:t>.</w:t>
      </w:r>
    </w:p>
    <w:p w:rsidR="00EA09EB" w:rsidRPr="00EA09EB" w:rsidRDefault="00EA09EB" w:rsidP="00CE7A94">
      <w:pPr>
        <w:pStyle w:val="Normal87"/>
        <w:rPr>
          <w:rtl/>
        </w:rPr>
      </w:pPr>
      <w:r w:rsidRPr="007A340E">
        <w:rPr>
          <w:rFonts w:hint="cs"/>
          <w:b/>
          <w:bCs/>
          <w:rtl/>
        </w:rPr>
        <w:t>رابعاً</w:t>
      </w:r>
      <w:r w:rsidRPr="00EA09EB">
        <w:rPr>
          <w:rFonts w:hint="cs"/>
          <w:rtl/>
        </w:rPr>
        <w:t>: «كما يمكن الاستدلال لمسألة الزعامة في عصر الغَيْبة بجميع الأقسام [الأدلّة] الثلاثة، القسم الأوّل الدليل العقلي المحض [والقسم الثاني التلفيق بين العقل والنقل، والقسم الثالث: الدليل النقلي المحض]... وإنّ محور البرهان العقلي المحض على ولاية الفقيه يقوم على ضرورة النظم في المجتمع الإسلاميّ، مع الالتفات إلى جميع عناصره الرئيسة، وإنّ جانباً منه يعود إلى علم الكلام ، ويعود جانبه الآخر إلى علم الفقه»</w:t>
      </w:r>
      <w:r w:rsidRPr="00064619">
        <w:rPr>
          <w:rFonts w:cs="Taher"/>
          <w:sz w:val="32"/>
          <w:vertAlign w:val="superscript"/>
          <w:rtl/>
        </w:rPr>
        <w:t>(</w:t>
      </w:r>
      <w:r w:rsidRPr="00064619">
        <w:rPr>
          <w:rStyle w:val="FootnoteReference"/>
          <w:rFonts w:cs="Taher"/>
          <w:sz w:val="32"/>
          <w:rtl/>
        </w:rPr>
        <w:footnoteReference w:id="775"/>
      </w:r>
      <w:r w:rsidRPr="00064619">
        <w:rPr>
          <w:rFonts w:cs="Taher"/>
          <w:sz w:val="32"/>
          <w:vertAlign w:val="superscript"/>
          <w:rtl/>
        </w:rPr>
        <w:t>)</w:t>
      </w:r>
      <w:r w:rsidRPr="00EA09EB">
        <w:rPr>
          <w:rFonts w:hint="cs"/>
          <w:rtl/>
        </w:rPr>
        <w:t>.</w:t>
      </w:r>
    </w:p>
    <w:p w:rsidR="00EA09EB" w:rsidRPr="00EA09EB" w:rsidRDefault="00EA09EB" w:rsidP="00CE7A94">
      <w:pPr>
        <w:pStyle w:val="Normal87"/>
        <w:rPr>
          <w:rtl/>
        </w:rPr>
      </w:pPr>
      <w:r w:rsidRPr="007A340E">
        <w:rPr>
          <w:rFonts w:hint="cs"/>
          <w:b/>
          <w:bCs/>
          <w:rtl/>
        </w:rPr>
        <w:t>خامساً</w:t>
      </w:r>
      <w:r w:rsidRPr="00EA09EB">
        <w:rPr>
          <w:rFonts w:hint="cs"/>
          <w:rtl/>
        </w:rPr>
        <w:t>: إن مقتضى القسم الأوّل من الأدلة العقلية المحضة هو أن ولاية الفقيه استمرارٌ لإمامة الأئمّة المعصومين</w:t>
      </w:r>
      <w:r w:rsidR="007A340E">
        <w:rPr>
          <w:rFonts w:hint="cs"/>
          <w:rtl/>
        </w:rPr>
        <w:t>^</w:t>
      </w:r>
      <w:r w:rsidRPr="00EA09EB">
        <w:rPr>
          <w:rFonts w:hint="cs"/>
          <w:rtl/>
        </w:rPr>
        <w:t>، بمعنى أنّ خلق الفقهاء الواجدين للشرائط في عصر الغَيْبة وإيجادهم على المستوى التكويني واجبٌ بمقتضى الحِكْمة الإلهية على مبنى الحكماء، أو قاعدة اللطف لدى المتكلِّمين، ولكنْ على نحو «الوجوب عن الله»، وليس «الوجوب على الله». وهكذا تنصيبهم على المستوى التشريعي واجبٌ طبقاً لهذه التعبيرات. ومن غير الممكن أن يتطرَّق خَلَلٌ إلى أصل ذلك التكوين أو ذلك التشريع، ولو حصل خَلَلٌ لبعض الوقت فهو من قبيل الفترة التي تتخلَّل سلسلة الأنبياء</w:t>
      </w:r>
      <w:r w:rsidR="007A340E">
        <w:rPr>
          <w:rFonts w:hint="cs"/>
          <w:rtl/>
        </w:rPr>
        <w:t>^</w:t>
      </w:r>
      <w:r w:rsidRPr="00EA09EB">
        <w:rPr>
          <w:rFonts w:hint="cs"/>
          <w:rtl/>
        </w:rPr>
        <w:t>، دون أن يكون هناك محذورٌ في ذلك»</w:t>
      </w:r>
      <w:r w:rsidRPr="00064619">
        <w:rPr>
          <w:rFonts w:cs="Taher"/>
          <w:sz w:val="32"/>
          <w:vertAlign w:val="superscript"/>
          <w:rtl/>
        </w:rPr>
        <w:t>(</w:t>
      </w:r>
      <w:r w:rsidRPr="00064619">
        <w:rPr>
          <w:rStyle w:val="FootnoteReference"/>
          <w:rFonts w:cs="Taher"/>
          <w:sz w:val="32"/>
          <w:rtl/>
        </w:rPr>
        <w:footnoteReference w:id="776"/>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قبل الخوض في البحث التفصيليّ للأدلّة العقليّة المستقلّة على ولاية الفقيه لابدّ من تقديم نقاط مستفادة من كلمات الشيخ جوادي الآملي:</w:t>
      </w:r>
    </w:p>
    <w:p w:rsidR="00EA09EB" w:rsidRPr="00A32FC0" w:rsidRDefault="00EA09EB" w:rsidP="00EA09EB">
      <w:pPr>
        <w:rPr>
          <w:rtl/>
          <w:lang w:bidi="ar-LB"/>
        </w:rPr>
      </w:pPr>
      <w:r w:rsidRPr="00A32FC0">
        <w:rPr>
          <w:rFonts w:hint="cs"/>
          <w:rtl/>
          <w:lang w:bidi="ar-LB"/>
        </w:rPr>
        <w:t>1</w:t>
      </w:r>
      <w:r w:rsidRPr="00A32FC0">
        <w:rPr>
          <w:rtl/>
          <w:lang w:bidi="ar-LB"/>
        </w:rPr>
        <w:t>ـ</w:t>
      </w:r>
      <w:r w:rsidRPr="00A32FC0">
        <w:rPr>
          <w:rFonts w:hint="cs"/>
          <w:rtl/>
          <w:lang w:bidi="ar-LB"/>
        </w:rPr>
        <w:t xml:space="preserve"> من ضمن أدلّة الإمامة يصحّ الاستدلال بدليلَيْن على ولاية الفقيه: </w:t>
      </w:r>
    </w:p>
    <w:p w:rsidR="00EA09EB" w:rsidRPr="00EA09EB" w:rsidRDefault="00EA09EB" w:rsidP="007A340E">
      <w:pPr>
        <w:ind w:firstLine="283"/>
        <w:rPr>
          <w:rtl/>
        </w:rPr>
      </w:pPr>
      <w:r w:rsidRPr="007A340E">
        <w:rPr>
          <w:rFonts w:hint="cs"/>
          <w:b/>
          <w:bCs/>
          <w:rtl/>
        </w:rPr>
        <w:t>الأول</w:t>
      </w:r>
      <w:r w:rsidRPr="00EA09EB">
        <w:rPr>
          <w:rFonts w:hint="cs"/>
          <w:rtl/>
        </w:rPr>
        <w:t xml:space="preserve">: الدليل المبتني على نظم أمور المجتمع (في العبارتين: الثالثة والرابعة). </w:t>
      </w:r>
    </w:p>
    <w:p w:rsidR="00EA09EB" w:rsidRPr="00EA09EB" w:rsidRDefault="00EA09EB" w:rsidP="007A340E">
      <w:pPr>
        <w:ind w:firstLine="283"/>
        <w:rPr>
          <w:rtl/>
        </w:rPr>
      </w:pPr>
      <w:r w:rsidRPr="007A340E">
        <w:rPr>
          <w:rFonts w:hint="cs"/>
          <w:b/>
          <w:bCs/>
          <w:rtl/>
        </w:rPr>
        <w:t>الثاني</w:t>
      </w:r>
      <w:r w:rsidRPr="00EA09EB">
        <w:rPr>
          <w:rFonts w:hint="cs"/>
          <w:rtl/>
        </w:rPr>
        <w:t>: الدليل المبتني على قاعدة اللطف، أو مقتضى الحكمة الإلهية (في العبارتين: الثانية والخامسة).</w:t>
      </w:r>
    </w:p>
    <w:p w:rsidR="00EA09EB" w:rsidRPr="00A32FC0" w:rsidRDefault="00EA09EB" w:rsidP="00EA09EB">
      <w:pPr>
        <w:rPr>
          <w:rtl/>
          <w:lang w:bidi="ar-LB"/>
        </w:rPr>
      </w:pPr>
      <w:r w:rsidRPr="00A32FC0">
        <w:rPr>
          <w:rFonts w:hint="cs"/>
          <w:rtl/>
          <w:lang w:bidi="ar-LB"/>
        </w:rPr>
        <w:t xml:space="preserve">2ـ بالإضافة إلى الامتيازات التشريعيّة للولي الفقيه فإنّه يتمتَّع أيضاً بميِّزات تكوينيّة، أي في خَلقِه ووجوده. خَلْقُ الفقيه الجامع لشرائط الولاية واجب على الله تماماً كوجوب تعيينه لمنصب الولاية؛ وذلك من باب اللطف الكلاميّ، أو مقتضى القول الفلسفيّ بالحكمة الإلهيّة. وهذه الرؤية (أي الامتياز التكوينيّ للوليّ الفقيه) هي أساس </w:t>
      </w:r>
      <w:r w:rsidRPr="00A32FC0">
        <w:rPr>
          <w:rFonts w:hint="cs"/>
          <w:rtl/>
        </w:rPr>
        <w:t>«</w:t>
      </w:r>
      <w:r w:rsidRPr="00A32FC0">
        <w:rPr>
          <w:rFonts w:hint="cs"/>
          <w:rtl/>
          <w:lang w:bidi="ar-LB"/>
        </w:rPr>
        <w:t>نظريّة الكشف</w:t>
      </w:r>
      <w:r w:rsidRPr="00A32FC0">
        <w:rPr>
          <w:rFonts w:hint="cs"/>
          <w:rtl/>
        </w:rPr>
        <w:t>»،</w:t>
      </w:r>
      <w:r w:rsidRPr="00A32FC0">
        <w:rPr>
          <w:rFonts w:hint="cs"/>
          <w:rtl/>
          <w:lang w:bidi="ar-LB"/>
        </w:rPr>
        <w:t xml:space="preserve"> التي سوف نتعرَّض لها في بحث </w:t>
      </w:r>
      <w:r w:rsidRPr="00A32FC0">
        <w:rPr>
          <w:rFonts w:hint="cs"/>
          <w:rtl/>
        </w:rPr>
        <w:t>«</w:t>
      </w:r>
      <w:r w:rsidRPr="00A32FC0">
        <w:rPr>
          <w:rFonts w:hint="cs"/>
          <w:rtl/>
          <w:lang w:bidi="ar-LB"/>
        </w:rPr>
        <w:t>التعيين</w:t>
      </w:r>
      <w:r w:rsidRPr="00A32FC0">
        <w:rPr>
          <w:rFonts w:hint="cs"/>
          <w:rtl/>
        </w:rPr>
        <w:t>»</w:t>
      </w:r>
      <w:r w:rsidRPr="00A32FC0">
        <w:rPr>
          <w:rFonts w:hint="cs"/>
          <w:rtl/>
          <w:lang w:bidi="ar-LB"/>
        </w:rPr>
        <w:t xml:space="preserve"> بشكلٍ مفصَّلٍ.</w:t>
      </w:r>
    </w:p>
    <w:p w:rsidR="00EA09EB" w:rsidRPr="00A32FC0" w:rsidRDefault="00EA09EB" w:rsidP="00EA09EB">
      <w:pPr>
        <w:rPr>
          <w:rtl/>
          <w:lang w:bidi="ar-LB"/>
        </w:rPr>
      </w:pPr>
      <w:r w:rsidRPr="00A32FC0">
        <w:rPr>
          <w:rFonts w:hint="cs"/>
          <w:rtl/>
          <w:lang w:bidi="ar-LB"/>
        </w:rPr>
        <w:t>وحيث إن الأدلّة العقليّة للإمامة والنبوّة العامّة مشتركة فقد أقيمت ثلاثة أدلّة عقليّة على هذين الأصلين العقائديّين. ونحن، بعد عرضنا لكلّ واحد من هذه الأدلّة العقليّة للإمامة والنبوّة، سوف نبحث في كيفية تطبيق هذه الأدلّة على مسألة ولاية الفقيه.</w:t>
      </w:r>
    </w:p>
    <w:p w:rsidR="00EA09EB" w:rsidRPr="00A32FC0" w:rsidRDefault="00EA09EB" w:rsidP="00EA09EB">
      <w:pPr>
        <w:rPr>
          <w:rtl/>
          <w:lang w:bidi="ar-LB"/>
        </w:rPr>
      </w:pPr>
      <w:r w:rsidRPr="00A32FC0">
        <w:rPr>
          <w:rFonts w:hint="cs"/>
          <w:b/>
          <w:bCs/>
          <w:rtl/>
          <w:lang w:bidi="ar-LB"/>
        </w:rPr>
        <w:t>الدليل الأوّل</w:t>
      </w:r>
      <w:r w:rsidRPr="00A32FC0">
        <w:rPr>
          <w:rFonts w:hint="cs"/>
          <w:rtl/>
          <w:lang w:bidi="ar-LB"/>
        </w:rPr>
        <w:t>: البرهان المبتني على نظم شؤون المجتمع.</w:t>
      </w:r>
    </w:p>
    <w:p w:rsidR="00EA09EB" w:rsidRPr="00EA09EB" w:rsidRDefault="00EA09EB" w:rsidP="00EA09EB">
      <w:pPr>
        <w:rPr>
          <w:rtl/>
        </w:rPr>
      </w:pPr>
      <w:r w:rsidRPr="00A32FC0">
        <w:rPr>
          <w:rFonts w:hint="cs"/>
          <w:rtl/>
          <w:lang w:bidi="ar-LB"/>
        </w:rPr>
        <w:t xml:space="preserve">هذا البرهان هو عينه دليل الفلاسفة المشهور على النبوّة. ومن جملة مَنْ استند إلى هذا الدليل؛ لإثبات النبوة، من المتقدِّمين الشيخ الرئيس ابن سينا في </w:t>
      </w:r>
      <w:r w:rsidRPr="00A32FC0">
        <w:rPr>
          <w:rFonts w:hint="cs"/>
          <w:rtl/>
        </w:rPr>
        <w:t>«</w:t>
      </w:r>
      <w:r w:rsidRPr="00A32FC0">
        <w:rPr>
          <w:rFonts w:hint="cs"/>
          <w:rtl/>
          <w:lang w:bidi="ar-LB"/>
        </w:rPr>
        <w:t>إلهيات الشفا</w:t>
      </w:r>
      <w:r w:rsidRPr="00A32FC0">
        <w:rPr>
          <w:rFonts w:hint="cs"/>
          <w:rtl/>
        </w:rPr>
        <w:t>»</w:t>
      </w:r>
      <w:r w:rsidRPr="00064619">
        <w:rPr>
          <w:rFonts w:cs="Taher"/>
          <w:vertAlign w:val="superscript"/>
          <w:rtl/>
        </w:rPr>
        <w:t>(</w:t>
      </w:r>
      <w:r w:rsidRPr="00064619">
        <w:rPr>
          <w:rStyle w:val="FootnoteReference"/>
          <w:rFonts w:cs="Taher"/>
          <w:sz w:val="32"/>
          <w:rtl/>
        </w:rPr>
        <w:footnoteReference w:id="777"/>
      </w:r>
      <w:r w:rsidRPr="00064619">
        <w:rPr>
          <w:rFonts w:cs="Taher"/>
          <w:vertAlign w:val="superscript"/>
          <w:rtl/>
        </w:rPr>
        <w:t>)</w:t>
      </w:r>
      <w:r w:rsidRPr="00EA09EB">
        <w:rPr>
          <w:rFonts w:hint="cs"/>
          <w:rtl/>
        </w:rPr>
        <w:t>؛ ومن المتأخِّرين: العلاّمة الطباطبائيّ</w:t>
      </w:r>
      <w:r w:rsidRPr="00064619">
        <w:rPr>
          <w:rFonts w:cs="Taher"/>
          <w:vertAlign w:val="superscript"/>
          <w:rtl/>
          <w:lang w:bidi="ar-LB"/>
        </w:rPr>
        <w:t>(</w:t>
      </w:r>
      <w:r w:rsidRPr="00064619">
        <w:rPr>
          <w:rStyle w:val="FootnoteReference"/>
          <w:rFonts w:cs="Taher"/>
          <w:sz w:val="32"/>
          <w:rtl/>
          <w:lang w:bidi="ar-LB"/>
        </w:rPr>
        <w:footnoteReference w:id="778"/>
      </w:r>
      <w:r w:rsidRPr="00064619">
        <w:rPr>
          <w:rFonts w:cs="Taher"/>
          <w:vertAlign w:val="superscript"/>
          <w:rtl/>
          <w:lang w:bidi="ar-LB"/>
        </w:rPr>
        <w:t>)</w:t>
      </w:r>
      <w:r w:rsidRPr="00EA09EB">
        <w:rPr>
          <w:rFonts w:hint="cs"/>
          <w:rtl/>
        </w:rPr>
        <w:t xml:space="preserve">. </w:t>
      </w:r>
    </w:p>
    <w:p w:rsidR="00EA09EB" w:rsidRPr="00A32FC0" w:rsidRDefault="00EA09EB" w:rsidP="00CE7A94">
      <w:pPr>
        <w:pStyle w:val="Normal84"/>
        <w:rPr>
          <w:rtl/>
        </w:rPr>
      </w:pPr>
      <w:r w:rsidRPr="00A32FC0">
        <w:rPr>
          <w:rFonts w:hint="cs"/>
          <w:rtl/>
        </w:rPr>
        <w:t>وتوضيح هذا البرهان، بعد تفكيك مقدّماته، على النحو التالي:</w:t>
      </w:r>
    </w:p>
    <w:p w:rsidR="00EA09EB" w:rsidRPr="00EA09EB" w:rsidRDefault="00EA09EB" w:rsidP="00CE7A94">
      <w:pPr>
        <w:pStyle w:val="Normal84"/>
        <w:rPr>
          <w:rtl/>
        </w:rPr>
      </w:pPr>
      <w:r w:rsidRPr="007A340E">
        <w:rPr>
          <w:rFonts w:hint="cs"/>
          <w:b/>
          <w:bCs/>
          <w:rtl/>
        </w:rPr>
        <w:t>المقدّمة الأولى</w:t>
      </w:r>
      <w:r w:rsidRPr="00EA09EB">
        <w:rPr>
          <w:rFonts w:hint="cs"/>
          <w:rtl/>
        </w:rPr>
        <w:t>: إنّ الإنسان كائنٌ اجتماعيٌّ. والاختلاف والتنازع هما طبيعة اجتماعيّة فيه.</w:t>
      </w:r>
    </w:p>
    <w:p w:rsidR="00EA09EB" w:rsidRPr="00EA09EB" w:rsidRDefault="00EA09EB" w:rsidP="00CE7A94">
      <w:pPr>
        <w:pStyle w:val="Normal84"/>
        <w:rPr>
          <w:rtl/>
        </w:rPr>
      </w:pPr>
      <w:r w:rsidRPr="007A340E">
        <w:rPr>
          <w:rFonts w:hint="cs"/>
          <w:b/>
          <w:bCs/>
          <w:rtl/>
        </w:rPr>
        <w:t>المقدّمة الثانية</w:t>
      </w:r>
      <w:r w:rsidRPr="00EA09EB">
        <w:rPr>
          <w:rFonts w:hint="cs"/>
          <w:rtl/>
        </w:rPr>
        <w:t>: إنّ رفع الاختلاف، ونظم المجتمع، يحتاجان إلى قانون، وإلى إجراء لهذا القانون.</w:t>
      </w:r>
    </w:p>
    <w:p w:rsidR="00EA09EB" w:rsidRPr="00EA09EB" w:rsidRDefault="00EA09EB" w:rsidP="00CE7A94">
      <w:pPr>
        <w:pStyle w:val="Normal84"/>
        <w:rPr>
          <w:rtl/>
        </w:rPr>
      </w:pPr>
      <w:r w:rsidRPr="007A340E">
        <w:rPr>
          <w:rFonts w:hint="cs"/>
          <w:b/>
          <w:bCs/>
          <w:rtl/>
        </w:rPr>
        <w:t>المقدّمة الثالثة</w:t>
      </w:r>
      <w:r w:rsidRPr="00EA09EB">
        <w:rPr>
          <w:rFonts w:hint="cs"/>
          <w:rtl/>
        </w:rPr>
        <w:t>: إنّ الإنسان غير قادر بنفسه على وضع قوانين تضمن له السعادة في المجتمع.</w:t>
      </w:r>
    </w:p>
    <w:p w:rsidR="00EA09EB" w:rsidRPr="00EA09EB" w:rsidRDefault="00EA09EB" w:rsidP="00CE7A94">
      <w:pPr>
        <w:pStyle w:val="Normal84"/>
        <w:rPr>
          <w:rtl/>
        </w:rPr>
      </w:pPr>
      <w:r w:rsidRPr="007A340E">
        <w:rPr>
          <w:rFonts w:hint="cs"/>
          <w:b/>
          <w:bCs/>
          <w:rtl/>
        </w:rPr>
        <w:t>المقدّمة الرابعة</w:t>
      </w:r>
      <w:r w:rsidRPr="00EA09EB">
        <w:rPr>
          <w:rFonts w:hint="cs"/>
          <w:rtl/>
        </w:rPr>
        <w:t>: لابدّ أن يكون الوحي مصدراً لهذا القانون (أي الدين). ولكي يمكن إيصال هذا الدين بشكل كامل إلى الناس يجب أن يكون الناقل معصوماً</w:t>
      </w:r>
      <w:r w:rsidRPr="00064619">
        <w:rPr>
          <w:rFonts w:cs="Taher"/>
          <w:sz w:val="32"/>
          <w:vertAlign w:val="superscript"/>
          <w:rtl/>
        </w:rPr>
        <w:t>(</w:t>
      </w:r>
      <w:r w:rsidRPr="00064619">
        <w:rPr>
          <w:rStyle w:val="FootnoteReference"/>
          <w:rFonts w:cs="Taher"/>
          <w:sz w:val="32"/>
          <w:rtl/>
        </w:rPr>
        <w:footnoteReference w:id="779"/>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وبإضافة هذه المقدّمة على هذا البرهان يصبح دليلاً على الإمامة أيضاً، وهي:</w:t>
      </w:r>
    </w:p>
    <w:p w:rsidR="00EA09EB" w:rsidRPr="00A32FC0" w:rsidRDefault="00EA09EB" w:rsidP="00EA09EB">
      <w:pPr>
        <w:rPr>
          <w:rtl/>
          <w:lang w:bidi="ar-LB"/>
        </w:rPr>
      </w:pPr>
      <w:r w:rsidRPr="00A32FC0">
        <w:rPr>
          <w:rFonts w:hint="cs"/>
          <w:b/>
          <w:bCs/>
          <w:rtl/>
          <w:lang w:bidi="ar-LB"/>
        </w:rPr>
        <w:t>المقدّمة الخامسة</w:t>
      </w:r>
      <w:r w:rsidRPr="00EA09EB">
        <w:rPr>
          <w:rFonts w:hint="cs"/>
          <w:rtl/>
        </w:rPr>
        <w:t>: إنّ شرح تعاليم الله ورسوله</w:t>
      </w:r>
      <w:r w:rsidRPr="00EA09EB">
        <w:rPr>
          <w:rFonts w:hint="cs"/>
          <w:rtl/>
        </w:rPr>
        <w:sym w:font="Roumouz" w:char="F02D"/>
      </w:r>
      <w:r w:rsidRPr="00EA09EB">
        <w:rPr>
          <w:rFonts w:hint="cs"/>
          <w:rtl/>
        </w:rPr>
        <w:t xml:space="preserve"> (يعني أحكام الدين)، وتوضيحها، وبيانها، يحتاج إلى إمام معصوم</w:t>
      </w:r>
      <w:r w:rsidRPr="00064619">
        <w:rPr>
          <w:rFonts w:cs="Taher"/>
          <w:vertAlign w:val="superscript"/>
          <w:rtl/>
          <w:lang w:bidi="ar-LB"/>
        </w:rPr>
        <w:t>(</w:t>
      </w:r>
      <w:r w:rsidRPr="00064619">
        <w:rPr>
          <w:rStyle w:val="FootnoteReference"/>
          <w:rFonts w:cs="Taher"/>
          <w:sz w:val="32"/>
          <w:rtl/>
          <w:lang w:bidi="ar-LB"/>
        </w:rPr>
        <w:footnoteReference w:id="780"/>
      </w:r>
      <w:r w:rsidRPr="00064619">
        <w:rPr>
          <w:rFonts w:cs="Taher"/>
          <w:vertAlign w:val="superscript"/>
          <w:rtl/>
          <w:lang w:bidi="ar-LB"/>
        </w:rPr>
        <w:t>)</w:t>
      </w:r>
      <w:r w:rsidRPr="00A32FC0">
        <w:rPr>
          <w:rFonts w:hint="cs"/>
          <w:rtl/>
          <w:lang w:bidi="ar-LB"/>
        </w:rPr>
        <w:t>.</w:t>
      </w:r>
    </w:p>
    <w:p w:rsidR="00EA09EB" w:rsidRPr="00EA09EB" w:rsidRDefault="00EA09EB" w:rsidP="00EA09EB">
      <w:pPr>
        <w:rPr>
          <w:rtl/>
        </w:rPr>
      </w:pPr>
      <w:r w:rsidRPr="00A32FC0">
        <w:rPr>
          <w:rFonts w:hint="cs"/>
          <w:rtl/>
          <w:lang w:bidi="ar-LB"/>
        </w:rPr>
        <w:t>من الواضح أنّ المقدّمات الثلاث الأولى من هذا البرهان عامّة؛ وأمّا المقدّمتان الأخيرتان منه فخاصّتان بالمعصومين</w:t>
      </w:r>
      <w:r w:rsidR="007A340E">
        <w:rPr>
          <w:rFonts w:hint="cs"/>
          <w:rtl/>
        </w:rPr>
        <w:t>^</w:t>
      </w:r>
      <w:r w:rsidRPr="00A32FC0">
        <w:rPr>
          <w:rFonts w:hint="cs"/>
          <w:rtl/>
          <w:lang w:bidi="ar-LB"/>
        </w:rPr>
        <w:t>. لذلك تمّ إعادة صياغتهما بالشكل التالي؛ لتتطابقا وتتناسبا مع ولاية الفقيه:</w:t>
      </w:r>
      <w:r>
        <w:rPr>
          <w:rFonts w:hint="cs"/>
          <w:rtl/>
          <w:lang w:bidi="ar-LB"/>
        </w:rPr>
        <w:t xml:space="preserve"> </w:t>
      </w:r>
      <w:r w:rsidRPr="00A32FC0">
        <w:rPr>
          <w:rFonts w:hint="cs"/>
          <w:rtl/>
        </w:rPr>
        <w:t>«</w:t>
      </w:r>
      <w:r w:rsidRPr="00F159BE">
        <w:rPr>
          <w:rFonts w:hint="cs"/>
          <w:rtl/>
          <w:lang w:bidi="ar-AE"/>
        </w:rPr>
        <w:t>لا يمكن تصو</w:t>
      </w:r>
      <w:r>
        <w:rPr>
          <w:rFonts w:hint="cs"/>
          <w:rtl/>
          <w:lang w:bidi="ar-AE"/>
        </w:rPr>
        <w:t>ُّ</w:t>
      </w:r>
      <w:r w:rsidRPr="00F159BE">
        <w:rPr>
          <w:rFonts w:hint="cs"/>
          <w:rtl/>
          <w:lang w:bidi="ar-AE"/>
        </w:rPr>
        <w:t>ر هداية الإنسان إلا</w:t>
      </w:r>
      <w:r>
        <w:rPr>
          <w:rFonts w:hint="cs"/>
          <w:rtl/>
          <w:lang w:bidi="ar-AE"/>
        </w:rPr>
        <w:t>ّ</w:t>
      </w:r>
      <w:r w:rsidRPr="00F159BE">
        <w:rPr>
          <w:rFonts w:hint="cs"/>
          <w:rtl/>
          <w:lang w:bidi="ar-AE"/>
        </w:rPr>
        <w:t xml:space="preserve"> من خلال الوحي الإلهي والإمام العارف بالوحي والعامل به</w:t>
      </w:r>
      <w:r>
        <w:rPr>
          <w:rFonts w:hint="cs"/>
          <w:rtl/>
          <w:lang w:bidi="ar-AE"/>
        </w:rPr>
        <w:t>،</w:t>
      </w:r>
      <w:r w:rsidRPr="00F159BE">
        <w:rPr>
          <w:rFonts w:hint="cs"/>
          <w:rtl/>
          <w:lang w:bidi="ar-AE"/>
        </w:rPr>
        <w:t xml:space="preserve"> بمعنى أنه لا يكفي في الهداية مجرّ</w:t>
      </w:r>
      <w:r>
        <w:rPr>
          <w:rFonts w:hint="cs"/>
          <w:rtl/>
          <w:lang w:bidi="ar-AE"/>
        </w:rPr>
        <w:t>َ</w:t>
      </w:r>
      <w:r w:rsidRPr="00F159BE">
        <w:rPr>
          <w:rFonts w:hint="cs"/>
          <w:rtl/>
          <w:lang w:bidi="ar-AE"/>
        </w:rPr>
        <w:t>د نزول الو</w:t>
      </w:r>
      <w:r>
        <w:rPr>
          <w:rFonts w:hint="cs"/>
          <w:rtl/>
          <w:lang w:bidi="ar-AE"/>
        </w:rPr>
        <w:t>َ</w:t>
      </w:r>
      <w:r w:rsidRPr="00F159BE">
        <w:rPr>
          <w:rFonts w:hint="cs"/>
          <w:rtl/>
          <w:lang w:bidi="ar-AE"/>
        </w:rPr>
        <w:t>ح</w:t>
      </w:r>
      <w:r>
        <w:rPr>
          <w:rFonts w:hint="cs"/>
          <w:rtl/>
          <w:lang w:bidi="ar-AE"/>
        </w:rPr>
        <w:t>ْ</w:t>
      </w:r>
      <w:r w:rsidRPr="00F159BE">
        <w:rPr>
          <w:rFonts w:hint="cs"/>
          <w:rtl/>
          <w:lang w:bidi="ar-AE"/>
        </w:rPr>
        <w:t>ي</w:t>
      </w:r>
      <w:r>
        <w:rPr>
          <w:rFonts w:hint="cs"/>
          <w:rtl/>
          <w:lang w:bidi="ar-AE"/>
        </w:rPr>
        <w:t xml:space="preserve">، </w:t>
      </w:r>
      <w:r w:rsidRPr="00F159BE">
        <w:rPr>
          <w:rFonts w:hint="cs"/>
          <w:rtl/>
          <w:lang w:bidi="ar-AE"/>
        </w:rPr>
        <w:t>وإلقاء مجموعة من القوانين ضمن الكتب السماوية من طريق الم</w:t>
      </w:r>
      <w:r>
        <w:rPr>
          <w:rFonts w:hint="cs"/>
          <w:rtl/>
          <w:lang w:bidi="ar-AE"/>
        </w:rPr>
        <w:t>َ</w:t>
      </w:r>
      <w:r w:rsidRPr="00F159BE">
        <w:rPr>
          <w:rFonts w:hint="cs"/>
          <w:rtl/>
          <w:lang w:bidi="ar-AE"/>
        </w:rPr>
        <w:t>لَك. بل لا ب</w:t>
      </w:r>
      <w:r>
        <w:rPr>
          <w:rFonts w:hint="cs"/>
          <w:rtl/>
          <w:lang w:bidi="ar-AE"/>
        </w:rPr>
        <w:t>ُ</w:t>
      </w:r>
      <w:r w:rsidRPr="00F159BE">
        <w:rPr>
          <w:rFonts w:hint="cs"/>
          <w:rtl/>
          <w:lang w:bidi="ar-AE"/>
        </w:rPr>
        <w:t>د</w:t>
      </w:r>
      <w:r>
        <w:rPr>
          <w:rFonts w:hint="cs"/>
          <w:rtl/>
          <w:lang w:bidi="ar-AE"/>
        </w:rPr>
        <w:t>َّ</w:t>
      </w:r>
      <w:r w:rsidRPr="00F159BE">
        <w:rPr>
          <w:rFonts w:hint="cs"/>
          <w:rtl/>
          <w:lang w:bidi="ar-AE"/>
        </w:rPr>
        <w:t xml:space="preserve"> مع ذلك من وجود إمام</w:t>
      </w:r>
      <w:r>
        <w:rPr>
          <w:rFonts w:hint="cs"/>
          <w:rtl/>
          <w:lang w:bidi="ar-AE"/>
        </w:rPr>
        <w:t>ٍ</w:t>
      </w:r>
      <w:r w:rsidRPr="00F159BE">
        <w:rPr>
          <w:rFonts w:hint="cs"/>
          <w:rtl/>
          <w:lang w:bidi="ar-AE"/>
        </w:rPr>
        <w:t xml:space="preserve"> يتلقّى الوحي مباشرة أو عبر الواسطة؛ ليعمل على صيانته وحفظه وإبلاغه إلى الناس، وإلا</w:t>
      </w:r>
      <w:r>
        <w:rPr>
          <w:rFonts w:hint="cs"/>
          <w:rtl/>
          <w:lang w:bidi="ar-AE"/>
        </w:rPr>
        <w:t>ّ</w:t>
      </w:r>
      <w:r w:rsidRPr="00F159BE">
        <w:rPr>
          <w:rFonts w:hint="cs"/>
          <w:rtl/>
          <w:lang w:bidi="ar-AE"/>
        </w:rPr>
        <w:t xml:space="preserve"> لزم من ذلك الوقوع في محذور الفوضى واله</w:t>
      </w:r>
      <w:r>
        <w:rPr>
          <w:rFonts w:hint="cs"/>
          <w:rtl/>
          <w:lang w:bidi="ar-AE"/>
        </w:rPr>
        <w:t>َ</w:t>
      </w:r>
      <w:r w:rsidRPr="00F159BE">
        <w:rPr>
          <w:rFonts w:hint="cs"/>
          <w:rtl/>
          <w:lang w:bidi="ar-AE"/>
        </w:rPr>
        <w:t>ر</w:t>
      </w:r>
      <w:r>
        <w:rPr>
          <w:rFonts w:hint="cs"/>
          <w:rtl/>
          <w:lang w:bidi="ar-AE"/>
        </w:rPr>
        <w:t>ْ</w:t>
      </w:r>
      <w:r w:rsidRPr="00F159BE">
        <w:rPr>
          <w:rFonts w:hint="cs"/>
          <w:rtl/>
          <w:lang w:bidi="ar-AE"/>
        </w:rPr>
        <w:t>ج والم</w:t>
      </w:r>
      <w:r>
        <w:rPr>
          <w:rFonts w:hint="cs"/>
          <w:rtl/>
          <w:lang w:bidi="ar-AE"/>
        </w:rPr>
        <w:t>َ</w:t>
      </w:r>
      <w:r w:rsidRPr="00F159BE">
        <w:rPr>
          <w:rFonts w:hint="cs"/>
          <w:rtl/>
          <w:lang w:bidi="ar-AE"/>
        </w:rPr>
        <w:t>ر</w:t>
      </w:r>
      <w:r>
        <w:rPr>
          <w:rFonts w:hint="cs"/>
          <w:rtl/>
          <w:lang w:bidi="ar-AE"/>
        </w:rPr>
        <w:t>ْج</w:t>
      </w:r>
      <w:r w:rsidRPr="00F159BE">
        <w:rPr>
          <w:rFonts w:hint="cs"/>
          <w:rtl/>
          <w:lang w:bidi="ar-AE"/>
        </w:rPr>
        <w:t>... من هنا يجدر تصوّ</w:t>
      </w:r>
      <w:r>
        <w:rPr>
          <w:rFonts w:hint="cs"/>
          <w:rtl/>
          <w:lang w:bidi="ar-AE"/>
        </w:rPr>
        <w:t>ُ</w:t>
      </w:r>
      <w:r w:rsidRPr="00F159BE">
        <w:rPr>
          <w:rFonts w:hint="cs"/>
          <w:rtl/>
          <w:lang w:bidi="ar-AE"/>
        </w:rPr>
        <w:t>ر النائب أو الممث</w:t>
      </w:r>
      <w:r>
        <w:rPr>
          <w:rFonts w:hint="cs"/>
          <w:rtl/>
          <w:lang w:bidi="ar-AE"/>
        </w:rPr>
        <w:t>ِّ</w:t>
      </w:r>
      <w:r w:rsidRPr="00F159BE">
        <w:rPr>
          <w:rFonts w:hint="cs"/>
          <w:rtl/>
          <w:lang w:bidi="ar-AE"/>
        </w:rPr>
        <w:t>ل للعنصر الفاعلي في المجتمع، وإن</w:t>
      </w:r>
      <w:r>
        <w:rPr>
          <w:rFonts w:hint="cs"/>
          <w:rtl/>
          <w:lang w:bidi="ar-AE"/>
        </w:rPr>
        <w:t>ْ</w:t>
      </w:r>
      <w:r w:rsidRPr="00F159BE">
        <w:rPr>
          <w:rFonts w:hint="cs"/>
          <w:rtl/>
          <w:lang w:bidi="ar-AE"/>
        </w:rPr>
        <w:t xml:space="preserve"> كان لا يجدر تصوّ</w:t>
      </w:r>
      <w:r>
        <w:rPr>
          <w:rFonts w:hint="cs"/>
          <w:rtl/>
          <w:lang w:bidi="ar-AE"/>
        </w:rPr>
        <w:t>ُ</w:t>
      </w:r>
      <w:r w:rsidRPr="00F159BE">
        <w:rPr>
          <w:rFonts w:hint="cs"/>
          <w:rtl/>
          <w:lang w:bidi="ar-AE"/>
        </w:rPr>
        <w:t>ر البديل أو الع</w:t>
      </w:r>
      <w:r>
        <w:rPr>
          <w:rFonts w:hint="cs"/>
          <w:rtl/>
          <w:lang w:bidi="ar-AE"/>
        </w:rPr>
        <w:t>ِ</w:t>
      </w:r>
      <w:r w:rsidRPr="00F159BE">
        <w:rPr>
          <w:rFonts w:hint="cs"/>
          <w:rtl/>
          <w:lang w:bidi="ar-AE"/>
        </w:rPr>
        <w:t>وَض بالنسبة إلى العنصر الصوري المتمثّ</w:t>
      </w:r>
      <w:r>
        <w:rPr>
          <w:rFonts w:hint="cs"/>
          <w:rtl/>
          <w:lang w:bidi="ar-AE"/>
        </w:rPr>
        <w:t>ِ</w:t>
      </w:r>
      <w:r w:rsidRPr="00F159BE">
        <w:rPr>
          <w:rFonts w:hint="cs"/>
          <w:rtl/>
          <w:lang w:bidi="ar-AE"/>
        </w:rPr>
        <w:t>ل بالو</w:t>
      </w:r>
      <w:r>
        <w:rPr>
          <w:rFonts w:hint="cs"/>
          <w:rtl/>
          <w:lang w:bidi="ar-AE"/>
        </w:rPr>
        <w:t>َ</w:t>
      </w:r>
      <w:r w:rsidRPr="00F159BE">
        <w:rPr>
          <w:rFonts w:hint="cs"/>
          <w:rtl/>
          <w:lang w:bidi="ar-AE"/>
        </w:rPr>
        <w:t>ح</w:t>
      </w:r>
      <w:r>
        <w:rPr>
          <w:rFonts w:hint="cs"/>
          <w:rtl/>
          <w:lang w:bidi="ar-AE"/>
        </w:rPr>
        <w:t>ْ</w:t>
      </w:r>
      <w:r w:rsidRPr="00F159BE">
        <w:rPr>
          <w:rFonts w:hint="cs"/>
          <w:rtl/>
          <w:lang w:bidi="ar-AE"/>
        </w:rPr>
        <w:t>ي؛ إذ مع المحافظة على الأصل الأزلي لا يصل الد</w:t>
      </w:r>
      <w:r>
        <w:rPr>
          <w:rFonts w:hint="cs"/>
          <w:rtl/>
          <w:lang w:bidi="ar-AE"/>
        </w:rPr>
        <w:t>َّ</w:t>
      </w:r>
      <w:r w:rsidRPr="00F159BE">
        <w:rPr>
          <w:rFonts w:hint="cs"/>
          <w:rtl/>
          <w:lang w:bidi="ar-AE"/>
        </w:rPr>
        <w:t>و</w:t>
      </w:r>
      <w:r>
        <w:rPr>
          <w:rFonts w:hint="cs"/>
          <w:rtl/>
          <w:lang w:bidi="ar-AE"/>
        </w:rPr>
        <w:t>ْ</w:t>
      </w:r>
      <w:r w:rsidRPr="00F159BE">
        <w:rPr>
          <w:rFonts w:hint="cs"/>
          <w:rtl/>
          <w:lang w:bidi="ar-AE"/>
        </w:rPr>
        <w:t xml:space="preserve">ر إلى </w:t>
      </w:r>
      <w:r w:rsidRPr="00141109">
        <w:rPr>
          <w:rFonts w:hint="cs"/>
          <w:rtl/>
          <w:lang w:bidi="ar-AE"/>
        </w:rPr>
        <w:t>الغير</w:t>
      </w:r>
      <w:r w:rsidRPr="00141109">
        <w:rPr>
          <w:rFonts w:hint="cs"/>
          <w:rtl/>
        </w:rPr>
        <w:t>»</w:t>
      </w:r>
      <w:r w:rsidRPr="00064619">
        <w:rPr>
          <w:rFonts w:cs="Taher"/>
          <w:vertAlign w:val="superscript"/>
          <w:rtl/>
        </w:rPr>
        <w:t>(</w:t>
      </w:r>
      <w:r w:rsidRPr="00064619">
        <w:rPr>
          <w:rStyle w:val="FootnoteReference"/>
          <w:rFonts w:cs="Taher"/>
          <w:sz w:val="32"/>
          <w:rtl/>
        </w:rPr>
        <w:footnoteReference w:id="781"/>
      </w:r>
      <w:r w:rsidRPr="00064619">
        <w:rPr>
          <w:rFonts w:cs="Taher"/>
          <w:vertAlign w:val="superscript"/>
          <w:rtl/>
        </w:rPr>
        <w:t>)</w:t>
      </w:r>
      <w:r w:rsidRPr="00EA09EB">
        <w:rPr>
          <w:rFonts w:hint="cs"/>
          <w:rtl/>
        </w:rPr>
        <w:t>.</w:t>
      </w:r>
    </w:p>
    <w:p w:rsidR="00EA09EB" w:rsidRPr="00EA09EB" w:rsidRDefault="00EA09EB" w:rsidP="00CE7A94">
      <w:pPr>
        <w:pStyle w:val="Normal93"/>
        <w:rPr>
          <w:rtl/>
        </w:rPr>
      </w:pPr>
      <w:r w:rsidRPr="007A340E">
        <w:rPr>
          <w:rFonts w:hint="cs"/>
          <w:b/>
          <w:bCs/>
          <w:rtl/>
        </w:rPr>
        <w:t>أولاً</w:t>
      </w:r>
      <w:r w:rsidRPr="00EA09EB">
        <w:rPr>
          <w:rFonts w:hint="cs"/>
          <w:rtl/>
        </w:rPr>
        <w:t>: أكّد هذا البرهان على الحياة الدنيا، وحاجة هذه الحياة إلى القوانين. وركّز على المصالح الاجتماعية فيها. ولم يأخذ بعين الاعتبار كمال الإنسان والحياة الخالدة والأبعاد الأخرويّة للسلوك الإنسانيّ</w:t>
      </w:r>
      <w:r w:rsidRPr="00064619">
        <w:rPr>
          <w:rFonts w:cs="Taher"/>
          <w:sz w:val="32"/>
          <w:vertAlign w:val="superscript"/>
          <w:rtl/>
        </w:rPr>
        <w:t>(</w:t>
      </w:r>
      <w:r w:rsidRPr="00064619">
        <w:rPr>
          <w:rStyle w:val="FootnoteReference"/>
          <w:rFonts w:cs="Taher"/>
          <w:sz w:val="32"/>
          <w:rtl/>
        </w:rPr>
        <w:footnoteReference w:id="782"/>
      </w:r>
      <w:r w:rsidRPr="00064619">
        <w:rPr>
          <w:rFonts w:cs="Taher"/>
          <w:sz w:val="32"/>
          <w:vertAlign w:val="superscript"/>
          <w:rtl/>
        </w:rPr>
        <w:t>)</w:t>
      </w:r>
      <w:r w:rsidRPr="00EA09EB">
        <w:rPr>
          <w:rFonts w:hint="cs"/>
          <w:rtl/>
        </w:rPr>
        <w:t>.</w:t>
      </w:r>
    </w:p>
    <w:p w:rsidR="00EA09EB" w:rsidRPr="00EA09EB" w:rsidRDefault="00EA09EB" w:rsidP="00CE7A94">
      <w:pPr>
        <w:pStyle w:val="Normal93"/>
        <w:rPr>
          <w:rtl/>
        </w:rPr>
      </w:pPr>
      <w:r w:rsidRPr="007A340E">
        <w:rPr>
          <w:rFonts w:hint="cs"/>
          <w:b/>
          <w:bCs/>
          <w:rtl/>
        </w:rPr>
        <w:t>ثانياً</w:t>
      </w:r>
      <w:r w:rsidRPr="00EA09EB">
        <w:rPr>
          <w:rFonts w:hint="cs"/>
          <w:rtl/>
        </w:rPr>
        <w:t xml:space="preserve">: إنّ هذا البرهان مبنيٌّ على عصمة القانون. وعصمة القانون تقتضي عصمة ناقله </w:t>
      </w:r>
      <w:r w:rsidRPr="00EA09EB">
        <w:rPr>
          <w:rtl/>
        </w:rPr>
        <w:t>ـ</w:t>
      </w:r>
      <w:r w:rsidRPr="00EA09EB">
        <w:rPr>
          <w:rFonts w:hint="cs"/>
          <w:rtl/>
        </w:rPr>
        <w:t xml:space="preserve"> أي الرسول</w:t>
      </w:r>
      <w:r w:rsidRPr="00EA09EB">
        <w:rPr>
          <w:rFonts w:hint="cs"/>
          <w:rtl/>
        </w:rPr>
        <w:sym w:font="Roumouz" w:char="F02D"/>
      </w:r>
      <w:r w:rsidRPr="00EA09EB">
        <w:rPr>
          <w:rFonts w:hint="cs"/>
          <w:rtl/>
        </w:rPr>
        <w:t xml:space="preserve"> </w:t>
      </w:r>
      <w:r w:rsidRPr="00EA09EB">
        <w:rPr>
          <w:rtl/>
        </w:rPr>
        <w:t>ـ</w:t>
      </w:r>
      <w:r w:rsidRPr="00EA09EB">
        <w:rPr>
          <w:rFonts w:hint="cs"/>
          <w:rtl/>
        </w:rPr>
        <w:t xml:space="preserve">. كما تقتضي عصمة شارح هذا القانون </w:t>
      </w:r>
      <w:r w:rsidRPr="00EA09EB">
        <w:rPr>
          <w:rtl/>
        </w:rPr>
        <w:t>ـ</w:t>
      </w:r>
      <w:r w:rsidRPr="00EA09EB">
        <w:rPr>
          <w:rFonts w:hint="cs"/>
          <w:rtl/>
        </w:rPr>
        <w:t xml:space="preserve"> أي الإمام</w:t>
      </w:r>
      <w:r>
        <w:rPr>
          <w:rFonts w:hint="cs"/>
          <w:rtl/>
        </w:rPr>
        <w:t>×</w:t>
      </w:r>
      <w:r w:rsidRPr="00EA09EB">
        <w:rPr>
          <w:rFonts w:hint="cs"/>
          <w:rtl/>
        </w:rPr>
        <w:t xml:space="preserve"> </w:t>
      </w:r>
      <w:r w:rsidRPr="00EA09EB">
        <w:rPr>
          <w:rtl/>
        </w:rPr>
        <w:t>ـ</w:t>
      </w:r>
      <w:r w:rsidRPr="00EA09EB">
        <w:rPr>
          <w:rFonts w:hint="cs"/>
          <w:rtl/>
        </w:rPr>
        <w:t>. والمرجع في رفع الاختلاف، والعامل الأساسيّ في نظم أمور المجتمع، في هذا البرهان هو القانون المعصوم، ومنفِّذه المعصوم. والبشر غير قادرين على وضع مثل هذا القانون. كما أنّهم غير قادرين على معرفة</w:t>
      </w:r>
      <w:r w:rsidR="008B29EF">
        <w:rPr>
          <w:rFonts w:hint="cs"/>
          <w:rtl/>
        </w:rPr>
        <w:t xml:space="preserve"> من يطبّقه</w:t>
      </w:r>
      <w:r w:rsidRPr="00EA09EB">
        <w:rPr>
          <w:rFonts w:hint="cs"/>
          <w:rtl/>
        </w:rPr>
        <w:t xml:space="preserve">. فلو كان بين أيدينا قانون معصومٌ، ولا يشترط في </w:t>
      </w:r>
      <w:r w:rsidR="008B29EF">
        <w:rPr>
          <w:rFonts w:hint="cs"/>
          <w:rtl/>
        </w:rPr>
        <w:t>منفّذه</w:t>
      </w:r>
      <w:r w:rsidRPr="00EA09EB">
        <w:rPr>
          <w:rFonts w:hint="cs"/>
          <w:rtl/>
        </w:rPr>
        <w:t xml:space="preserve"> العصمة، فما هو الذي يضمن لنا أن الاختلاف سوف يرتفع على أساس هذا البرهان؟، هذا </w:t>
      </w:r>
      <w:r w:rsidRPr="007A340E">
        <w:rPr>
          <w:rFonts w:hint="cs"/>
          <w:b/>
          <w:bCs/>
          <w:rtl/>
        </w:rPr>
        <w:t>أوّلاً</w:t>
      </w:r>
      <w:r w:rsidRPr="00EA09EB">
        <w:rPr>
          <w:rFonts w:hint="cs"/>
          <w:rtl/>
        </w:rPr>
        <w:t xml:space="preserve">؛ </w:t>
      </w:r>
      <w:r w:rsidRPr="007A340E">
        <w:rPr>
          <w:rFonts w:hint="cs"/>
          <w:b/>
          <w:bCs/>
          <w:rtl/>
        </w:rPr>
        <w:t>وثانياً</w:t>
      </w:r>
      <w:r w:rsidRPr="00EA09EB">
        <w:rPr>
          <w:rFonts w:hint="cs"/>
          <w:rtl/>
        </w:rPr>
        <w:t xml:space="preserve">: مع عدم اشتراط العصمة في </w:t>
      </w:r>
      <w:r w:rsidR="008B29EF">
        <w:rPr>
          <w:rFonts w:hint="cs"/>
          <w:rtl/>
        </w:rPr>
        <w:t>المنفّذ</w:t>
      </w:r>
      <w:r w:rsidRPr="00EA09EB">
        <w:rPr>
          <w:rFonts w:hint="cs"/>
          <w:rtl/>
        </w:rPr>
        <w:t xml:space="preserve"> يستطيع الإنسان انتخابه وتعيينه، ولا يكون هناك حاجة لتعيينه وتنصيبه من قبل الله؛ </w:t>
      </w:r>
      <w:r w:rsidRPr="007A340E">
        <w:rPr>
          <w:rFonts w:hint="cs"/>
          <w:b/>
          <w:bCs/>
          <w:rtl/>
        </w:rPr>
        <w:t>وثالثاً</w:t>
      </w:r>
      <w:r w:rsidRPr="00EA09EB">
        <w:rPr>
          <w:rFonts w:hint="cs"/>
          <w:rtl/>
        </w:rPr>
        <w:t xml:space="preserve">: حيث إن البرهان العقليّ غير قابل للتخصيص فإذا كانت إدارة المجتمع، ونظم أموره، أمراً ممكناً بدون المجري المعصوم فلن يكون هناك مانع من ذلك في غيره من العصور؛ </w:t>
      </w:r>
      <w:r w:rsidRPr="007A340E">
        <w:rPr>
          <w:rFonts w:hint="cs"/>
          <w:b/>
          <w:bCs/>
          <w:rtl/>
        </w:rPr>
        <w:t>ورابعاً</w:t>
      </w:r>
      <w:r w:rsidRPr="00EA09EB">
        <w:rPr>
          <w:rFonts w:hint="cs"/>
          <w:rtl/>
        </w:rPr>
        <w:t xml:space="preserve">: لو قيل: إنّ العصمة مترتِّبة على سبيل الشرط، أي إذا كان المعصوم حاضراً، ويمكن الرجوع إليه، فلا يكون المجري غير المعصوم؛ وإذا لم يكن موجوداً انتفى شرط العصمة، فإنّه يمكن الإجابة عن ذلك بأنه على هذا الأساس يمكن رفع الاختلاف، ونظم الأمور، من دون العصمة. وهذا يعني أنّ العصمة ليست شرطاً؛ </w:t>
      </w:r>
      <w:r w:rsidRPr="007A340E">
        <w:rPr>
          <w:rFonts w:hint="cs"/>
          <w:b/>
          <w:bCs/>
          <w:rtl/>
        </w:rPr>
        <w:t>وخامساً</w:t>
      </w:r>
      <w:r w:rsidRPr="00EA09EB">
        <w:rPr>
          <w:rFonts w:hint="cs"/>
          <w:rtl/>
        </w:rPr>
        <w:t xml:space="preserve">: إن الأمر هنا لا يخرج عن إحدى حالتين: إذا كانت عصمة </w:t>
      </w:r>
      <w:r w:rsidR="008B29EF">
        <w:rPr>
          <w:rFonts w:hint="cs"/>
          <w:rtl/>
        </w:rPr>
        <w:t>المنفّذ</w:t>
      </w:r>
      <w:r w:rsidRPr="00EA09EB">
        <w:rPr>
          <w:rFonts w:hint="cs"/>
          <w:rtl/>
        </w:rPr>
        <w:t xml:space="preserve"> شرطاً في تطبيق البرهان</w:t>
      </w:r>
      <w:r w:rsidR="008B29EF">
        <w:rPr>
          <w:rFonts w:hint="cs"/>
          <w:rtl/>
        </w:rPr>
        <w:t>،</w:t>
      </w:r>
      <w:r w:rsidRPr="00EA09EB">
        <w:rPr>
          <w:rFonts w:hint="cs"/>
          <w:rtl/>
        </w:rPr>
        <w:t xml:space="preserve"> فهذا يعني بالضرورة أنّ تطبيقه في عصر الغيبة على ولاية الفقيه غير صحيح؛ وإذا لم تكن العصمة شرطاً في إقامة البرهان فعند ذلك لا يمكن لنا إثبات مقام النبوّة والإمامة من خلال هذا البرهان. وبهذه الطريقة فقط يمكن الاستدلال على الزعامة السياسية. وبعبارة أخرى: إذا أثبت هذا البرهان النبوّة والإمامة فلن يكون له دلالة على ولاية الفقيه؛ وإذا أثبت ولاية الفقيه فلن يكون قابلاً لإثبات الإمامة والنبوّة. </w:t>
      </w:r>
    </w:p>
    <w:p w:rsidR="00EA09EB" w:rsidRPr="00EA09EB" w:rsidRDefault="00EA09EB" w:rsidP="00EA09EB">
      <w:pPr>
        <w:rPr>
          <w:rtl/>
        </w:rPr>
      </w:pPr>
      <w:r w:rsidRPr="007A340E">
        <w:rPr>
          <w:rFonts w:hint="cs"/>
          <w:b/>
          <w:bCs/>
          <w:rtl/>
        </w:rPr>
        <w:t>ثالثاً</w:t>
      </w:r>
      <w:r w:rsidRPr="00EA09EB">
        <w:rPr>
          <w:rFonts w:hint="cs"/>
          <w:rtl/>
        </w:rPr>
        <w:t xml:space="preserve">: إذا كان النظم المطلوب لأمور المجتمع ميسَّراً بدون مجرٍ معصومٍ، وبإمكان غير المعصومين إدارة شؤون المجتمع، فنسأل: </w:t>
      </w:r>
      <w:r w:rsidRPr="007A340E">
        <w:rPr>
          <w:rFonts w:hint="cs"/>
          <w:b/>
          <w:bCs/>
          <w:rtl/>
        </w:rPr>
        <w:t>أولاً</w:t>
      </w:r>
      <w:r w:rsidRPr="00EA09EB">
        <w:rPr>
          <w:rFonts w:hint="cs"/>
          <w:rtl/>
        </w:rPr>
        <w:t>: ألا ينطبق هذا الكلام على فترة ما بعد وفاة الرسول</w:t>
      </w:r>
      <w:r w:rsidRPr="00EA09EB">
        <w:rPr>
          <w:rFonts w:hint="cs"/>
          <w:rtl/>
        </w:rPr>
        <w:sym w:font="Roumouz" w:char="F02D"/>
      </w:r>
      <w:r w:rsidRPr="00EA09EB">
        <w:rPr>
          <w:rFonts w:hint="cs"/>
          <w:rtl/>
        </w:rPr>
        <w:t xml:space="preserve">؟ ألا يترتَّب على الإثبات العقليّ لولاية الفقيه في عصر الغيبة نفي شرط العصمة للإمام ـ لتأمين النظم على الأقلّ ـ؟ </w:t>
      </w:r>
      <w:r w:rsidRPr="007A340E">
        <w:rPr>
          <w:rFonts w:hint="cs"/>
          <w:b/>
          <w:bCs/>
          <w:rtl/>
        </w:rPr>
        <w:t>وثانياً</w:t>
      </w:r>
      <w:r w:rsidRPr="00EA09EB">
        <w:rPr>
          <w:rFonts w:hint="cs"/>
          <w:rtl/>
        </w:rPr>
        <w:t>: ألا يؤثِّر هذا الادّعاء على فلسفة غَيْبة الإمام</w:t>
      </w:r>
      <w:r>
        <w:rPr>
          <w:rFonts w:hint="cs"/>
          <w:rtl/>
        </w:rPr>
        <w:t>×</w:t>
      </w:r>
      <w:r w:rsidRPr="00EA09EB">
        <w:rPr>
          <w:rFonts w:hint="cs"/>
          <w:rtl/>
        </w:rPr>
        <w:t xml:space="preserve">؟ وإذا كان النظم المطلوب لأمور المجتمع ورفع الاختلاف بشكل كامل </w:t>
      </w:r>
      <w:r w:rsidRPr="00EA09EB">
        <w:rPr>
          <w:rtl/>
        </w:rPr>
        <w:t>ـ</w:t>
      </w:r>
      <w:r w:rsidRPr="00EA09EB">
        <w:rPr>
          <w:rFonts w:hint="cs"/>
          <w:rtl/>
        </w:rPr>
        <w:t xml:space="preserve"> فضلاً عن الخوف </w:t>
      </w:r>
      <w:r w:rsidRPr="00EA09EB">
        <w:rPr>
          <w:rtl/>
        </w:rPr>
        <w:t>ـ</w:t>
      </w:r>
      <w:r w:rsidRPr="00EA09EB">
        <w:rPr>
          <w:rFonts w:hint="cs"/>
          <w:rtl/>
        </w:rPr>
        <w:t xml:space="preserve"> أمراً ميسَّراً بدون حضور الإمام فما هي الحاجة إلى الإمام الغائب ـ بالنسبة إلى ساحة المجتمع على الأقلّ ـ؟ وما الذي يدعو إلى عدم ظهوره؟ والطريق الوحيد للتخلُّص من هذا الإشكال القول بالتعبُّد في هذا الأمر الاعتقاديّ. إنّ القول بتطبيق هذا البرهان على ولاية الفقيه سوف يؤدّي إلى إعادة النظر في العقائد الأساسيّة للشيعة. إنّ البرهان العقليّ لا يخضع لأهواء القائلين به، بل يجب القبول ـ في حال صحّته ـ بجميع ملازماته العقليّة. والحقّ أن يقال: إن هذا البرهان </w:t>
      </w:r>
      <w:r w:rsidRPr="00EA09EB">
        <w:rPr>
          <w:rtl/>
        </w:rPr>
        <w:t>ـ</w:t>
      </w:r>
      <w:r w:rsidRPr="00EA09EB">
        <w:rPr>
          <w:rFonts w:hint="cs"/>
          <w:rtl/>
        </w:rPr>
        <w:t xml:space="preserve"> على فرض صحّته </w:t>
      </w:r>
      <w:r w:rsidRPr="00EA09EB">
        <w:rPr>
          <w:rtl/>
        </w:rPr>
        <w:t>ـ</w:t>
      </w:r>
      <w:r w:rsidRPr="00EA09EB">
        <w:rPr>
          <w:rFonts w:hint="cs"/>
          <w:rtl/>
        </w:rPr>
        <w:t xml:space="preserve"> غير قابل للتطبيق على غير المعصوم. ولا يمكن لنا أن نستدلّ على نبوّة المعصوم وإمامته، وعلى ولاية الفقيه في عصر الغيبة، ببرهانٍ واحدٍ. وعلى هذا الأساس فإنْ كان هذا البرهان لا يدلّ على أكثر من الزعامة السياسيّة فلن يكون قابلاً لإثبات النبوّة والإمامة؛ وإنْ كانت العصمة شرطاً فيه فلن يكون قابلاً للدلالة على ولاية الفقيه. </w:t>
      </w:r>
    </w:p>
    <w:p w:rsidR="00EA09EB" w:rsidRPr="00EA09EB" w:rsidRDefault="00EA09EB" w:rsidP="007A340E">
      <w:pPr>
        <w:ind w:firstLine="283"/>
        <w:rPr>
          <w:rtl/>
        </w:rPr>
      </w:pPr>
      <w:r w:rsidRPr="007A340E">
        <w:rPr>
          <w:rFonts w:hint="cs"/>
          <w:b/>
          <w:bCs/>
          <w:rtl/>
        </w:rPr>
        <w:t>رابعاً</w:t>
      </w:r>
      <w:r w:rsidRPr="00EA09EB">
        <w:rPr>
          <w:rFonts w:hint="cs"/>
          <w:rtl/>
        </w:rPr>
        <w:t xml:space="preserve">: لو غضضنا النظر عن جميع الإشكالات السابقة، وافترضنا صحّة الصياغة الجديدة لتطبيق البرهان على ولاية الفقيه، فإنّ هذا البرهان لا يثبت سوى أنّ نائب المعصوم هو الحافظ والمجري للقانون الدينيّ، أمّا هويّة نائب المعصوم فهي خارجة عن إطار العقل، ويتكفَّل النقل بتحديدها. وبناءً عليه </w:t>
      </w:r>
      <w:r w:rsidRPr="007A340E">
        <w:rPr>
          <w:rFonts w:hint="cs"/>
          <w:b/>
          <w:bCs/>
          <w:rtl/>
        </w:rPr>
        <w:t>أولاً</w:t>
      </w:r>
      <w:r w:rsidRPr="00EA09EB">
        <w:rPr>
          <w:rFonts w:hint="cs"/>
          <w:rtl/>
        </w:rPr>
        <w:t xml:space="preserve">: في هذه الحالة لا يعود البرهان عقليّاً مستقلاًّ؛ </w:t>
      </w:r>
      <w:r w:rsidRPr="007A340E">
        <w:rPr>
          <w:rFonts w:hint="cs"/>
          <w:b/>
          <w:bCs/>
          <w:rtl/>
        </w:rPr>
        <w:t>وثانياً</w:t>
      </w:r>
      <w:r w:rsidRPr="00EA09EB">
        <w:rPr>
          <w:rFonts w:hint="cs"/>
          <w:rtl/>
        </w:rPr>
        <w:t xml:space="preserve">: لقد تقدّم عدم دلالة الأدلّة النقليّة على الزعامة السياسيّة للفقيه؛ </w:t>
      </w:r>
      <w:r w:rsidRPr="007A340E">
        <w:rPr>
          <w:rFonts w:hint="cs"/>
          <w:b/>
          <w:bCs/>
          <w:rtl/>
        </w:rPr>
        <w:t>وثالثاً</w:t>
      </w:r>
      <w:r w:rsidRPr="00EA09EB">
        <w:rPr>
          <w:rFonts w:hint="cs"/>
          <w:rtl/>
        </w:rPr>
        <w:t>: إنّ نيابة الإمام وتمثيله تحت عنوان الولاية الشرعيّة على الناس خارجة عن إطار العقل. وهذا الدليل عاجز عن إثباتها.</w:t>
      </w:r>
    </w:p>
    <w:p w:rsidR="00EA09EB" w:rsidRPr="00EA09EB" w:rsidRDefault="00EA09EB" w:rsidP="007A340E">
      <w:pPr>
        <w:ind w:firstLine="283"/>
        <w:rPr>
          <w:rtl/>
        </w:rPr>
      </w:pPr>
      <w:r w:rsidRPr="007A340E">
        <w:rPr>
          <w:rFonts w:hint="cs"/>
          <w:b/>
          <w:bCs/>
          <w:rtl/>
        </w:rPr>
        <w:t>الدليل الثاني</w:t>
      </w:r>
      <w:r w:rsidRPr="00EA09EB">
        <w:rPr>
          <w:rFonts w:hint="cs"/>
          <w:rtl/>
        </w:rPr>
        <w:t>: البرهان المبنيّ على قاعدة اللطف.</w:t>
      </w:r>
    </w:p>
    <w:p w:rsidR="00EA09EB" w:rsidRPr="00A32FC0" w:rsidRDefault="00EA09EB" w:rsidP="00EA09EB">
      <w:pPr>
        <w:rPr>
          <w:rtl/>
          <w:lang w:bidi="ar-LB"/>
        </w:rPr>
      </w:pPr>
      <w:r w:rsidRPr="00A32FC0">
        <w:rPr>
          <w:rFonts w:hint="cs"/>
          <w:rtl/>
          <w:lang w:bidi="ar-LB"/>
        </w:rPr>
        <w:t xml:space="preserve">لقد تمسَّك المتكلِّمون بقاعدة اللطف؛ لإثبات النبوّة والإمامة. كما قام بعض الفلاسفة باستبدال (اللطف) بـ (مقتضى الحكمة)؛ لإثبات النبوة والإمامة. </w:t>
      </w:r>
    </w:p>
    <w:p w:rsidR="00EA09EB" w:rsidRPr="00A32FC0" w:rsidRDefault="00EA09EB" w:rsidP="00EA09EB">
      <w:pPr>
        <w:rPr>
          <w:rtl/>
          <w:lang w:bidi="ar-LB"/>
        </w:rPr>
      </w:pPr>
      <w:r w:rsidRPr="00A32FC0">
        <w:rPr>
          <w:rFonts w:hint="cs"/>
          <w:rtl/>
          <w:lang w:bidi="ar-LB"/>
        </w:rPr>
        <w:t>وسوف نستعرض هذا البرهان بعد تفكيك مقدّماته بالشكل التالي:</w:t>
      </w:r>
    </w:p>
    <w:p w:rsidR="00EA09EB" w:rsidRPr="00EA09EB" w:rsidRDefault="00EA09EB" w:rsidP="00CE7A94">
      <w:pPr>
        <w:pStyle w:val="Normal87"/>
        <w:rPr>
          <w:rtl/>
        </w:rPr>
      </w:pPr>
      <w:r w:rsidRPr="007A340E">
        <w:rPr>
          <w:rFonts w:hint="cs"/>
          <w:b/>
          <w:bCs/>
          <w:rtl/>
        </w:rPr>
        <w:t>المقدّمة الأولى</w:t>
      </w:r>
      <w:r w:rsidRPr="00EA09EB">
        <w:rPr>
          <w:rFonts w:hint="cs"/>
          <w:rtl/>
        </w:rPr>
        <w:t>: إنّ كلّ ما يصلح لأن يكون مقرِّباً إلى الطاعة ومبعِّداً عن المعصية، بشرط أن لا يصل إلى حدّ الإجبار والإلجاء، بحيث إنْ لم يكن موجوداً ينتفِ الغرض المرجوّ منه، واجبٌ على الله من باب اللطف (أو مقتضى الحكمة)</w:t>
      </w:r>
      <w:r w:rsidRPr="00064619">
        <w:rPr>
          <w:rFonts w:cs="Taher"/>
          <w:sz w:val="32"/>
          <w:vertAlign w:val="superscript"/>
          <w:rtl/>
        </w:rPr>
        <w:t>(</w:t>
      </w:r>
      <w:r w:rsidRPr="00064619">
        <w:rPr>
          <w:rStyle w:val="FootnoteReference"/>
          <w:rFonts w:cs="Taher"/>
          <w:sz w:val="32"/>
          <w:rtl/>
        </w:rPr>
        <w:footnoteReference w:id="783"/>
      </w:r>
      <w:r w:rsidRPr="00064619">
        <w:rPr>
          <w:rFonts w:cs="Taher"/>
          <w:sz w:val="32"/>
          <w:vertAlign w:val="superscript"/>
          <w:rtl/>
        </w:rPr>
        <w:t>)</w:t>
      </w:r>
      <w:r w:rsidRPr="00EA09EB">
        <w:rPr>
          <w:rFonts w:hint="cs"/>
          <w:rtl/>
        </w:rPr>
        <w:t>.</w:t>
      </w:r>
    </w:p>
    <w:p w:rsidR="00EA09EB" w:rsidRPr="00EA09EB" w:rsidRDefault="00EA09EB" w:rsidP="00CE7A94">
      <w:pPr>
        <w:pStyle w:val="Normal84"/>
        <w:rPr>
          <w:rtl/>
        </w:rPr>
      </w:pPr>
      <w:r w:rsidRPr="007A340E">
        <w:rPr>
          <w:rFonts w:hint="cs"/>
          <w:b/>
          <w:bCs/>
          <w:rtl/>
        </w:rPr>
        <w:t>المقدّمة الثانية</w:t>
      </w:r>
      <w:r w:rsidRPr="00EA09EB">
        <w:rPr>
          <w:rFonts w:hint="cs"/>
          <w:rtl/>
        </w:rPr>
        <w:t>: إنّ بعثة الأنبياء وإرسال الرسل مصداق لقاعدة اللطف</w:t>
      </w:r>
      <w:r w:rsidRPr="00064619">
        <w:rPr>
          <w:rFonts w:cs="Taher"/>
          <w:sz w:val="32"/>
          <w:vertAlign w:val="superscript"/>
          <w:rtl/>
        </w:rPr>
        <w:t>(</w:t>
      </w:r>
      <w:r w:rsidRPr="00064619">
        <w:rPr>
          <w:rStyle w:val="FootnoteReference"/>
          <w:rFonts w:cs="Taher"/>
          <w:sz w:val="32"/>
          <w:rtl/>
        </w:rPr>
        <w:footnoteReference w:id="784"/>
      </w:r>
      <w:r w:rsidRPr="00064619">
        <w:rPr>
          <w:rFonts w:cs="Taher"/>
          <w:sz w:val="32"/>
          <w:vertAlign w:val="superscript"/>
          <w:rtl/>
        </w:rPr>
        <w:t>)</w:t>
      </w:r>
      <w:r w:rsidRPr="00EA09EB">
        <w:rPr>
          <w:rFonts w:hint="cs"/>
          <w:rtl/>
        </w:rPr>
        <w:t>. والإمامة كالنبوّة مصداقٌ آخر للطف</w:t>
      </w:r>
      <w:r w:rsidRPr="00064619">
        <w:rPr>
          <w:rFonts w:cs="Taher"/>
          <w:sz w:val="32"/>
          <w:vertAlign w:val="superscript"/>
          <w:rtl/>
        </w:rPr>
        <w:t>(</w:t>
      </w:r>
      <w:r w:rsidRPr="00064619">
        <w:rPr>
          <w:rStyle w:val="FootnoteReference"/>
          <w:rFonts w:cs="Taher"/>
          <w:sz w:val="32"/>
          <w:rtl/>
        </w:rPr>
        <w:footnoteReference w:id="785"/>
      </w:r>
      <w:r w:rsidRPr="00064619">
        <w:rPr>
          <w:rFonts w:cs="Taher"/>
          <w:sz w:val="32"/>
          <w:vertAlign w:val="superscript"/>
          <w:rtl/>
        </w:rPr>
        <w:t>)</w:t>
      </w:r>
      <w:r w:rsidRPr="00EA09EB">
        <w:rPr>
          <w:rFonts w:hint="cs"/>
          <w:rtl/>
        </w:rPr>
        <w:t>. وقد تمّ التمسُّك بهذا البرهان لإثبات ولاية الفقيه، مع شيءٍ من التوسُّع في المقدّمة الثانية، واعتبرت ولاية الفقيه أحد مصاديق قاعدة اللطف أو الحكمة: «إنّ كلاًّ من الخلق والإيجاد التكويني للفقهاء الواجدين للشرائط في عصر الغيبة...، وكذلك الأمر بالتنصيب التشريعي لهم على أساس هذه التعابير المذكورة، واجبٌ طبقاً لما تقتضيه قاعدة الحكمة الإلهية على مبنى الحكماء، وما تقتضيه قاعدة اللُّطْف على مبنى المتكلِّمين»</w:t>
      </w:r>
      <w:r w:rsidRPr="00064619">
        <w:rPr>
          <w:rFonts w:cs="Taher"/>
          <w:sz w:val="32"/>
          <w:vertAlign w:val="superscript"/>
          <w:rtl/>
        </w:rPr>
        <w:t>(</w:t>
      </w:r>
      <w:r w:rsidRPr="00064619">
        <w:rPr>
          <w:rStyle w:val="FootnoteReference"/>
          <w:rFonts w:cs="Taher"/>
          <w:sz w:val="32"/>
          <w:rtl/>
        </w:rPr>
        <w:footnoteReference w:id="786"/>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يواجه هذا البرهان في إثباته لولاية الفقيه الإشكالات التالية:</w:t>
      </w:r>
    </w:p>
    <w:p w:rsidR="00EA09EB" w:rsidRPr="00EA09EB" w:rsidRDefault="00EA09EB" w:rsidP="007A340E">
      <w:pPr>
        <w:ind w:firstLine="283"/>
        <w:rPr>
          <w:rtl/>
        </w:rPr>
      </w:pPr>
      <w:r w:rsidRPr="007A340E">
        <w:rPr>
          <w:rFonts w:hint="cs"/>
          <w:b/>
          <w:bCs/>
          <w:rtl/>
        </w:rPr>
        <w:t>أولاً</w:t>
      </w:r>
      <w:r w:rsidRPr="00EA09EB">
        <w:rPr>
          <w:rFonts w:hint="cs"/>
          <w:rtl/>
        </w:rPr>
        <w:t>: إنّ قاعدة اللطف ـ استناداً إلى رأي المتكلّمين على الأقلّ ـ غير تامّة</w:t>
      </w:r>
      <w:r w:rsidRPr="00064619">
        <w:rPr>
          <w:rFonts w:cs="Taher"/>
          <w:sz w:val="32"/>
          <w:vertAlign w:val="superscript"/>
          <w:rtl/>
          <w:lang w:bidi="ar-LB"/>
        </w:rPr>
        <w:t>(</w:t>
      </w:r>
      <w:r w:rsidRPr="00064619">
        <w:rPr>
          <w:rStyle w:val="FootnoteReference"/>
          <w:rFonts w:cs="Taher"/>
          <w:sz w:val="32"/>
          <w:rtl/>
          <w:lang w:bidi="ar-LB"/>
        </w:rPr>
        <w:footnoteReference w:id="787"/>
      </w:r>
      <w:r w:rsidRPr="00064619">
        <w:rPr>
          <w:rFonts w:cs="Taher"/>
          <w:sz w:val="32"/>
          <w:vertAlign w:val="superscript"/>
          <w:rtl/>
          <w:lang w:bidi="ar-LB"/>
        </w:rPr>
        <w:t>)</w:t>
      </w:r>
      <w:r w:rsidRPr="00EA09EB">
        <w:rPr>
          <w:rFonts w:hint="cs"/>
          <w:rtl/>
        </w:rPr>
        <w:t>، وخاصّة إذا استندنا إلى قاعدة التحسين والتقبيح العقليّين.</w:t>
      </w:r>
    </w:p>
    <w:p w:rsidR="00EA09EB" w:rsidRPr="00A32FC0" w:rsidRDefault="00EA09EB" w:rsidP="00CE7A94">
      <w:pPr>
        <w:pStyle w:val="Normal84"/>
        <w:rPr>
          <w:rtl/>
        </w:rPr>
      </w:pPr>
      <w:r w:rsidRPr="00A32FC0">
        <w:rPr>
          <w:rFonts w:hint="cs"/>
          <w:b/>
          <w:bCs/>
          <w:rtl/>
        </w:rPr>
        <w:t>ثانياً</w:t>
      </w:r>
      <w:r w:rsidRPr="00EA09EB">
        <w:rPr>
          <w:rFonts w:hint="cs"/>
          <w:rtl/>
        </w:rPr>
        <w:t>: تعدّ ولاية الفقيه من مصاديق الأمر بالمعروف والنهي عن المنكر، وخاصّة إذا طبَّقنا عليها اللطف المقرِّب. وإذا كان بعض الفقهاء يرى أنّ الأمر بالمعروف والنهي عن المنكر من مصاديق اللطف، ويقولون بوجوبه العقليّ، فإنّ جمعاً كبيراً من الفقهاء، كالسيد المرتضى، وابن إدريس، ونصير الدين الطوسي</w:t>
      </w:r>
      <w:r w:rsidRPr="00064619">
        <w:rPr>
          <w:rFonts w:cs="Taher"/>
          <w:vertAlign w:val="superscript"/>
          <w:rtl/>
        </w:rPr>
        <w:t>(</w:t>
      </w:r>
      <w:r w:rsidRPr="00064619">
        <w:rPr>
          <w:rStyle w:val="FootnoteReference"/>
          <w:rFonts w:cs="Taher"/>
          <w:sz w:val="32"/>
          <w:rtl/>
        </w:rPr>
        <w:footnoteReference w:id="788"/>
      </w:r>
      <w:r w:rsidRPr="00064619">
        <w:rPr>
          <w:rFonts w:cs="Taher"/>
          <w:vertAlign w:val="superscript"/>
          <w:rtl/>
        </w:rPr>
        <w:t>)</w:t>
      </w:r>
      <w:r w:rsidRPr="00EA09EB">
        <w:rPr>
          <w:rFonts w:hint="cs"/>
          <w:rtl/>
        </w:rPr>
        <w:t>، والمحقِّق الكركي، وصاحب «الجواهر»، أقاموا الدليل على عدم وجوبه العقليّ</w:t>
      </w:r>
      <w:r w:rsidRPr="00064619">
        <w:rPr>
          <w:rFonts w:cs="Taher"/>
          <w:vertAlign w:val="superscript"/>
          <w:rtl/>
        </w:rPr>
        <w:t>(</w:t>
      </w:r>
      <w:r w:rsidRPr="00064619">
        <w:rPr>
          <w:rStyle w:val="FootnoteReference"/>
          <w:rFonts w:cs="Taher"/>
          <w:sz w:val="32"/>
          <w:rtl/>
        </w:rPr>
        <w:footnoteReference w:id="789"/>
      </w:r>
      <w:r w:rsidRPr="00064619">
        <w:rPr>
          <w:rFonts w:cs="Taher"/>
          <w:vertAlign w:val="superscript"/>
          <w:rtl/>
        </w:rPr>
        <w:t>)</w:t>
      </w:r>
      <w:r w:rsidRPr="00A32FC0">
        <w:rPr>
          <w:rFonts w:hint="cs"/>
          <w:rtl/>
        </w:rPr>
        <w:t>.</w:t>
      </w:r>
    </w:p>
    <w:p w:rsidR="00EA09EB" w:rsidRPr="00EA09EB" w:rsidRDefault="00EA09EB" w:rsidP="00CE7A94">
      <w:pPr>
        <w:pStyle w:val="Normal84"/>
        <w:rPr>
          <w:rtl/>
        </w:rPr>
      </w:pPr>
      <w:r w:rsidRPr="00A32FC0">
        <w:rPr>
          <w:rFonts w:hint="cs"/>
          <w:rtl/>
        </w:rPr>
        <w:t>وعلى فرض التسليم بصحّة قاعدة اللطف فإنّه لا يمكن تطبيقها إلاّ على المصاديق المقطوع بها، كبعثة الأنبياء، وإمامة الأئمّة</w:t>
      </w:r>
      <w:r w:rsidR="007A340E">
        <w:rPr>
          <w:rFonts w:hint="cs"/>
          <w:rtl/>
        </w:rPr>
        <w:t>^</w:t>
      </w:r>
      <w:r w:rsidRPr="00064619">
        <w:rPr>
          <w:rFonts w:cs="Taher"/>
          <w:vertAlign w:val="superscript"/>
          <w:rtl/>
        </w:rPr>
        <w:t>(</w:t>
      </w:r>
      <w:r w:rsidRPr="00064619">
        <w:rPr>
          <w:rStyle w:val="FootnoteReference"/>
          <w:rFonts w:cs="Taher"/>
          <w:sz w:val="32"/>
          <w:rtl/>
        </w:rPr>
        <w:footnoteReference w:id="790"/>
      </w:r>
      <w:r w:rsidRPr="00064619">
        <w:rPr>
          <w:rFonts w:cs="Taher"/>
          <w:vertAlign w:val="superscript"/>
          <w:rtl/>
        </w:rPr>
        <w:t>)</w:t>
      </w:r>
      <w:r w:rsidRPr="00EA09EB">
        <w:rPr>
          <w:rFonts w:hint="cs"/>
          <w:rtl/>
        </w:rPr>
        <w:t>. والأمر بالمعروف والنهي عن المنكر من مصاديق قاعدة اللطف المشكوكة والمختلف فيها. وإذا كان الأمر كذلك فإنّ ولاية الفقيه على الناس ـ التي هي من مصاديق الأمر بالمعروف والنهي عن المنكر ـ سوف تكون بشكلٍ أَوْلى من مصاديق هذه القاعدة المشكوكة والمختلف فيها.</w:t>
      </w:r>
    </w:p>
    <w:p w:rsidR="00EA09EB" w:rsidRPr="00EA09EB" w:rsidRDefault="00EA09EB" w:rsidP="00CE7A94">
      <w:pPr>
        <w:pStyle w:val="Normal84"/>
        <w:rPr>
          <w:rtl/>
        </w:rPr>
      </w:pPr>
      <w:r w:rsidRPr="007A340E">
        <w:rPr>
          <w:rFonts w:hint="cs"/>
          <w:b/>
          <w:bCs/>
          <w:rtl/>
        </w:rPr>
        <w:t>ثالثاً</w:t>
      </w:r>
      <w:r w:rsidRPr="00EA09EB">
        <w:rPr>
          <w:rFonts w:hint="cs"/>
          <w:rtl/>
        </w:rPr>
        <w:t>: لا يمكن تطبيق قاعدة اللطف، أو مقتضى الحكمة، إلاّ في الموارد المنحصرة بفرد واحد. وبعبارة أدقّ: بانتفائها ينتفي الغرض. إنّ إثبات ولاية الفقيه عن طريق هذا البرهان العقليّ لا يتمّ سوى في الوقت الذي لا يمكن تنظيم حياة الناس على أساس الدين إلاّ عن طريق الولاية التعيينيّة للفقيه على الناس. وبعبارة أخرى: إنّ صحّة المقدّمة الأولى وصحّة تطبيق قاعدة اللطف على هذه المسألة لا تتمّان إلاّ في حال كانت ولاية الفقيه هي الطريق الوحيد لتطبيق الدين في المجتمع، وإقامة حكومة دينيّة. وأمّا إذا كان هناك طريق آخر لنظم أمور الناس، وإرساء الدين في المجتمع، انتفت دلالة هذا البرهان على مسألة ولاية الفقيه. فعلى سبيل المثال: إنّه يمكن إقامة حكومة دينيّة بانتخاب الناس للفقيه (وكالة الفقيه، أو الولاية الانتخابيّة المقيَّدة للفقيه). كما يمكن انتخاب شخص متديِّن خبير، تحت إشراف الفقيه</w:t>
      </w:r>
      <w:r w:rsidRPr="00064619">
        <w:rPr>
          <w:rFonts w:cs="Taher"/>
          <w:sz w:val="32"/>
          <w:vertAlign w:val="superscript"/>
          <w:rtl/>
        </w:rPr>
        <w:t>(</w:t>
      </w:r>
      <w:r w:rsidRPr="00064619">
        <w:rPr>
          <w:rStyle w:val="FootnoteReference"/>
          <w:rFonts w:cs="Taher"/>
          <w:sz w:val="32"/>
          <w:rtl/>
        </w:rPr>
        <w:footnoteReference w:id="791"/>
      </w:r>
      <w:r w:rsidRPr="00064619">
        <w:rPr>
          <w:rFonts w:cs="Taher"/>
          <w:sz w:val="32"/>
          <w:vertAlign w:val="superscript"/>
          <w:rtl/>
        </w:rPr>
        <w:t>)</w:t>
      </w:r>
      <w:r w:rsidRPr="00EA09EB">
        <w:rPr>
          <w:rFonts w:hint="cs"/>
          <w:rtl/>
        </w:rPr>
        <w:t>.</w:t>
      </w:r>
    </w:p>
    <w:p w:rsidR="00EA09EB" w:rsidRPr="007A340E" w:rsidRDefault="00EA09EB" w:rsidP="007A340E">
      <w:pPr>
        <w:rPr>
          <w:b/>
          <w:bCs/>
          <w:rtl/>
        </w:rPr>
      </w:pPr>
      <w:r w:rsidRPr="007A340E">
        <w:rPr>
          <w:rFonts w:hint="cs"/>
          <w:b/>
          <w:bCs/>
          <w:rtl/>
        </w:rPr>
        <w:t xml:space="preserve">الدليل الثالث </w:t>
      </w:r>
    </w:p>
    <w:p w:rsidR="00EA09EB" w:rsidRPr="00A32FC0" w:rsidRDefault="00EA09EB" w:rsidP="00EA09EB">
      <w:pPr>
        <w:rPr>
          <w:rtl/>
          <w:lang w:bidi="ar-LB"/>
        </w:rPr>
      </w:pPr>
      <w:r w:rsidRPr="00A32FC0">
        <w:rPr>
          <w:rFonts w:hint="cs"/>
          <w:rtl/>
          <w:lang w:bidi="ar-LB"/>
        </w:rPr>
        <w:t>من البراهين التي أقيمت على ضرورة النبوة البرهانُ العقليّ التالي:</w:t>
      </w:r>
    </w:p>
    <w:p w:rsidR="00EA09EB" w:rsidRPr="00EA09EB" w:rsidRDefault="00EA09EB" w:rsidP="007A340E">
      <w:pPr>
        <w:ind w:firstLine="283"/>
        <w:rPr>
          <w:rtl/>
        </w:rPr>
      </w:pPr>
      <w:r w:rsidRPr="007A340E">
        <w:rPr>
          <w:rFonts w:hint="cs"/>
          <w:b/>
          <w:bCs/>
          <w:rtl/>
        </w:rPr>
        <w:t>المقدّمة الأولى</w:t>
      </w:r>
      <w:r w:rsidRPr="00EA09EB">
        <w:rPr>
          <w:rFonts w:hint="cs"/>
          <w:rtl/>
        </w:rPr>
        <w:t>: إنّ الهدف من خلق الإنسان هو تكامله الاختياريّ.</w:t>
      </w:r>
    </w:p>
    <w:p w:rsidR="00EA09EB" w:rsidRPr="00EA09EB" w:rsidRDefault="00EA09EB" w:rsidP="007A340E">
      <w:pPr>
        <w:ind w:firstLine="283"/>
        <w:rPr>
          <w:rtl/>
        </w:rPr>
      </w:pPr>
      <w:r w:rsidRPr="007A340E">
        <w:rPr>
          <w:rFonts w:hint="cs"/>
          <w:b/>
          <w:bCs/>
          <w:rtl/>
        </w:rPr>
        <w:t>المقدّمة الثانية</w:t>
      </w:r>
      <w:r w:rsidRPr="00EA09EB">
        <w:rPr>
          <w:rFonts w:hint="cs"/>
          <w:rtl/>
        </w:rPr>
        <w:t>: لا يمكن أن يتكامل الإنسان إلاّ عن طريق أفعاله الاختياريّة، واختياريّة أفعاله منوطة بالمعرفة.</w:t>
      </w:r>
    </w:p>
    <w:p w:rsidR="00EA09EB" w:rsidRPr="00EA09EB" w:rsidRDefault="00EA09EB" w:rsidP="007A340E">
      <w:pPr>
        <w:ind w:firstLine="283"/>
        <w:rPr>
          <w:rtl/>
        </w:rPr>
      </w:pPr>
      <w:r w:rsidRPr="007A340E">
        <w:rPr>
          <w:rFonts w:hint="cs"/>
          <w:b/>
          <w:bCs/>
          <w:rtl/>
        </w:rPr>
        <w:t>المقدّمة الثالثة</w:t>
      </w:r>
      <w:r w:rsidRPr="00EA09EB">
        <w:rPr>
          <w:rFonts w:hint="cs"/>
          <w:rtl/>
        </w:rPr>
        <w:t>: إنّ معارف الإنسان التي يحصِّلُها عن طريق العقل والحسّ لا تكفي لمعرفة طريق الكمال والسعادة؛ لأن طريق التجربة مسدودٌ في هذا المجال.</w:t>
      </w:r>
    </w:p>
    <w:p w:rsidR="00EA09EB" w:rsidRPr="00EA09EB" w:rsidRDefault="00EA09EB" w:rsidP="007A340E">
      <w:pPr>
        <w:ind w:firstLine="283"/>
        <w:rPr>
          <w:rtl/>
        </w:rPr>
      </w:pPr>
      <w:r w:rsidRPr="007A340E">
        <w:rPr>
          <w:rFonts w:hint="cs"/>
          <w:b/>
          <w:bCs/>
          <w:rtl/>
        </w:rPr>
        <w:t>المقدّمة الرابعة</w:t>
      </w:r>
      <w:r w:rsidRPr="00EA09EB">
        <w:rPr>
          <w:rFonts w:hint="cs"/>
          <w:rtl/>
        </w:rPr>
        <w:t>: لتحقيق الغرض من الخلق تقتضي الحكمة الإلهيّة وجود طريق آخر غير الحسّ والعقل للإنسان، حتّى يتمكَّن من اختيار الطريق الصحيح لكماله، وهذا الطريق هو الوحي والنبوّة</w:t>
      </w:r>
      <w:r w:rsidRPr="00064619">
        <w:rPr>
          <w:rFonts w:cs="Taher"/>
          <w:sz w:val="32"/>
          <w:vertAlign w:val="superscript"/>
          <w:rtl/>
          <w:lang w:bidi="ar-LB"/>
        </w:rPr>
        <w:t>(</w:t>
      </w:r>
      <w:r w:rsidRPr="00064619">
        <w:rPr>
          <w:rStyle w:val="FootnoteReference"/>
          <w:rFonts w:cs="Taher"/>
          <w:sz w:val="32"/>
          <w:rtl/>
          <w:lang w:bidi="ar-LB"/>
        </w:rPr>
        <w:footnoteReference w:id="792"/>
      </w:r>
      <w:r w:rsidRPr="00064619">
        <w:rPr>
          <w:rFonts w:cs="Taher"/>
          <w:sz w:val="32"/>
          <w:vertAlign w:val="superscript"/>
          <w:rtl/>
          <w:lang w:bidi="ar-LB"/>
        </w:rPr>
        <w:t>)</w:t>
      </w:r>
      <w:r w:rsidRPr="00EA09EB">
        <w:rPr>
          <w:rFonts w:hint="cs"/>
          <w:rtl/>
        </w:rPr>
        <w:t>.</w:t>
      </w:r>
    </w:p>
    <w:p w:rsidR="00EA09EB" w:rsidRPr="00A32FC0" w:rsidRDefault="00EA09EB" w:rsidP="00EA09EB">
      <w:pPr>
        <w:rPr>
          <w:rtl/>
          <w:lang w:bidi="ar-LB"/>
        </w:rPr>
      </w:pPr>
      <w:r w:rsidRPr="00A32FC0">
        <w:rPr>
          <w:rFonts w:hint="cs"/>
          <w:rtl/>
          <w:lang w:bidi="ar-LB"/>
        </w:rPr>
        <w:t>وعلى الرغم من أنّ هذا البرهان يشترك مع بعض مقدّمات البرهانين السابقين، إلاّ أنّ الإشكالات الواردة هناك لا ترِدُ هنا.</w:t>
      </w:r>
    </w:p>
    <w:p w:rsidR="00EA09EB" w:rsidRPr="00A32FC0" w:rsidRDefault="00EA09EB" w:rsidP="00EA09EB">
      <w:pPr>
        <w:rPr>
          <w:rtl/>
          <w:lang w:bidi="ar-LB"/>
        </w:rPr>
      </w:pPr>
      <w:r w:rsidRPr="00A32FC0">
        <w:rPr>
          <w:rFonts w:hint="cs"/>
          <w:rtl/>
          <w:lang w:bidi="ar-LB"/>
        </w:rPr>
        <w:t>ومن الواضح أنّ هذا البرهان، الذي يعتبر من أقوى البراهين على النبوّة، غير قابل للتطبيق على ولاية الفقيه على الناس. كما أنه لم يدّعِ أحد ذلك.</w:t>
      </w:r>
    </w:p>
    <w:p w:rsidR="00EA09EB" w:rsidRPr="00A32FC0" w:rsidRDefault="00EA09EB" w:rsidP="00EA09EB">
      <w:pPr>
        <w:rPr>
          <w:rtl/>
          <w:lang w:bidi="ar-LB"/>
        </w:rPr>
      </w:pPr>
      <w:r w:rsidRPr="00A32FC0">
        <w:rPr>
          <w:rFonts w:hint="cs"/>
          <w:rtl/>
          <w:lang w:bidi="ar-LB"/>
        </w:rPr>
        <w:t>وأمّا من جملة البراهين العقليّة على الإمامة فإنّنا نشير إلى البرهان التالي:</w:t>
      </w:r>
    </w:p>
    <w:p w:rsidR="00EA09EB" w:rsidRPr="00EA09EB" w:rsidRDefault="00EA09EB" w:rsidP="007A340E">
      <w:pPr>
        <w:ind w:firstLine="283"/>
        <w:rPr>
          <w:rtl/>
        </w:rPr>
      </w:pPr>
      <w:r w:rsidRPr="007A340E">
        <w:rPr>
          <w:rFonts w:hint="cs"/>
          <w:b/>
          <w:bCs/>
          <w:rtl/>
        </w:rPr>
        <w:t>المقدّمة الأولى</w:t>
      </w:r>
      <w:r w:rsidRPr="00EA09EB">
        <w:rPr>
          <w:rFonts w:hint="cs"/>
          <w:rtl/>
        </w:rPr>
        <w:t>: وهي ضرورة النبوّة. حتى لا ينتفي الغرض من خلق الإنسان أوجد الله طريقاً آخر، وهو الوحي، لكي يتمكَّن الإنسان عن طريقه من الحصول على السعادة الدنيويّة والأخرويّة، والوصول إلى الكمال باختياره.</w:t>
      </w:r>
    </w:p>
    <w:p w:rsidR="00EA09EB" w:rsidRPr="00EA09EB" w:rsidRDefault="00EA09EB" w:rsidP="007A340E">
      <w:pPr>
        <w:ind w:firstLine="283"/>
        <w:rPr>
          <w:rtl/>
        </w:rPr>
      </w:pPr>
      <w:r w:rsidRPr="007A340E">
        <w:rPr>
          <w:rFonts w:hint="cs"/>
          <w:b/>
          <w:bCs/>
          <w:rtl/>
        </w:rPr>
        <w:t>المقدّمة الثانية</w:t>
      </w:r>
      <w:r w:rsidRPr="00EA09EB">
        <w:rPr>
          <w:rFonts w:hint="cs"/>
          <w:rtl/>
        </w:rPr>
        <w:t>: الحكمة من ختم النبوة. إذا كان الدين الخاتم ديناً صالحاً لتأمين حاجات جميع الناس إلى يوم القيامة ـ أي إذا كان خالداً، ولعامّة البشر ـ فلن يحكم العقل بضرورة بعث نبيّ جديد. والإسلام من هذا القبيل، أي إنّه خاتم الديانات، والديانة النهائية لجميع البشر. لذلك لن يكون عرضةً للتحريف والتغيير.</w:t>
      </w:r>
    </w:p>
    <w:p w:rsidR="00EA09EB" w:rsidRPr="00EA09EB" w:rsidRDefault="00EA09EB" w:rsidP="007A340E">
      <w:pPr>
        <w:ind w:firstLine="283"/>
        <w:rPr>
          <w:rtl/>
        </w:rPr>
      </w:pPr>
      <w:r w:rsidRPr="007A340E">
        <w:rPr>
          <w:rFonts w:hint="cs"/>
          <w:b/>
          <w:bCs/>
          <w:rtl/>
        </w:rPr>
        <w:t>المقدّمة الثالثة</w:t>
      </w:r>
      <w:r w:rsidRPr="00EA09EB">
        <w:rPr>
          <w:rFonts w:hint="cs"/>
          <w:rtl/>
        </w:rPr>
        <w:t xml:space="preserve">: على الرغم من أنّ القرآن </w:t>
      </w:r>
      <w:r w:rsidRPr="00EA09EB">
        <w:rPr>
          <w:rtl/>
        </w:rPr>
        <w:t>ـ</w:t>
      </w:r>
      <w:r w:rsidRPr="00EA09EB">
        <w:rPr>
          <w:rFonts w:hint="cs"/>
          <w:rtl/>
        </w:rPr>
        <w:t xml:space="preserve"> المعجزة الخالدة لخاتم الأنبياء</w:t>
      </w:r>
      <w:r w:rsidRPr="00EA09EB">
        <w:rPr>
          <w:rFonts w:hint="cs"/>
          <w:rtl/>
        </w:rPr>
        <w:sym w:font="Roumouz" w:char="F02D"/>
      </w:r>
      <w:r w:rsidRPr="00EA09EB">
        <w:rPr>
          <w:rFonts w:hint="cs"/>
          <w:rtl/>
        </w:rPr>
        <w:t xml:space="preserve"> </w:t>
      </w:r>
      <w:r w:rsidRPr="00EA09EB">
        <w:rPr>
          <w:rtl/>
        </w:rPr>
        <w:t>ـ</w:t>
      </w:r>
      <w:r w:rsidRPr="00EA09EB">
        <w:rPr>
          <w:rFonts w:hint="cs"/>
          <w:rtl/>
        </w:rPr>
        <w:t xml:space="preserve"> محفوظٌ من التحريف، ويشتمل على جميع الحقائق الضروريّة لهداية البشر، إلاّ أنّ الحكمة الإلهيّة اقتضت أن تكون هذه الحقائق القرآنيّة مبيّنة بشكلٍ كلّيٍّ وإجماليّ. وقد كان تعليم الأحكام والكتاب وظيفة النبيّ، إلاّ أنّ تعاليم النبيّ حول الكتاب والأحكام كانت عرضةً للتحريف. كما أنّه</w:t>
      </w:r>
      <w:r w:rsidRPr="00EA09EB">
        <w:rPr>
          <w:rFonts w:hint="cs"/>
          <w:rtl/>
        </w:rPr>
        <w:sym w:font="Roumouz" w:char="F02D"/>
      </w:r>
      <w:r w:rsidRPr="00EA09EB">
        <w:rPr>
          <w:rFonts w:hint="cs"/>
          <w:rtl/>
        </w:rPr>
        <w:t xml:space="preserve"> لم يُفَصِّل ويبيِّن جميع الأحكام التي يحتاجها الناس.</w:t>
      </w:r>
    </w:p>
    <w:p w:rsidR="00EA09EB" w:rsidRPr="00EA09EB" w:rsidRDefault="00EA09EB" w:rsidP="007A340E">
      <w:pPr>
        <w:ind w:firstLine="283"/>
        <w:rPr>
          <w:rtl/>
        </w:rPr>
      </w:pPr>
      <w:r w:rsidRPr="007A340E">
        <w:rPr>
          <w:rFonts w:hint="cs"/>
          <w:b/>
          <w:bCs/>
          <w:rtl/>
        </w:rPr>
        <w:t>المقدّمة الرابعة</w:t>
      </w:r>
      <w:r w:rsidRPr="00EA09EB">
        <w:rPr>
          <w:rFonts w:hint="cs"/>
          <w:rtl/>
        </w:rPr>
        <w:t>: لو لم يعيِّن الله خليفةً للنبيّ</w:t>
      </w:r>
      <w:r w:rsidRPr="00EA09EB">
        <w:rPr>
          <w:rFonts w:hint="cs"/>
          <w:rtl/>
        </w:rPr>
        <w:sym w:font="Roumouz" w:char="F02D"/>
      </w:r>
      <w:r w:rsidRPr="00EA09EB">
        <w:rPr>
          <w:rFonts w:hint="cs"/>
          <w:rtl/>
        </w:rPr>
        <w:t>؛ لتبيين وتفصيل الوحي، لأدّى ذلك إلى نقض الغرض من بعثة النبيّ</w:t>
      </w:r>
      <w:r w:rsidRPr="00EA09EB">
        <w:rPr>
          <w:rFonts w:hint="cs"/>
          <w:rtl/>
        </w:rPr>
        <w:sym w:font="Roumouz" w:char="F02D"/>
      </w:r>
      <w:r w:rsidRPr="00EA09EB">
        <w:rPr>
          <w:rFonts w:hint="cs"/>
          <w:rtl/>
        </w:rPr>
        <w:t>. فالإمامة هي المسوِّغ لختم النبوة.</w:t>
      </w:r>
    </w:p>
    <w:p w:rsidR="00EA09EB" w:rsidRPr="00EA09EB" w:rsidRDefault="00EA09EB" w:rsidP="007A340E">
      <w:pPr>
        <w:ind w:firstLine="283"/>
        <w:rPr>
          <w:rtl/>
        </w:rPr>
      </w:pPr>
      <w:r w:rsidRPr="007A340E">
        <w:rPr>
          <w:rFonts w:hint="cs"/>
          <w:b/>
          <w:bCs/>
          <w:rtl/>
        </w:rPr>
        <w:t>المقدّمة الخامسة</w:t>
      </w:r>
      <w:r w:rsidRPr="00EA09EB">
        <w:rPr>
          <w:rFonts w:hint="cs"/>
          <w:rtl/>
        </w:rPr>
        <w:t>: إذا كان علم المبيِّن والشارح للوحي بعد النبيّ</w:t>
      </w:r>
      <w:r w:rsidRPr="00EA09EB">
        <w:rPr>
          <w:rFonts w:hint="cs"/>
          <w:rtl/>
        </w:rPr>
        <w:sym w:font="Roumouz" w:char="F02D"/>
      </w:r>
      <w:r w:rsidRPr="00EA09EB">
        <w:rPr>
          <w:rFonts w:hint="cs"/>
          <w:rtl/>
        </w:rPr>
        <w:t xml:space="preserve"> علماً عاديّاً فسوف يؤدّي ذلك إلى خطئه، وبالتالي لن يكون بيانه وشرحه حجّة. فلذلك يجب أن يكون معصوماً عن الخطأ، كالنبيّ</w:t>
      </w:r>
      <w:r w:rsidRPr="00EA09EB">
        <w:rPr>
          <w:rFonts w:hint="cs"/>
          <w:rtl/>
        </w:rPr>
        <w:sym w:font="Roumouz" w:char="F02D"/>
      </w:r>
      <w:r w:rsidRPr="00EA09EB">
        <w:rPr>
          <w:rFonts w:hint="cs"/>
          <w:rtl/>
        </w:rPr>
        <w:t>، وعالماً بالعلم اللَّدُني.</w:t>
      </w:r>
    </w:p>
    <w:p w:rsidR="00EA09EB" w:rsidRPr="00A32FC0" w:rsidRDefault="00EA09EB" w:rsidP="00EA09EB">
      <w:pPr>
        <w:rPr>
          <w:rtl/>
          <w:lang w:bidi="ar-LB"/>
        </w:rPr>
      </w:pPr>
      <w:r w:rsidRPr="00A32FC0">
        <w:rPr>
          <w:rFonts w:hint="cs"/>
          <w:b/>
          <w:bCs/>
          <w:rtl/>
          <w:lang w:bidi="ar-LB"/>
        </w:rPr>
        <w:t>المقدّمة السادسة</w:t>
      </w:r>
      <w:r w:rsidRPr="00EA09EB">
        <w:rPr>
          <w:rFonts w:hint="cs"/>
          <w:rtl/>
        </w:rPr>
        <w:t>: حيث إنّ البرهان العقليّ لا يستطيع أن يحدِّد الأشخاص خارجاً، ممّا يؤدّي إلى أن تبقى نتيجة البرهان كلّيّة، لا جزئيّة، ولا شخصيّة، كان لابدّ من تعيين أشخاص الأئمّة وعددهم عن طريق النقل القطعيّ</w:t>
      </w:r>
      <w:r w:rsidRPr="00064619">
        <w:rPr>
          <w:rFonts w:cs="Taher"/>
          <w:vertAlign w:val="superscript"/>
          <w:rtl/>
          <w:lang w:bidi="ar-LB"/>
        </w:rPr>
        <w:t>(</w:t>
      </w:r>
      <w:r w:rsidRPr="00064619">
        <w:rPr>
          <w:rStyle w:val="FootnoteReference"/>
          <w:rFonts w:cs="Taher"/>
          <w:sz w:val="32"/>
          <w:rtl/>
          <w:lang w:bidi="ar-LB"/>
        </w:rPr>
        <w:footnoteReference w:id="793"/>
      </w:r>
      <w:r w:rsidRPr="00064619">
        <w:rPr>
          <w:rFonts w:cs="Taher"/>
          <w:vertAlign w:val="superscript"/>
          <w:rtl/>
          <w:lang w:bidi="ar-LB"/>
        </w:rPr>
        <w:t>)</w:t>
      </w:r>
      <w:r w:rsidRPr="00A32FC0">
        <w:rPr>
          <w:rFonts w:hint="cs"/>
          <w:rtl/>
          <w:lang w:bidi="ar-LB"/>
        </w:rPr>
        <w:t>.</w:t>
      </w:r>
    </w:p>
    <w:p w:rsidR="00EA09EB" w:rsidRPr="00EA09EB" w:rsidRDefault="00EA09EB" w:rsidP="00EA09EB">
      <w:pPr>
        <w:rPr>
          <w:rtl/>
        </w:rPr>
      </w:pPr>
      <w:r w:rsidRPr="00A32FC0">
        <w:rPr>
          <w:rFonts w:hint="cs"/>
          <w:rtl/>
          <w:lang w:bidi="ar-LB"/>
        </w:rPr>
        <w:t xml:space="preserve">إن هذا البرهان يعدّ من أكمل البراهين المذكورة في الكتب الكلاميّة، وبعيداً عن الإشكالات التي تتناولها. ومحور هذا البرهان هو الإمامة بمعناها الواسع، أي خلافة النبيّ بجميع صلاحيّاته، </w:t>
      </w:r>
      <w:r w:rsidRPr="00566051">
        <w:rPr>
          <w:rFonts w:hint="cs"/>
          <w:rtl/>
          <w:lang w:bidi="ar-LB"/>
        </w:rPr>
        <w:t>باستثناء النبوّة، وحاجة المجتمع الدائمة للإمام القادر على تفصيل الوحي وتفسيره عن عصمةٍ. ومن الواضح</w:t>
      </w:r>
      <w:r w:rsidRPr="00A32FC0">
        <w:rPr>
          <w:rFonts w:hint="cs"/>
          <w:rtl/>
          <w:lang w:bidi="ar-LB"/>
        </w:rPr>
        <w:t xml:space="preserve"> أنّ هذا البرهان غير قابل ـ بأيّ شكل من الأشكال ـ للتطبيق على ولاية الفقيه. كما أنه لم يدَّعِ أحدٌ ذلك. ولذلك فإنّ ادّعاء أنّ </w:t>
      </w:r>
      <w:r w:rsidRPr="00A32FC0">
        <w:rPr>
          <w:rFonts w:hint="cs"/>
          <w:rtl/>
        </w:rPr>
        <w:t>«</w:t>
      </w:r>
      <w:r w:rsidRPr="00A32FC0">
        <w:rPr>
          <w:rFonts w:hint="cs"/>
          <w:rtl/>
          <w:lang w:bidi="ar-LB"/>
        </w:rPr>
        <w:t>جميع براهين الإمامة صالحة لإثبات النيابة العامّة في عصر الغيبة</w:t>
      </w:r>
      <w:r w:rsidRPr="00A32FC0">
        <w:rPr>
          <w:rFonts w:hint="cs"/>
          <w:rtl/>
        </w:rPr>
        <w:t>»</w:t>
      </w:r>
      <w:r w:rsidRPr="00064619">
        <w:rPr>
          <w:rFonts w:cs="Taher"/>
          <w:vertAlign w:val="superscript"/>
          <w:rtl/>
        </w:rPr>
        <w:t>(</w:t>
      </w:r>
      <w:r w:rsidRPr="00064619">
        <w:rPr>
          <w:rStyle w:val="FootnoteReference"/>
          <w:rFonts w:cs="Taher"/>
          <w:sz w:val="32"/>
          <w:rtl/>
        </w:rPr>
        <w:footnoteReference w:id="794"/>
      </w:r>
      <w:r w:rsidRPr="00064619">
        <w:rPr>
          <w:rFonts w:cs="Taher"/>
          <w:vertAlign w:val="superscript"/>
          <w:rtl/>
        </w:rPr>
        <w:t>)</w:t>
      </w:r>
      <w:r w:rsidRPr="00EA09EB">
        <w:rPr>
          <w:rFonts w:hint="cs"/>
          <w:rtl/>
        </w:rPr>
        <w:t xml:space="preserve"> غيرُ صحيح.</w:t>
      </w:r>
    </w:p>
    <w:p w:rsidR="00EA09EB" w:rsidRPr="00A32FC0" w:rsidRDefault="00EA09EB" w:rsidP="00EA09EB">
      <w:pPr>
        <w:rPr>
          <w:rtl/>
          <w:lang w:bidi="ar-LB"/>
        </w:rPr>
      </w:pPr>
      <w:r w:rsidRPr="00A32FC0">
        <w:rPr>
          <w:rFonts w:hint="cs"/>
          <w:rtl/>
          <w:lang w:bidi="ar-LB"/>
        </w:rPr>
        <w:t xml:space="preserve">إنّ الغاية الأساسيّة من الحاجة إلى الإمام لا تقتصر على نظم أمور المجتمع، حتّى يمكن التمسُّك بالبرهان الأول. وولاية الفقيه على الناس لا تعدّ الطريق الوحيد للحكومة الإسلامية، حتّى يمكن التمسُّك بالبرهان الثاني، وتطبيق قاعدة اللطف أو مقتضى الحكمة عليها، بل علينا الالتفات </w:t>
      </w:r>
      <w:r w:rsidRPr="00A32FC0">
        <w:rPr>
          <w:rtl/>
          <w:lang w:bidi="ar-LB"/>
        </w:rPr>
        <w:t>ـ</w:t>
      </w:r>
      <w:r w:rsidRPr="00A32FC0">
        <w:rPr>
          <w:rFonts w:hint="cs"/>
          <w:rtl/>
          <w:lang w:bidi="ar-LB"/>
        </w:rPr>
        <w:t xml:space="preserve"> كما مرّ في البرهان الثالث على ضرورة النبوّة والإمامة </w:t>
      </w:r>
      <w:r w:rsidRPr="00A32FC0">
        <w:rPr>
          <w:rtl/>
          <w:lang w:bidi="ar-LB"/>
        </w:rPr>
        <w:t>ـ</w:t>
      </w:r>
      <w:r w:rsidRPr="00A32FC0">
        <w:rPr>
          <w:rFonts w:hint="cs"/>
          <w:rtl/>
          <w:lang w:bidi="ar-LB"/>
        </w:rPr>
        <w:t xml:space="preserve"> إلى المحور الأساسيّ للحاجة إلى النبيّ</w:t>
      </w:r>
      <w:r w:rsidRPr="00A32FC0">
        <w:rPr>
          <w:rFonts w:hint="cs"/>
          <w:rtl/>
        </w:rPr>
        <w:sym w:font="Roumouz" w:char="F02D"/>
      </w:r>
      <w:r w:rsidRPr="00A32FC0">
        <w:rPr>
          <w:rFonts w:hint="cs"/>
          <w:rtl/>
          <w:lang w:bidi="ar-LB"/>
        </w:rPr>
        <w:t xml:space="preserve"> والإمام</w:t>
      </w:r>
      <w:r>
        <w:rPr>
          <w:rFonts w:hint="cs"/>
          <w:rtl/>
        </w:rPr>
        <w:t>×</w:t>
      </w:r>
      <w:r w:rsidRPr="00A32FC0">
        <w:rPr>
          <w:rFonts w:hint="cs"/>
          <w:rtl/>
          <w:lang w:bidi="ar-LB"/>
        </w:rPr>
        <w:t xml:space="preserve">، وأن لا يغيب عنّا ضرورة العصمة، وعلم الغيب لإنجاز وظيفتَيْ النبوّة والإمامة الإلهيّتين. وليس علينا أن نتنازل عن عقائدنا الأساسيّة لحلّ مشاكلنا في عصر الغيبة </w:t>
      </w:r>
      <w:r w:rsidRPr="00A32FC0">
        <w:rPr>
          <w:rtl/>
          <w:lang w:bidi="ar-LB"/>
        </w:rPr>
        <w:t>ـ</w:t>
      </w:r>
      <w:r w:rsidRPr="00A32FC0">
        <w:rPr>
          <w:rFonts w:hint="cs"/>
          <w:rtl/>
          <w:lang w:bidi="ar-LB"/>
        </w:rPr>
        <w:t xml:space="preserve"> التي يمكن إيجاد حلول بديلة لها </w:t>
      </w:r>
      <w:r w:rsidRPr="00A32FC0">
        <w:rPr>
          <w:rtl/>
          <w:lang w:bidi="ar-LB"/>
        </w:rPr>
        <w:t>ـ</w:t>
      </w:r>
      <w:r w:rsidRPr="00A32FC0">
        <w:rPr>
          <w:rFonts w:hint="cs"/>
          <w:rtl/>
          <w:lang w:bidi="ar-LB"/>
        </w:rPr>
        <w:t xml:space="preserve">. كما أنّه لا يجوز أن نتنازل عن اعتبار العصمة وعلم الغيب للإمام لأجل إثبات نيابة الفقيه. </w:t>
      </w:r>
    </w:p>
    <w:p w:rsidR="007A340E" w:rsidRDefault="00EA09EB" w:rsidP="007A340E">
      <w:pPr>
        <w:rPr>
          <w:rtl/>
        </w:rPr>
      </w:pPr>
      <w:r w:rsidRPr="00A32FC0">
        <w:rPr>
          <w:rFonts w:hint="cs"/>
          <w:rtl/>
          <w:lang w:bidi="ar-LB"/>
        </w:rPr>
        <w:t>والنتيجة أنّه ليس هناك دليلٌ عقليٌّ مستقلٌّ على ولاية الفقيه على الناس.</w:t>
      </w:r>
      <w:r w:rsidRPr="00EA09EB">
        <w:rPr>
          <w:rtl/>
        </w:rPr>
        <w:br w:type="page"/>
      </w:r>
    </w:p>
    <w:p w:rsidR="007A340E" w:rsidRDefault="007A340E" w:rsidP="007A340E">
      <w:pPr>
        <w:rPr>
          <w:rtl/>
          <w:lang w:bidi="ar-LB"/>
        </w:rPr>
        <w:sectPr w:rsidR="007A340E" w:rsidSect="009003FC">
          <w:footnotePr>
            <w:numRestart w:val="eachPage"/>
          </w:footnotePr>
          <w:type w:val="oddPage"/>
          <w:pgSz w:w="11907" w:h="16840" w:code="9"/>
          <w:pgMar w:top="2835" w:right="2552" w:bottom="3232" w:left="2552" w:header="2268" w:footer="1106" w:gutter="0"/>
          <w:cols w:space="720"/>
          <w:titlePg/>
          <w:docGrid w:linePitch="360"/>
        </w:sect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7A340E" w:rsidRDefault="007A340E" w:rsidP="007A340E">
      <w:pPr>
        <w:rPr>
          <w:rtl/>
          <w:lang w:bidi="ar-LB"/>
        </w:rPr>
      </w:pPr>
    </w:p>
    <w:p w:rsidR="00EA09EB" w:rsidRPr="00E2207F" w:rsidRDefault="00EA09EB" w:rsidP="007A340E">
      <w:pPr>
        <w:pStyle w:val="Heading2"/>
        <w:jc w:val="center"/>
        <w:rPr>
          <w:rtl/>
          <w:lang w:bidi="ar-LB"/>
        </w:rPr>
      </w:pPr>
      <w:bookmarkStart w:id="61" w:name="_Toc413658843"/>
      <w:r w:rsidRPr="00E2207F">
        <w:rPr>
          <w:rFonts w:hint="cs"/>
          <w:rtl/>
          <w:lang w:bidi="ar-LB"/>
        </w:rPr>
        <w:t xml:space="preserve">الفصل الرابع </w:t>
      </w:r>
      <w:r w:rsidRPr="007A340E">
        <w:rPr>
          <w:rFonts w:hint="cs"/>
          <w:rtl/>
        </w:rPr>
        <w:t>والعشرون</w:t>
      </w:r>
      <w:r w:rsidRPr="00E2207F">
        <w:rPr>
          <w:rFonts w:hint="cs"/>
          <w:rtl/>
          <w:lang w:bidi="ar-LB"/>
        </w:rPr>
        <w:t>: الأدلّة العقليّة غير المستقلّة على ولاية الفقيه</w:t>
      </w:r>
      <w:bookmarkEnd w:id="61"/>
    </w:p>
    <w:p w:rsidR="00EA09EB" w:rsidRPr="00A32FC0" w:rsidRDefault="00EA09EB" w:rsidP="00CE7A94">
      <w:pPr>
        <w:pStyle w:val="Normal93"/>
        <w:rPr>
          <w:rtl/>
        </w:rPr>
      </w:pPr>
      <w:r w:rsidRPr="00A32FC0">
        <w:rPr>
          <w:rFonts w:hint="cs"/>
          <w:rtl/>
        </w:rPr>
        <w:t xml:space="preserve">المراد من الأدلة العقلية غير المستقلّة ـ أي المركَّبة ـ هو الأدلّة التي تكون إحدى مقدّماتها ـ على الأقلّ ـ عقليّة، وفي الوقت نفسه تكون إحدى مقدماتها ـ على الأقلّ ـ نقليّة أيضاً، أي الأدلّة المركَّبة من مقدّمات عقليّة ونقليّة. وحيث إنه لم تكن الأدلّة العقليّة المستقلّة، ولا النقليّة البحتة، قادرةً على إثبات ولاية الفقيه على الناس كان علينا الرجوع إلى الأدلة الملفَّقة من العقل والنقل. </w:t>
      </w:r>
    </w:p>
    <w:p w:rsidR="00EA09EB" w:rsidRDefault="00EA09EB" w:rsidP="00CE7A94">
      <w:pPr>
        <w:pStyle w:val="Normal93"/>
        <w:rPr>
          <w:rtl/>
        </w:rPr>
      </w:pPr>
      <w:r w:rsidRPr="00A32FC0">
        <w:rPr>
          <w:rFonts w:hint="cs"/>
          <w:rtl/>
        </w:rPr>
        <w:t>وهناك عدّة صياغات للأدلّة العقليّة غير المستقلّة. وسوف نتعرَّض لأربع منها، وذلك بحسب ترتيبها الزمانيّ، ثمّ نقوم بدراستها وتحليلها.</w:t>
      </w:r>
    </w:p>
    <w:p w:rsidR="007A340E" w:rsidRPr="00CE7A94" w:rsidRDefault="007A340E" w:rsidP="00CE7A94">
      <w:pPr>
        <w:pStyle w:val="Normal84"/>
        <w:rPr>
          <w:sz w:val="20"/>
          <w:szCs w:val="22"/>
          <w:rtl/>
        </w:rPr>
      </w:pPr>
    </w:p>
    <w:p w:rsidR="00EA09EB" w:rsidRPr="00000741" w:rsidRDefault="00EA09EB" w:rsidP="007A340E">
      <w:pPr>
        <w:pStyle w:val="Heading3"/>
        <w:rPr>
          <w:rtl/>
        </w:rPr>
      </w:pPr>
      <w:r w:rsidRPr="007A340E">
        <w:rPr>
          <w:rFonts w:hint="cs"/>
          <w:rtl/>
        </w:rPr>
        <w:t>الدليل</w:t>
      </w:r>
      <w:r w:rsidRPr="00000741">
        <w:rPr>
          <w:rFonts w:hint="cs"/>
          <w:rtl/>
        </w:rPr>
        <w:t xml:space="preserve"> الأول</w:t>
      </w:r>
    </w:p>
    <w:p w:rsidR="00EA09EB" w:rsidRPr="00EA09EB" w:rsidRDefault="00EA09EB" w:rsidP="00CE7A94">
      <w:pPr>
        <w:pStyle w:val="Normal93"/>
        <w:rPr>
          <w:rtl/>
        </w:rPr>
      </w:pPr>
      <w:r w:rsidRPr="00EA09EB">
        <w:rPr>
          <w:rFonts w:hint="cs"/>
          <w:rtl/>
        </w:rPr>
        <w:t xml:space="preserve">يعدّ المحقق النراقي (م 1245هـ) أوّل فقيه يقيم دليلاً عقليّاً على ولاية الفقيه على الناس. فهو يرى أن الفقهاء لهم ولاية على أمرين: </w:t>
      </w:r>
      <w:r w:rsidRPr="007A340E">
        <w:rPr>
          <w:rFonts w:hint="cs"/>
          <w:b/>
          <w:bCs/>
          <w:rtl/>
        </w:rPr>
        <w:t>الأوّل</w:t>
      </w:r>
      <w:r w:rsidRPr="00EA09EB">
        <w:rPr>
          <w:rFonts w:hint="cs"/>
          <w:rtl/>
        </w:rPr>
        <w:t>: هو كلّ ما كان للنبيّ</w:t>
      </w:r>
      <w:r w:rsidRPr="00EA09EB">
        <w:rPr>
          <w:rFonts w:hint="cs"/>
          <w:rtl/>
        </w:rPr>
        <w:sym w:font="Roumouz" w:char="F02D"/>
      </w:r>
      <w:r w:rsidRPr="00EA09EB">
        <w:rPr>
          <w:rFonts w:hint="cs"/>
          <w:rtl/>
        </w:rPr>
        <w:t xml:space="preserve"> وللإمام</w:t>
      </w:r>
      <w:r>
        <w:rPr>
          <w:rFonts w:hint="cs"/>
          <w:rtl/>
        </w:rPr>
        <w:t>×</w:t>
      </w:r>
      <w:r w:rsidRPr="00EA09EB">
        <w:rPr>
          <w:rFonts w:hint="cs"/>
          <w:rtl/>
        </w:rPr>
        <w:t xml:space="preserve"> ولاية عليه، إلاّ ما خرج بالدليل؛ </w:t>
      </w:r>
      <w:r w:rsidRPr="007A340E">
        <w:rPr>
          <w:rFonts w:hint="cs"/>
          <w:b/>
          <w:bCs/>
          <w:rtl/>
        </w:rPr>
        <w:t>والثاني</w:t>
      </w:r>
      <w:r w:rsidRPr="00EA09EB">
        <w:rPr>
          <w:rFonts w:hint="cs"/>
          <w:rtl/>
        </w:rPr>
        <w:t>: كلّ أمرٍ له ارتباط بنحو من الأنحاء بدين الناس ودنياهم، وليس هناك أيُّ مبرّر عقليّ أو عرفيّ أو شرعيّ لتركه، والحال أنّ الله لم يوظِّف أو يعيِّن أيّ فرد أو مجموعة لتولّيه. وقد أقام المحقِّق النراقي الدليل العقليّ على الأمر الثاني، الذي هو تعبيرٌ آخر عن الولاية التعيينيّة العامّة للفقيه، عبر:</w:t>
      </w:r>
    </w:p>
    <w:p w:rsidR="00EA09EB" w:rsidRPr="00EA09EB" w:rsidRDefault="00EA09EB" w:rsidP="007A340E">
      <w:pPr>
        <w:ind w:firstLine="283"/>
        <w:rPr>
          <w:rtl/>
        </w:rPr>
      </w:pPr>
      <w:r w:rsidRPr="007A340E">
        <w:rPr>
          <w:rFonts w:hint="cs"/>
          <w:b/>
          <w:bCs/>
          <w:rtl/>
        </w:rPr>
        <w:t>المقدّمة الأولى</w:t>
      </w:r>
      <w:r w:rsidRPr="00EA09EB">
        <w:rPr>
          <w:rFonts w:hint="cs"/>
          <w:rtl/>
        </w:rPr>
        <w:t xml:space="preserve">: لا شكّ في أنّه يجب على الله الرؤوف والحكيم </w:t>
      </w:r>
      <w:r w:rsidRPr="00EA09EB">
        <w:rPr>
          <w:rtl/>
        </w:rPr>
        <w:t>ـ</w:t>
      </w:r>
      <w:r w:rsidRPr="00EA09EB">
        <w:rPr>
          <w:rFonts w:hint="cs"/>
          <w:rtl/>
        </w:rPr>
        <w:t xml:space="preserve"> من باب قاعدة اللطف </w:t>
      </w:r>
      <w:r w:rsidRPr="00EA09EB">
        <w:rPr>
          <w:rtl/>
        </w:rPr>
        <w:t>ـ</w:t>
      </w:r>
      <w:r w:rsidRPr="00EA09EB">
        <w:rPr>
          <w:rFonts w:hint="cs"/>
          <w:rtl/>
        </w:rPr>
        <w:t xml:space="preserve"> أن يعيِّن والياً أو قيّماً على جميع الأمور التي لها علاقة بدين الناس ودنياهم.</w:t>
      </w:r>
    </w:p>
    <w:p w:rsidR="00EA09EB" w:rsidRPr="00EA09EB" w:rsidRDefault="00EA09EB" w:rsidP="007A340E">
      <w:pPr>
        <w:ind w:firstLine="283"/>
        <w:rPr>
          <w:rtl/>
        </w:rPr>
      </w:pPr>
      <w:r w:rsidRPr="007A340E">
        <w:rPr>
          <w:rFonts w:hint="cs"/>
          <w:b/>
          <w:bCs/>
          <w:rtl/>
        </w:rPr>
        <w:t>المقدّمة الثانية</w:t>
      </w:r>
      <w:r w:rsidRPr="00EA09EB">
        <w:rPr>
          <w:rFonts w:hint="cs"/>
          <w:rtl/>
        </w:rPr>
        <w:t>: أن نفترض أنّه ليس هناك أيّ دليل على تعيين شخص معيّن أو مجموعة خاصّة من قبل الشارع، غير الفقيه.</w:t>
      </w:r>
    </w:p>
    <w:p w:rsidR="00EA09EB" w:rsidRPr="00A32FC0" w:rsidRDefault="00EA09EB" w:rsidP="00CE7A94">
      <w:pPr>
        <w:pStyle w:val="Normal84"/>
        <w:rPr>
          <w:rtl/>
        </w:rPr>
      </w:pPr>
      <w:r w:rsidRPr="00A32FC0">
        <w:rPr>
          <w:rFonts w:hint="cs"/>
          <w:b/>
          <w:bCs/>
          <w:rtl/>
        </w:rPr>
        <w:t>المقدّمة الثالثة</w:t>
      </w:r>
      <w:r w:rsidRPr="00EA09EB">
        <w:rPr>
          <w:rFonts w:hint="cs"/>
          <w:rtl/>
        </w:rPr>
        <w:t>: لقد ورد في حقّ الفقيه أوصاف ومزايا جليلة، وهذا يكفي أن يكون تعييناً له من قِبَل الشارع</w:t>
      </w:r>
      <w:r w:rsidRPr="00064619">
        <w:rPr>
          <w:rFonts w:cs="Taher"/>
          <w:vertAlign w:val="superscript"/>
          <w:rtl/>
        </w:rPr>
        <w:t>(</w:t>
      </w:r>
      <w:r w:rsidRPr="00064619">
        <w:rPr>
          <w:rStyle w:val="FootnoteReference"/>
          <w:rFonts w:cs="Taher"/>
          <w:sz w:val="32"/>
          <w:rtl/>
        </w:rPr>
        <w:footnoteReference w:id="795"/>
      </w:r>
      <w:r w:rsidRPr="00064619">
        <w:rPr>
          <w:rFonts w:cs="Taher"/>
          <w:vertAlign w:val="superscript"/>
          <w:rtl/>
        </w:rPr>
        <w:t>)</w:t>
      </w:r>
      <w:r w:rsidRPr="00A32FC0">
        <w:rPr>
          <w:rFonts w:hint="cs"/>
          <w:rtl/>
        </w:rPr>
        <w:t>.</w:t>
      </w:r>
    </w:p>
    <w:p w:rsidR="00EA09EB" w:rsidRPr="00EA09EB" w:rsidRDefault="00EA09EB" w:rsidP="00CE7A94">
      <w:pPr>
        <w:pStyle w:val="Normal84"/>
        <w:rPr>
          <w:rtl/>
        </w:rPr>
      </w:pPr>
      <w:r w:rsidRPr="00A32FC0">
        <w:rPr>
          <w:rFonts w:hint="cs"/>
          <w:rtl/>
        </w:rPr>
        <w:t>ويمكن لنا أن نلحظ مضمون المقدمة الأولى في كلمات صاحب «الجواهر» أيضاً. فبعد أن اعتبر أن تعيين الإمام من باب قاعدة اللطف ضروريٌّ لاستقامة نظام نوع الإنسان قال: «من السياسة الواجبة على الإمام</w:t>
      </w:r>
      <w:r>
        <w:rPr>
          <w:rFonts w:hint="cs"/>
          <w:rtl/>
        </w:rPr>
        <w:t>×</w:t>
      </w:r>
      <w:r w:rsidRPr="00A32FC0">
        <w:rPr>
          <w:rFonts w:hint="cs"/>
          <w:rtl/>
        </w:rPr>
        <w:t xml:space="preserve"> نصب ما يستقيم به نظام نوع الإنسان»</w:t>
      </w:r>
      <w:r w:rsidRPr="00064619">
        <w:rPr>
          <w:rFonts w:cs="Taher"/>
          <w:vertAlign w:val="superscript"/>
          <w:rtl/>
        </w:rPr>
        <w:t>(</w:t>
      </w:r>
      <w:r w:rsidRPr="00064619">
        <w:rPr>
          <w:rStyle w:val="FootnoteReference"/>
          <w:rFonts w:cs="Taher"/>
          <w:sz w:val="32"/>
          <w:rtl/>
        </w:rPr>
        <w:footnoteReference w:id="796"/>
      </w:r>
      <w:r w:rsidRPr="00064619">
        <w:rPr>
          <w:rFonts w:cs="Taher"/>
          <w:vertAlign w:val="superscript"/>
          <w:rtl/>
        </w:rPr>
        <w:t>)</w:t>
      </w:r>
      <w:r w:rsidRPr="00EA09EB">
        <w:rPr>
          <w:rFonts w:hint="cs"/>
          <w:rtl/>
        </w:rPr>
        <w:t>. كما يرى بعض الفقهاء المعاصرين «أنه كما أنّ الواجب على الحكيم جلَّ اسمه؛ بمقتضى الحكمة وقاعدة اللطف، نصب الإمام والحجّة والوالي على العباد فيجب على الإمام والوالي أيضاً نصب مَنْ يقومُ مقامه في الأمصار التي هو غائب عنها، وكذا في الأزمنة التي هو غائب فيها»</w:t>
      </w:r>
      <w:r w:rsidRPr="00064619">
        <w:rPr>
          <w:rFonts w:cs="Taher"/>
          <w:vertAlign w:val="superscript"/>
          <w:rtl/>
        </w:rPr>
        <w:t>(</w:t>
      </w:r>
      <w:r w:rsidRPr="00064619">
        <w:rPr>
          <w:rStyle w:val="FootnoteReference"/>
          <w:rFonts w:cs="Taher"/>
          <w:sz w:val="32"/>
          <w:rtl/>
        </w:rPr>
        <w:footnoteReference w:id="797"/>
      </w:r>
      <w:r w:rsidRPr="00064619">
        <w:rPr>
          <w:rFonts w:cs="Taher"/>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إنّ المقدّمة الأولى من المقدّمات الثلاث لدليل المحقِّق النراقي عقليّة؛ وأما المقدّمتان الثانية والثالثة فهما نقليّتان. </w:t>
      </w:r>
    </w:p>
    <w:p w:rsidR="00EA09EB" w:rsidRPr="00A32FC0" w:rsidRDefault="00EA09EB" w:rsidP="00EA09EB">
      <w:pPr>
        <w:rPr>
          <w:rtl/>
          <w:lang w:bidi="ar-LB"/>
        </w:rPr>
      </w:pPr>
      <w:r w:rsidRPr="00A32FC0">
        <w:rPr>
          <w:rFonts w:hint="cs"/>
          <w:rtl/>
          <w:lang w:bidi="ar-LB"/>
        </w:rPr>
        <w:t>والمقدّمة الثانية تامّة، باستثناء ذيلها، الذي هو محلّ بحث، ولا يمكن إثبات المقدّمة من دون إثباته.</w:t>
      </w:r>
    </w:p>
    <w:p w:rsidR="00EA09EB" w:rsidRPr="00A32FC0" w:rsidRDefault="00EA09EB" w:rsidP="00EA09EB">
      <w:pPr>
        <w:rPr>
          <w:rtl/>
          <w:lang w:bidi="ar-LB"/>
        </w:rPr>
      </w:pPr>
      <w:r w:rsidRPr="00A32FC0">
        <w:rPr>
          <w:rFonts w:hint="cs"/>
          <w:rtl/>
          <w:lang w:bidi="ar-LB"/>
        </w:rPr>
        <w:t>أمّا المقدّمة الثالثة فهي غير تامّة؛ لأنّ الأوصاف والمزايا الجليلة لا تعدّ دليلاً على التعيين. والروايات التي استدل بها المحقِّق النراقي تدلّ على مكانة وعلوّ شأن الفقهاء. وعلى فرض صحّة سندها فإنّها تدلّ على تعيين الفقهاء لمنصب تبليغ الأحكام الشرعيّة، والقضاء في المرافعات، وإدارة الأمور الحسبيّة. كما أنه يمكن أن تدلّ على صلاحيّة الفقهاء لتولّي الزعامة السياسيّة. وبناءً على هذا الفرض، أي تصدّي الفقهاء للأمور السياسيّة، هل يتمّ هذا التصدّي عن طريق انتخاب الناس، أم الوكالة من قبل الشارع، أم التعيين؟ ومن الواضح أنه لا ملازمة بين الأوصاف والمزايا الجليلة المذكورة في الروايات وبين إحدى هذه الطرق الثلاث، فيبقى الدليل هنا أعمّ من المدَّعى.</w:t>
      </w:r>
    </w:p>
    <w:p w:rsidR="00EA09EB" w:rsidRPr="00EA09EB" w:rsidRDefault="00EA09EB" w:rsidP="007A340E">
      <w:pPr>
        <w:ind w:firstLine="283"/>
        <w:rPr>
          <w:rtl/>
        </w:rPr>
      </w:pPr>
      <w:r w:rsidRPr="00EA09EB">
        <w:rPr>
          <w:rFonts w:hint="cs"/>
          <w:rtl/>
        </w:rPr>
        <w:t xml:space="preserve">وأمّا المقدّمة الأولى فهي مخدوشة أيضاً؛ </w:t>
      </w:r>
      <w:r w:rsidRPr="007A340E">
        <w:rPr>
          <w:rFonts w:hint="cs"/>
          <w:b/>
          <w:bCs/>
          <w:rtl/>
        </w:rPr>
        <w:t>أولاً</w:t>
      </w:r>
      <w:r w:rsidRPr="00EA09EB">
        <w:rPr>
          <w:rFonts w:hint="cs"/>
          <w:rtl/>
        </w:rPr>
        <w:t xml:space="preserve">: لأنّ التمسُّك بقاعدة اللطف أو مقتضى الحكمة </w:t>
      </w:r>
      <w:r w:rsidRPr="00EA09EB">
        <w:rPr>
          <w:rtl/>
        </w:rPr>
        <w:t>ـ</w:t>
      </w:r>
      <w:r w:rsidRPr="00EA09EB">
        <w:rPr>
          <w:rFonts w:hint="cs"/>
          <w:rtl/>
        </w:rPr>
        <w:t xml:space="preserve"> على فرض صحّته </w:t>
      </w:r>
      <w:r w:rsidRPr="00EA09EB">
        <w:rPr>
          <w:rtl/>
        </w:rPr>
        <w:t>ـ</w:t>
      </w:r>
      <w:r w:rsidRPr="00EA09EB">
        <w:rPr>
          <w:rFonts w:hint="cs"/>
          <w:rtl/>
        </w:rPr>
        <w:t>؛ لإثبات ولاية الفقيه على الناس، يصحّ في حال لم يكن هناك أيّ طريق آخر لتحصيل غرض الشارع. وهذا الغرض، أي نظم حياة الناس على أساس الدين ـ وببيان آخر: إقامة حكومة دينية ـ يمكن تصوّر حصوله بطرق أخرى، كما هو الحال ـ على سبيل المثال ـ في الولاية الانتخابيّة المقيَّدة للفقيه، ووكالة الفقيه عن الناس، وإشراف الفقيه و.... فحتّى الآن لا يوجد هنا أيّ دليل عقليّ على انحصار الحكومة الدينية عند الشيعة بالولاية المطلقة للفقيه على الناس. فالمهمّ هو إرساء الدين. والتزام الناس بالضوابط الدينيّة سوف يجعل أمور دنياهم تسير على أحسن ما يرام. فإذا لم تكن الولاية التعيينيّة للفقيه هي الطريق الوحيد للحكومة الإسلاميّة، وكان هناك طرق أخرى متيسِّرة لهذا الأمر، فليس من الواجب على الشارع الحكيم، من باب اللطف أو مقتضى الحكمة، أن يعيِّن الفقهاء للولاية على الناس. بالإضافة إلى أنّه لا يوجد دليل عقليّ على التعيين.</w:t>
      </w:r>
    </w:p>
    <w:p w:rsidR="00EA09EB" w:rsidRPr="00EA09EB" w:rsidRDefault="00EA09EB" w:rsidP="007A340E">
      <w:pPr>
        <w:ind w:firstLine="283"/>
        <w:rPr>
          <w:rtl/>
        </w:rPr>
      </w:pPr>
      <w:r w:rsidRPr="007A340E">
        <w:rPr>
          <w:rFonts w:hint="cs"/>
          <w:b/>
          <w:bCs/>
          <w:rtl/>
        </w:rPr>
        <w:t>ثانياً</w:t>
      </w:r>
      <w:r w:rsidRPr="00EA09EB">
        <w:rPr>
          <w:rFonts w:hint="cs"/>
          <w:rtl/>
        </w:rPr>
        <w:t>: إنّ المقدّمة الأولى مبنيّة على فرضيّة لم يتمّ إثباتها. وهذه الفرضيّة هي: «إنه لا وسيلة لإدارة المجتمع إلاّ عن طريق الولاية والقيموميّة». وإذا كانت رؤية هذا الفقيه[النراقي]، الذي عاش في العصر القاجاريّ، تقتضي إزاحة فتحعلي شاه القاجاريّ الظالم عن الحكم، واستبداله بفقيه عادل، دون إعادة النظر في أسلوب الحكم، هي نتيجة لهذه الولاية والقيمومية، فمِنْ أين لنا أن نثبت أنه ليس هناك أسلوبٌ آخر للحكم غير هذه الولاية والقيمومية. ألا يمكن أن يكون هناك أساليب أخرى تربط العلاقة بين الحاكم والناس؟ ألا يمكن أن يكون لعدم اطّلاع الفقهاء على أشكالٍ أخرى للحكم أثرٌ في تفكيرهم واستنتاجاتهم العقليّة، والجزم بها؟</w:t>
      </w:r>
    </w:p>
    <w:p w:rsidR="00EA09EB" w:rsidRDefault="00EA09EB" w:rsidP="00EA09EB">
      <w:pPr>
        <w:rPr>
          <w:rtl/>
          <w:lang w:bidi="ar-LB"/>
        </w:rPr>
      </w:pPr>
      <w:r w:rsidRPr="00A32FC0">
        <w:rPr>
          <w:rFonts w:hint="cs"/>
          <w:rtl/>
          <w:lang w:bidi="ar-LB"/>
        </w:rPr>
        <w:t xml:space="preserve">وعلى </w:t>
      </w:r>
      <w:r>
        <w:rPr>
          <w:rFonts w:hint="cs"/>
          <w:rtl/>
          <w:lang w:bidi="ar-LB"/>
        </w:rPr>
        <w:t>أيّ</w:t>
      </w:r>
      <w:r w:rsidRPr="00A32FC0">
        <w:rPr>
          <w:rFonts w:hint="cs"/>
          <w:rtl/>
          <w:lang w:bidi="ar-LB"/>
        </w:rPr>
        <w:t xml:space="preserve"> حال فإنّ هذا الدليل لا يدلّ على المطلوب.</w:t>
      </w:r>
    </w:p>
    <w:p w:rsidR="007A340E" w:rsidRPr="00A32FC0" w:rsidRDefault="007A340E" w:rsidP="00EA09EB">
      <w:pPr>
        <w:rPr>
          <w:rtl/>
          <w:lang w:bidi="ar-LB"/>
        </w:rPr>
      </w:pPr>
    </w:p>
    <w:p w:rsidR="00EA09EB" w:rsidRPr="00000741" w:rsidRDefault="00EA09EB" w:rsidP="007A340E">
      <w:pPr>
        <w:pStyle w:val="Heading3"/>
        <w:rPr>
          <w:rtl/>
        </w:rPr>
      </w:pPr>
      <w:r w:rsidRPr="007A340E">
        <w:rPr>
          <w:rFonts w:hint="cs"/>
          <w:rtl/>
        </w:rPr>
        <w:t>الدليل</w:t>
      </w:r>
      <w:r w:rsidRPr="00000741">
        <w:rPr>
          <w:rFonts w:hint="cs"/>
          <w:rtl/>
        </w:rPr>
        <w:t xml:space="preserve"> الثاني</w:t>
      </w:r>
    </w:p>
    <w:p w:rsidR="00EA09EB" w:rsidRPr="00A32FC0" w:rsidRDefault="00EA09EB" w:rsidP="00EA09EB">
      <w:pPr>
        <w:rPr>
          <w:rtl/>
          <w:lang w:bidi="ar-LB"/>
        </w:rPr>
      </w:pPr>
      <w:r w:rsidRPr="00A32FC0">
        <w:rPr>
          <w:rFonts w:hint="cs"/>
          <w:rtl/>
          <w:lang w:bidi="ar-LB"/>
        </w:rPr>
        <w:t xml:space="preserve">في رسالته </w:t>
      </w:r>
      <w:r w:rsidRPr="00A32FC0">
        <w:rPr>
          <w:rFonts w:hint="cs"/>
          <w:rtl/>
        </w:rPr>
        <w:t>«</w:t>
      </w:r>
      <w:r w:rsidRPr="00A32FC0">
        <w:rPr>
          <w:rFonts w:hint="cs"/>
          <w:rtl/>
          <w:lang w:bidi="ar-LB"/>
        </w:rPr>
        <w:t>هداية الأنام في حكم أموال الإمام</w:t>
      </w:r>
      <w:r>
        <w:rPr>
          <w:rFonts w:hint="cs"/>
          <w:rtl/>
          <w:lang w:bidi="ar-LB"/>
        </w:rPr>
        <w:t>×</w:t>
      </w:r>
      <w:r w:rsidRPr="00A32FC0">
        <w:rPr>
          <w:rFonts w:hint="cs"/>
          <w:rtl/>
        </w:rPr>
        <w:t>»</w:t>
      </w:r>
      <w:r w:rsidRPr="00A32FC0">
        <w:rPr>
          <w:rFonts w:hint="cs"/>
          <w:rtl/>
          <w:lang w:bidi="ar-LB"/>
        </w:rPr>
        <w:t xml:space="preserve"> قام الشيخ عبد الله المامقاني</w:t>
      </w:r>
      <w:r>
        <w:rPr>
          <w:rFonts w:hint="cs"/>
          <w:rtl/>
          <w:lang w:bidi="ar-LB"/>
        </w:rPr>
        <w:t xml:space="preserve"> </w:t>
      </w:r>
      <w:r w:rsidRPr="00A32FC0">
        <w:rPr>
          <w:rFonts w:hint="cs"/>
          <w:rtl/>
          <w:lang w:bidi="ar-LB"/>
        </w:rPr>
        <w:t>(</w:t>
      </w:r>
      <w:r>
        <w:rPr>
          <w:rFonts w:hint="cs"/>
          <w:rtl/>
          <w:lang w:bidi="ar-LB"/>
        </w:rPr>
        <w:t xml:space="preserve">م </w:t>
      </w:r>
      <w:r w:rsidRPr="00A32FC0">
        <w:rPr>
          <w:rFonts w:hint="cs"/>
          <w:rtl/>
          <w:lang w:bidi="ar-LB"/>
        </w:rPr>
        <w:t>1351هـ) بالاستدلال العقليّ التالي على الولاية التعيينيّة للفقهاء:</w:t>
      </w:r>
    </w:p>
    <w:p w:rsidR="00EA09EB" w:rsidRPr="00EA09EB" w:rsidRDefault="00EA09EB" w:rsidP="007A340E">
      <w:pPr>
        <w:ind w:firstLine="283"/>
        <w:rPr>
          <w:rtl/>
        </w:rPr>
      </w:pPr>
      <w:r w:rsidRPr="007A340E">
        <w:rPr>
          <w:rFonts w:hint="cs"/>
          <w:b/>
          <w:bCs/>
          <w:rtl/>
        </w:rPr>
        <w:t>المقدّمة الأولى</w:t>
      </w:r>
      <w:r w:rsidRPr="00EA09EB">
        <w:rPr>
          <w:rFonts w:hint="cs"/>
          <w:rtl/>
        </w:rPr>
        <w:t>: هناك أصلٌ أوّليٌّ يحكم به العقل المستقلّ، وهو عدم ولاية أحدٍ على أحد في نفسه وماله وعِرْضه، وعدم وجوب انقياد وطاعة أحد لأحد أيضاً.</w:t>
      </w:r>
    </w:p>
    <w:p w:rsidR="00EA09EB" w:rsidRPr="00EA09EB" w:rsidRDefault="00EA09EB" w:rsidP="007A340E">
      <w:pPr>
        <w:ind w:firstLine="283"/>
        <w:rPr>
          <w:rtl/>
        </w:rPr>
      </w:pPr>
      <w:r w:rsidRPr="007A340E">
        <w:rPr>
          <w:rFonts w:hint="cs"/>
          <w:b/>
          <w:bCs/>
          <w:rtl/>
        </w:rPr>
        <w:t>المقدّمة الثانية</w:t>
      </w:r>
      <w:r w:rsidRPr="00EA09EB">
        <w:rPr>
          <w:rFonts w:hint="cs"/>
          <w:rtl/>
        </w:rPr>
        <w:t>: يحكم العقل المستقلّ بوجوب وجود حاكم بين الناس، يقوم برفع الظلم والفساد، وإصلاح أمور الناس، وحفظ الأموال العامّة؛ لأنّ نظم أمور المجتمع متوقِّف على هذا الأمر.</w:t>
      </w:r>
    </w:p>
    <w:p w:rsidR="00EA09EB" w:rsidRPr="00EA09EB" w:rsidRDefault="00EA09EB" w:rsidP="00EA09EB">
      <w:pPr>
        <w:rPr>
          <w:rtl/>
        </w:rPr>
      </w:pPr>
      <w:r w:rsidRPr="007A340E">
        <w:rPr>
          <w:rFonts w:hint="cs"/>
          <w:b/>
          <w:bCs/>
          <w:rtl/>
        </w:rPr>
        <w:t>المقدّمة الثالثة</w:t>
      </w:r>
      <w:r w:rsidRPr="00EA09EB">
        <w:rPr>
          <w:rFonts w:hint="cs"/>
          <w:rtl/>
        </w:rPr>
        <w:t>: إنّ هذا المنصب [السياسيّ والتدبيريّ] ثابتٌ للنبيّ</w:t>
      </w:r>
      <w:r w:rsidRPr="00EA09EB">
        <w:rPr>
          <w:rFonts w:hint="cs"/>
          <w:rtl/>
        </w:rPr>
        <w:sym w:font="Roumouz" w:char="F02D"/>
      </w:r>
      <w:r w:rsidRPr="00EA09EB">
        <w:rPr>
          <w:rFonts w:hint="cs"/>
          <w:rtl/>
        </w:rPr>
        <w:t xml:space="preserve"> والإمام</w:t>
      </w:r>
      <w:r>
        <w:rPr>
          <w:rFonts w:hint="cs"/>
          <w:rtl/>
        </w:rPr>
        <w:t>×</w:t>
      </w:r>
      <w:r w:rsidRPr="00EA09EB">
        <w:rPr>
          <w:rFonts w:hint="cs"/>
          <w:rtl/>
        </w:rPr>
        <w:t>.</w:t>
      </w:r>
    </w:p>
    <w:p w:rsidR="00EA09EB" w:rsidRPr="00EA09EB" w:rsidRDefault="00EA09EB" w:rsidP="00EA09EB">
      <w:pPr>
        <w:rPr>
          <w:rtl/>
        </w:rPr>
      </w:pPr>
      <w:r w:rsidRPr="007A340E">
        <w:rPr>
          <w:rFonts w:hint="cs"/>
          <w:b/>
          <w:bCs/>
          <w:rtl/>
        </w:rPr>
        <w:t>المقدّمة الرابعة</w:t>
      </w:r>
      <w:r w:rsidRPr="00EA09EB">
        <w:rPr>
          <w:rFonts w:hint="cs"/>
          <w:rtl/>
        </w:rPr>
        <w:t>: لا شكّ في أنّه يجب على الإمام أن يُعَيِّن مرجعاً للعباد؛ للقيام بهذه المهمّة في عصر الغيبة. وللإمام</w:t>
      </w:r>
      <w:r>
        <w:rPr>
          <w:rFonts w:hint="cs"/>
          <w:rtl/>
        </w:rPr>
        <w:t>×</w:t>
      </w:r>
      <w:r w:rsidRPr="00EA09EB">
        <w:rPr>
          <w:rFonts w:hint="cs"/>
          <w:rtl/>
        </w:rPr>
        <w:t xml:space="preserve"> مقامان: </w:t>
      </w:r>
      <w:r w:rsidRPr="007A340E">
        <w:rPr>
          <w:rFonts w:hint="cs"/>
          <w:b/>
          <w:bCs/>
          <w:rtl/>
        </w:rPr>
        <w:t>الأوّل</w:t>
      </w:r>
      <w:r w:rsidRPr="00EA09EB">
        <w:rPr>
          <w:rFonts w:hint="cs"/>
          <w:rtl/>
        </w:rPr>
        <w:t>: هو مقام إشراف وإضاءة، وهو متوقِّف على وجوده</w:t>
      </w:r>
      <w:r>
        <w:rPr>
          <w:rFonts w:hint="cs"/>
          <w:rtl/>
        </w:rPr>
        <w:t>×</w:t>
      </w:r>
      <w:r w:rsidRPr="00EA09EB">
        <w:rPr>
          <w:rFonts w:hint="cs"/>
          <w:rtl/>
        </w:rPr>
        <w:t xml:space="preserve">؛ </w:t>
      </w:r>
      <w:r w:rsidRPr="007A340E">
        <w:rPr>
          <w:rFonts w:hint="cs"/>
          <w:b/>
          <w:bCs/>
          <w:rtl/>
        </w:rPr>
        <w:t>والثاني</w:t>
      </w:r>
      <w:r w:rsidRPr="00EA09EB">
        <w:rPr>
          <w:rFonts w:hint="cs"/>
          <w:rtl/>
        </w:rPr>
        <w:t>: مقام رفع الفساد، واستئصال الظلم، وردع الجور، واستيفاء حقوق المظلومين، والإصلاح بين الناس.</w:t>
      </w:r>
    </w:p>
    <w:p w:rsidR="00EA09EB" w:rsidRPr="00A32FC0" w:rsidRDefault="00EA09EB" w:rsidP="00CE7A94">
      <w:pPr>
        <w:pStyle w:val="Normal87"/>
        <w:rPr>
          <w:rtl/>
        </w:rPr>
      </w:pPr>
      <w:r w:rsidRPr="00A32FC0">
        <w:rPr>
          <w:rFonts w:hint="cs"/>
          <w:rtl/>
        </w:rPr>
        <w:t>ولا يمكن تحقيق المقام الثاني بشكلٍ كاملٍ عن طريق النيابة، إلاّ أنّه يمكن تحقيق قسم منه، من قبيل: دفع الظلم عن بعض الناس، وحفظ النفس والمال. والعقل المستقلّ يحكم على الإمام بوجوب تعيين نائب عنه؛ لتحقيق ما يمكن تحقيقه من هذه الأمور. كما أنّ الإمام يتولّى الإشراف على أعمال نائبه. وإذا لم يتمّ هذا التعيين فإنّ نظم أمور المجتمع سوف يختلّ. وتعدّ الأخبار التي تضمّنت الغاية والحكمة من هذا التعيين مؤيِّداً لحكم العقل؛ بمقتضى عموم العلّة.</w:t>
      </w:r>
    </w:p>
    <w:p w:rsidR="00EA09EB" w:rsidRPr="00EA09EB" w:rsidRDefault="00EA09EB" w:rsidP="007A340E">
      <w:pPr>
        <w:ind w:firstLine="283"/>
        <w:rPr>
          <w:rtl/>
        </w:rPr>
      </w:pPr>
      <w:r w:rsidRPr="007A340E">
        <w:rPr>
          <w:rFonts w:hint="cs"/>
          <w:b/>
          <w:bCs/>
          <w:rtl/>
        </w:rPr>
        <w:t>المقدّمة الخامسة</w:t>
      </w:r>
      <w:r w:rsidRPr="00EA09EB">
        <w:rPr>
          <w:rFonts w:hint="cs"/>
          <w:rtl/>
        </w:rPr>
        <w:t>: حيث إنّ الفقهاء العدول هم أشرف الناس بعد الإمام فمن المتعيِّن على الإمام أن يقوم بتعيينهم؛ لأنّ الرئيس يجب أن يكون أشرف من المرؤوس.</w:t>
      </w:r>
    </w:p>
    <w:p w:rsidR="00EA09EB" w:rsidRPr="00EA09EB" w:rsidRDefault="00EA09EB" w:rsidP="00CE7A94">
      <w:pPr>
        <w:pStyle w:val="Normal93"/>
        <w:rPr>
          <w:rtl/>
        </w:rPr>
      </w:pPr>
      <w:r w:rsidRPr="007A340E">
        <w:rPr>
          <w:rFonts w:hint="cs"/>
          <w:b/>
          <w:bCs/>
          <w:rtl/>
        </w:rPr>
        <w:t>المقدّمة السادسة</w:t>
      </w:r>
      <w:r w:rsidRPr="00EA09EB">
        <w:rPr>
          <w:rFonts w:hint="cs"/>
          <w:rtl/>
        </w:rPr>
        <w:t>: حيث إنّ الإمام يتمتَّع بسلطة مطلقة على الناس من قِبَل الله، وهذه السلطة أعمّ من الأوامر الشرعيّة والعرفيّة والأموال والأنفس، فإنّ هذه السلطة ثابتة للفقيه العادل بحكم النيابة والحجّيّة من قِبَل الإمام</w:t>
      </w:r>
      <w:r w:rsidRPr="00064619">
        <w:rPr>
          <w:rFonts w:cs="Taher"/>
          <w:sz w:val="32"/>
          <w:vertAlign w:val="superscript"/>
          <w:rtl/>
        </w:rPr>
        <w:t>(</w:t>
      </w:r>
      <w:r w:rsidRPr="00064619">
        <w:rPr>
          <w:rStyle w:val="FootnoteReference"/>
          <w:rFonts w:cs="Taher"/>
          <w:sz w:val="32"/>
          <w:rtl/>
        </w:rPr>
        <w:footnoteReference w:id="798"/>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ويمكن ملاحظة مضمون هذا الدليل العقليّ في الكثير من الكتب الفقهيّة، وخاصّة في آراء المعاصرين.</w:t>
      </w:r>
    </w:p>
    <w:p w:rsidR="00EA09EB" w:rsidRPr="00A32FC0" w:rsidRDefault="00EA09EB" w:rsidP="00EA09EB">
      <w:pPr>
        <w:rPr>
          <w:rtl/>
          <w:lang w:bidi="ar-LB"/>
        </w:rPr>
      </w:pPr>
      <w:r w:rsidRPr="00A32FC0">
        <w:rPr>
          <w:rFonts w:hint="cs"/>
          <w:rtl/>
          <w:lang w:bidi="ar-LB"/>
        </w:rPr>
        <w:t xml:space="preserve">أمّا المقدّمتان الأولى والثانية فهما محلّ اتّفاق جميع العقلاء وأصحاب الأديان. </w:t>
      </w:r>
    </w:p>
    <w:p w:rsidR="00EA09EB" w:rsidRPr="00A32FC0" w:rsidRDefault="00EA09EB" w:rsidP="00EA09EB">
      <w:pPr>
        <w:rPr>
          <w:rtl/>
          <w:lang w:bidi="ar-LB"/>
        </w:rPr>
      </w:pPr>
      <w:r w:rsidRPr="00A32FC0">
        <w:rPr>
          <w:rFonts w:hint="cs"/>
          <w:rtl/>
          <w:lang w:bidi="ar-LB"/>
        </w:rPr>
        <w:t>فالمقدّمة الأولى هي الركيزة الأساسية لأصل حرّيّة الإنسان واختياره، فلا ولاية لأحدٍ على أحد، وكلُّ فرد مسؤولٌ عن مسيره ومقدّراته.</w:t>
      </w:r>
    </w:p>
    <w:p w:rsidR="00EA09EB" w:rsidRPr="00A32FC0" w:rsidRDefault="00EA09EB" w:rsidP="00EA09EB">
      <w:pPr>
        <w:rPr>
          <w:rtl/>
          <w:lang w:bidi="ar-LB"/>
        </w:rPr>
      </w:pPr>
      <w:r w:rsidRPr="00A32FC0">
        <w:rPr>
          <w:rFonts w:hint="cs"/>
          <w:rtl/>
          <w:lang w:bidi="ar-LB"/>
        </w:rPr>
        <w:t xml:space="preserve">وأمّا المقدّمة الثانية فتتحدَّث عن ضرورة الحكومة في المجتمع، وليس هناك مَنْ يشكِّك في هذه الضرورة. </w:t>
      </w:r>
    </w:p>
    <w:p w:rsidR="00EA09EB" w:rsidRPr="00A32FC0" w:rsidRDefault="00EA09EB" w:rsidP="00EA09EB">
      <w:pPr>
        <w:rPr>
          <w:rtl/>
          <w:lang w:bidi="ar-LB"/>
        </w:rPr>
      </w:pPr>
      <w:r w:rsidRPr="00A32FC0">
        <w:rPr>
          <w:rFonts w:hint="cs"/>
          <w:rtl/>
          <w:lang w:bidi="ar-LB"/>
        </w:rPr>
        <w:t>وأمّا المقدّمة الثالثة فتُعَدّ أيضاً من مسلَّمات علم الكلام والفقه الإسلاميّين. كما يُعَدّ ذيلها من ضروريّات علم الكلام والفقه الشيعيّين.</w:t>
      </w:r>
    </w:p>
    <w:p w:rsidR="00EA09EB" w:rsidRPr="00EA09EB" w:rsidRDefault="00EA09EB" w:rsidP="007A340E">
      <w:pPr>
        <w:ind w:firstLine="283"/>
        <w:rPr>
          <w:rtl/>
        </w:rPr>
      </w:pPr>
      <w:r w:rsidRPr="00EA09EB">
        <w:rPr>
          <w:rFonts w:hint="cs"/>
          <w:rtl/>
        </w:rPr>
        <w:t xml:space="preserve">وأمّا المقدّمة الرابعة فهي غير تامّة؛ فإنّ تحقّق المقام الثاني للإمام في حدود الاستطاعة البشريّة لا ينحصر بالولاية التعيينيّة للفقهاء؛ فإنّ هناك وسائل أخرى لإرساء حكومة دينيّة وتدبير المجتمع واستقراره. ومع وجود هذه الوسائل </w:t>
      </w:r>
      <w:r w:rsidRPr="00EA09EB">
        <w:rPr>
          <w:rtl/>
        </w:rPr>
        <w:t>ـ</w:t>
      </w:r>
      <w:r w:rsidRPr="00EA09EB">
        <w:rPr>
          <w:rFonts w:hint="cs"/>
          <w:rtl/>
        </w:rPr>
        <w:t xml:space="preserve"> من قبيل: وكالة الفقيه عن الناس، أو نظارة الفقيه على الحاكم المتديِّن المنتخب من قبل الناس، و... </w:t>
      </w:r>
      <w:r w:rsidRPr="00EA09EB">
        <w:rPr>
          <w:rtl/>
        </w:rPr>
        <w:t>ـ</w:t>
      </w:r>
      <w:r w:rsidRPr="00EA09EB">
        <w:rPr>
          <w:rFonts w:hint="cs"/>
          <w:rtl/>
        </w:rPr>
        <w:t xml:space="preserve"> ينتفي وجوب تعيين فقيه عادل للولاية على الناس؛ بمقتضى قاعدة اللطف والحكمة الإلهيّة، هذا </w:t>
      </w:r>
      <w:r w:rsidRPr="007A340E">
        <w:rPr>
          <w:rFonts w:hint="cs"/>
          <w:b/>
          <w:bCs/>
          <w:rtl/>
        </w:rPr>
        <w:t>أوّلاً</w:t>
      </w:r>
      <w:r w:rsidRPr="00EA09EB">
        <w:rPr>
          <w:rFonts w:hint="cs"/>
          <w:rtl/>
        </w:rPr>
        <w:t xml:space="preserve">. </w:t>
      </w:r>
    </w:p>
    <w:p w:rsidR="00EA09EB" w:rsidRPr="00EA09EB" w:rsidRDefault="00EA09EB" w:rsidP="007A340E">
      <w:pPr>
        <w:ind w:firstLine="283"/>
        <w:rPr>
          <w:rtl/>
        </w:rPr>
      </w:pPr>
      <w:r w:rsidRPr="007A340E">
        <w:rPr>
          <w:rFonts w:hint="cs"/>
          <w:b/>
          <w:bCs/>
          <w:rtl/>
        </w:rPr>
        <w:t>وثانياً</w:t>
      </w:r>
      <w:r w:rsidRPr="00EA09EB">
        <w:rPr>
          <w:rFonts w:hint="cs"/>
          <w:rtl/>
        </w:rPr>
        <w:t xml:space="preserve">: لقد تقدّم في البحث السابق عدم صحّة التمسُّك بالدليل العقليّ المستقلّ؛ لإثبات الولاية التعيينيّة للفقهاء. ومن البعيد أن يكون المراد من العقل المستقلّ هنا شيءٌ آخر غير البرهان المبتني على قاعدة اللطف ونظم أمور المجتمع. وقد تقدَّمت مناقشة هذه الأحكام العقليّة بشكل مفصَّل. </w:t>
      </w:r>
    </w:p>
    <w:p w:rsidR="00EA09EB" w:rsidRPr="00A32FC0" w:rsidRDefault="00EA09EB" w:rsidP="00EA09EB">
      <w:pPr>
        <w:rPr>
          <w:rtl/>
          <w:lang w:bidi="ar-LB"/>
        </w:rPr>
      </w:pPr>
      <w:r w:rsidRPr="00A32FC0">
        <w:rPr>
          <w:rFonts w:hint="cs"/>
          <w:b/>
          <w:bCs/>
          <w:rtl/>
          <w:lang w:bidi="ar-LB"/>
        </w:rPr>
        <w:t>وثالثاً</w:t>
      </w:r>
      <w:r w:rsidRPr="00A32FC0">
        <w:rPr>
          <w:rFonts w:hint="cs"/>
          <w:rtl/>
          <w:lang w:bidi="ar-LB"/>
        </w:rPr>
        <w:t xml:space="preserve">: إنّ القول بأنّه </w:t>
      </w:r>
      <w:r w:rsidRPr="00A32FC0">
        <w:rPr>
          <w:rFonts w:hint="cs"/>
          <w:rtl/>
        </w:rPr>
        <w:t>«</w:t>
      </w:r>
      <w:r w:rsidRPr="00A32FC0">
        <w:rPr>
          <w:rFonts w:hint="cs"/>
          <w:rtl/>
          <w:lang w:bidi="ar-LB"/>
        </w:rPr>
        <w:t>إذا لم يتمّ هذا التعيين [تعيين الفقهاء لمنصب الولاية] فإنّ نظم أمور المجتمع سوف يختلّ</w:t>
      </w:r>
      <w:r w:rsidRPr="00A32FC0">
        <w:rPr>
          <w:rFonts w:hint="cs"/>
          <w:rtl/>
        </w:rPr>
        <w:t>»</w:t>
      </w:r>
      <w:r w:rsidRPr="00A32FC0">
        <w:rPr>
          <w:rFonts w:hint="cs"/>
          <w:rtl/>
          <w:lang w:bidi="ar-LB"/>
        </w:rPr>
        <w:t xml:space="preserve"> قولٌ غريبٌ. فمن الواضح عدم اختلال النظام</w:t>
      </w:r>
      <w:r>
        <w:rPr>
          <w:rFonts w:hint="cs"/>
          <w:rtl/>
          <w:lang w:bidi="ar-LB"/>
        </w:rPr>
        <w:t xml:space="preserve"> </w:t>
      </w:r>
      <w:r w:rsidRPr="00A32FC0">
        <w:rPr>
          <w:rFonts w:hint="cs"/>
          <w:rtl/>
          <w:lang w:bidi="ar-LB"/>
        </w:rPr>
        <w:t>في الدول التي لا يتولّى الفقهاء فيها تدبير أمور المجتمع</w:t>
      </w:r>
      <w:r>
        <w:rPr>
          <w:rFonts w:hint="cs"/>
          <w:rtl/>
          <w:lang w:bidi="ar-LB"/>
        </w:rPr>
        <w:t>،</w:t>
      </w:r>
      <w:r w:rsidRPr="00A32FC0">
        <w:rPr>
          <w:rFonts w:hint="cs"/>
          <w:rtl/>
          <w:lang w:bidi="ar-LB"/>
        </w:rPr>
        <w:t xml:space="preserve"> بل نرى أنه من حيث المعايير الدنيوية للنظام هي أكثر تنظيماً من غيرها.</w:t>
      </w:r>
    </w:p>
    <w:p w:rsidR="00EA09EB" w:rsidRPr="00A32FC0" w:rsidRDefault="00EA09EB" w:rsidP="00CE7A94">
      <w:pPr>
        <w:pStyle w:val="Normal87"/>
        <w:rPr>
          <w:rtl/>
        </w:rPr>
      </w:pPr>
      <w:r w:rsidRPr="00A32FC0">
        <w:rPr>
          <w:rFonts w:hint="cs"/>
          <w:rtl/>
        </w:rPr>
        <w:t xml:space="preserve">وأمّا المقدّمة الخامسة </w:t>
      </w:r>
      <w:r w:rsidRPr="00A32FC0">
        <w:rPr>
          <w:rtl/>
        </w:rPr>
        <w:t>ـ</w:t>
      </w:r>
      <w:r w:rsidRPr="00A32FC0">
        <w:rPr>
          <w:rFonts w:hint="cs"/>
          <w:rtl/>
        </w:rPr>
        <w:t xml:space="preserve"> أي شرط الفقاهة </w:t>
      </w:r>
      <w:r w:rsidRPr="00A32FC0">
        <w:rPr>
          <w:rtl/>
        </w:rPr>
        <w:t>ـ</w:t>
      </w:r>
      <w:r w:rsidRPr="00A32FC0">
        <w:rPr>
          <w:rFonts w:hint="cs"/>
          <w:rtl/>
        </w:rPr>
        <w:t xml:space="preserve"> فلا شكّ في أنّ الفقهاء هم أشرف الناس بعد الإمام</w:t>
      </w:r>
      <w:r>
        <w:rPr>
          <w:rFonts w:hint="cs"/>
          <w:rtl/>
        </w:rPr>
        <w:t>×</w:t>
      </w:r>
      <w:r w:rsidRPr="00A32FC0">
        <w:rPr>
          <w:rFonts w:hint="cs"/>
          <w:rtl/>
        </w:rPr>
        <w:t xml:space="preserve"> من جهة الدعوة إلى الدين، وتعليم الأحكام الشرعية ونشرها، أمّا أن يكون الفقهاء، من حيث هم فقهاء، أشرف الناس في الأمور الأخرى، التي من جملتها: التدبير الاجتماعيّ والسياسيّ للبلاد، فهو محلّ بحث. ولا يوجد أيّ دليل عقليّ أو نقليّ يدلّ على هذا الأمر. بل ذهب بعض الفقهاء إلى التصريح بعدم امتياز الفقهاء في التدبير السياسيّ والاجتماعيّ، ومنهم: المحقِّق الشيخ محمد حسين الغرويّ الأصفهانيّ، الذي يعدّ من كبار العلماء البارزين في القرن الأخير، وخاصّة في أصول الفقه، فهو يقول: «فإيكال أمرها [أي الأمور السياسيّة] إليه [أي الرئيس] من حيث إن نظره مكمِّل لنقص غيره. ومثل هذا الأمر يتوقَّف على نظر مَنْ كان له بصيرة تامّة به فوق أنظار العامّة. والفقيه بما هو فقيهٌ أهلٌ للنظر في مرحلة الاستنباط، دون الأمور المتعلِّقة بتنظيم البلاد، وحفظ الثغور، وتدبير شؤون الدفاع والجهاد، وأمثال ذلك. فلا معنى لإيكال هذه الأمور [الأمور السياسية] إلى الفقيه بما هو فقيه، وإنّما فوّض أمرها إلى الإمام</w:t>
      </w:r>
      <w:r>
        <w:rPr>
          <w:rFonts w:hint="cs"/>
          <w:rtl/>
        </w:rPr>
        <w:t>×</w:t>
      </w:r>
      <w:r w:rsidRPr="00A32FC0">
        <w:rPr>
          <w:rFonts w:hint="cs"/>
          <w:rtl/>
        </w:rPr>
        <w:t>؛ لأنّه عندنا أعلم الناس بجميع السياسات والأحكام، فلا يقاس بغيره ممَّنْ ليس كذلك [لا يعلمون بالغيب]»</w:t>
      </w:r>
      <w:r w:rsidRPr="00064619">
        <w:rPr>
          <w:rFonts w:cs="Taher"/>
          <w:vertAlign w:val="superscript"/>
          <w:rtl/>
        </w:rPr>
        <w:t>(</w:t>
      </w:r>
      <w:r w:rsidRPr="00064619">
        <w:rPr>
          <w:rStyle w:val="FootnoteReference"/>
          <w:rFonts w:cs="Taher"/>
          <w:sz w:val="32"/>
          <w:rtl/>
        </w:rPr>
        <w:footnoteReference w:id="799"/>
      </w:r>
      <w:r w:rsidRPr="00064619">
        <w:rPr>
          <w:rFonts w:cs="Taher"/>
          <w:vertAlign w:val="superscript"/>
          <w:rtl/>
        </w:rPr>
        <w:t>)</w:t>
      </w:r>
      <w:r w:rsidRPr="00A32FC0">
        <w:rPr>
          <w:rFonts w:hint="cs"/>
          <w:rtl/>
        </w:rPr>
        <w:t>.</w:t>
      </w:r>
    </w:p>
    <w:p w:rsidR="00EA09EB" w:rsidRPr="00A32FC0" w:rsidRDefault="00EA09EB" w:rsidP="00EA09EB">
      <w:pPr>
        <w:rPr>
          <w:rtl/>
          <w:lang w:bidi="ar-LB"/>
        </w:rPr>
      </w:pPr>
      <w:r w:rsidRPr="00A32FC0">
        <w:rPr>
          <w:rFonts w:hint="cs"/>
          <w:rtl/>
          <w:lang w:bidi="ar-LB"/>
        </w:rPr>
        <w:t>كما أنّ بعض طلاّب هذا العالم الجليل ـ أي العلامة الطباطبائيّ، والسيد الخوئي ـ قد ذهبوا إلى الرأي نفسه</w:t>
      </w:r>
      <w:r w:rsidRPr="00064619">
        <w:rPr>
          <w:rFonts w:cs="Taher"/>
          <w:vertAlign w:val="superscript"/>
          <w:rtl/>
          <w:lang w:bidi="ar-LB"/>
        </w:rPr>
        <w:t>(</w:t>
      </w:r>
      <w:r w:rsidRPr="00064619">
        <w:rPr>
          <w:rStyle w:val="FootnoteReference"/>
          <w:rFonts w:cs="Taher"/>
          <w:sz w:val="32"/>
          <w:rtl/>
          <w:lang w:bidi="ar-LB"/>
        </w:rPr>
        <w:footnoteReference w:id="800"/>
      </w:r>
      <w:r w:rsidRPr="00064619">
        <w:rPr>
          <w:rFonts w:cs="Taher"/>
          <w:vertAlign w:val="superscript"/>
          <w:rtl/>
          <w:lang w:bidi="ar-LB"/>
        </w:rPr>
        <w:t>)</w:t>
      </w:r>
      <w:r w:rsidRPr="00A32FC0">
        <w:rPr>
          <w:rFonts w:hint="cs"/>
          <w:rtl/>
          <w:lang w:bidi="ar-LB"/>
        </w:rPr>
        <w:t>.</w:t>
      </w:r>
    </w:p>
    <w:p w:rsidR="00EA09EB" w:rsidRPr="00A32FC0" w:rsidRDefault="00EA09EB" w:rsidP="00EA09EB">
      <w:pPr>
        <w:rPr>
          <w:rtl/>
          <w:lang w:bidi="ar-LB"/>
        </w:rPr>
      </w:pPr>
      <w:r w:rsidRPr="00A32FC0">
        <w:rPr>
          <w:rFonts w:hint="cs"/>
          <w:rtl/>
          <w:lang w:bidi="ar-LB"/>
        </w:rPr>
        <w:t xml:space="preserve">كما أن الشيخ الأراكي، عندما يتعرَّض لهذا المجال، يقول: </w:t>
      </w:r>
      <w:r w:rsidRPr="00A32FC0">
        <w:rPr>
          <w:rFonts w:hint="cs"/>
          <w:rtl/>
        </w:rPr>
        <w:t>«</w:t>
      </w:r>
      <w:r w:rsidRPr="00A32FC0">
        <w:rPr>
          <w:rFonts w:hint="cs"/>
          <w:rtl/>
          <w:lang w:bidi="ar-LB"/>
        </w:rPr>
        <w:t>نعم، ما كان شأناً للفقيه الجامع للشرائط هو إجراء الحدود والإفتاء والقضاء والولاية على الغُيَّب والقُصَّر. وأين ذلك من التصدّي لحفظ ثغور المسلمين عن تعدّي أيدي الفسقة والكفرة، وإدارة أمر معاشهم، وحفظ حوزتهم، ورفع أيدي الكفرة عن رؤوسهم؟!</w:t>
      </w:r>
      <w:r w:rsidRPr="00A32FC0">
        <w:rPr>
          <w:rFonts w:hint="cs"/>
          <w:rtl/>
        </w:rPr>
        <w:t>»</w:t>
      </w:r>
      <w:r w:rsidRPr="00064619">
        <w:rPr>
          <w:rFonts w:cs="Taher"/>
          <w:vertAlign w:val="superscript"/>
          <w:rtl/>
        </w:rPr>
        <w:t>(</w:t>
      </w:r>
      <w:r w:rsidRPr="00064619">
        <w:rPr>
          <w:rStyle w:val="FootnoteReference"/>
          <w:rFonts w:cs="Taher"/>
          <w:sz w:val="32"/>
          <w:rtl/>
        </w:rPr>
        <w:footnoteReference w:id="801"/>
      </w:r>
      <w:r w:rsidRPr="00064619">
        <w:rPr>
          <w:rFonts w:cs="Taher"/>
          <w:vertAlign w:val="superscript"/>
          <w:rtl/>
        </w:rPr>
        <w:t>)</w:t>
      </w:r>
      <w:r w:rsidRPr="00A32FC0">
        <w:rPr>
          <w:rFonts w:hint="cs"/>
          <w:rtl/>
          <w:lang w:bidi="ar-LB"/>
        </w:rPr>
        <w:t>.</w:t>
      </w:r>
    </w:p>
    <w:p w:rsidR="00EA09EB" w:rsidRPr="00EA09EB" w:rsidRDefault="00EA09EB" w:rsidP="00CE7A94">
      <w:pPr>
        <w:pStyle w:val="Normal93"/>
        <w:rPr>
          <w:rtl/>
        </w:rPr>
      </w:pPr>
      <w:r w:rsidRPr="00A32FC0">
        <w:rPr>
          <w:rFonts w:hint="cs"/>
          <w:rtl/>
        </w:rPr>
        <w:t xml:space="preserve">وأمّا المقدّمة السادسة </w:t>
      </w:r>
      <w:r w:rsidRPr="00A32FC0">
        <w:rPr>
          <w:rtl/>
        </w:rPr>
        <w:t>ـ</w:t>
      </w:r>
      <w:r w:rsidRPr="00A32FC0">
        <w:rPr>
          <w:rFonts w:hint="cs"/>
          <w:rtl/>
        </w:rPr>
        <w:t xml:space="preserve"> دائرة صلاحيات الحاكم الإسلاميّ ـ فسوف نتعرَّض لها بشكل مفصَّل في المباحث التالية، وأمّا هنا فنقول بنحوٍ إجماليٍّ: </w:t>
      </w:r>
      <w:r w:rsidRPr="00A32FC0">
        <w:rPr>
          <w:rFonts w:hint="cs"/>
          <w:b/>
          <w:bCs/>
          <w:rtl/>
        </w:rPr>
        <w:t>أولاً</w:t>
      </w:r>
      <w:r w:rsidRPr="00EA09EB">
        <w:rPr>
          <w:rFonts w:hint="cs"/>
          <w:rtl/>
        </w:rPr>
        <w:t>: إنّ الولاية المطلقة للمعصومين</w:t>
      </w:r>
      <w:r w:rsidR="007A340E">
        <w:rPr>
          <w:rFonts w:hint="cs"/>
          <w:rtl/>
        </w:rPr>
        <w:t>^</w:t>
      </w:r>
      <w:r w:rsidRPr="00EA09EB">
        <w:rPr>
          <w:rFonts w:hint="cs"/>
          <w:rtl/>
        </w:rPr>
        <w:t xml:space="preserve"> هي محلّ نقاش عند بعض الفقهاء، ومنهم: الآخوند الخراساني</w:t>
      </w:r>
      <w:r w:rsidRPr="00064619">
        <w:rPr>
          <w:rFonts w:cs="Taher"/>
          <w:vertAlign w:val="superscript"/>
          <w:rtl/>
        </w:rPr>
        <w:t>(</w:t>
      </w:r>
      <w:r w:rsidRPr="00064619">
        <w:rPr>
          <w:rStyle w:val="FootnoteReference"/>
          <w:rFonts w:cs="Taher"/>
          <w:sz w:val="32"/>
          <w:rtl/>
        </w:rPr>
        <w:footnoteReference w:id="802"/>
      </w:r>
      <w:r w:rsidRPr="00064619">
        <w:rPr>
          <w:rFonts w:cs="Taher"/>
          <w:vertAlign w:val="superscript"/>
          <w:rtl/>
        </w:rPr>
        <w:t>)</w:t>
      </w:r>
      <w:r w:rsidRPr="00EA09EB">
        <w:rPr>
          <w:rFonts w:hint="cs"/>
          <w:rtl/>
        </w:rPr>
        <w:t xml:space="preserve">. </w:t>
      </w:r>
    </w:p>
    <w:p w:rsidR="00EA09EB" w:rsidRPr="00EA09EB" w:rsidRDefault="00EA09EB" w:rsidP="007A340E">
      <w:pPr>
        <w:ind w:firstLine="283"/>
        <w:rPr>
          <w:rtl/>
        </w:rPr>
      </w:pPr>
      <w:r w:rsidRPr="007A340E">
        <w:rPr>
          <w:rFonts w:hint="cs"/>
          <w:b/>
          <w:bCs/>
          <w:rtl/>
        </w:rPr>
        <w:t>وثانياً</w:t>
      </w:r>
      <w:r w:rsidRPr="00EA09EB">
        <w:rPr>
          <w:rFonts w:hint="cs"/>
          <w:rtl/>
        </w:rPr>
        <w:t xml:space="preserve">: على فرض إثبات الولاية المطلقة للمعصومين فإن انتقال هذه الولاية إلى الفقهاء يحتاج إلى رفع اليد عن ارتباط علم الغيب والعصمة بهذه المسألة. </w:t>
      </w:r>
    </w:p>
    <w:p w:rsidR="00EA09EB" w:rsidRPr="00A32FC0" w:rsidRDefault="00EA09EB" w:rsidP="00EA09EB">
      <w:pPr>
        <w:rPr>
          <w:rtl/>
          <w:lang w:bidi="ar-LB"/>
        </w:rPr>
      </w:pPr>
      <w:r w:rsidRPr="00A32FC0">
        <w:rPr>
          <w:rFonts w:hint="cs"/>
          <w:rtl/>
          <w:lang w:bidi="ar-LB"/>
        </w:rPr>
        <w:t xml:space="preserve">وعلى </w:t>
      </w:r>
      <w:r>
        <w:rPr>
          <w:rFonts w:hint="cs"/>
          <w:rtl/>
          <w:lang w:bidi="ar-LB"/>
        </w:rPr>
        <w:t>أيّ</w:t>
      </w:r>
      <w:r w:rsidRPr="00A32FC0">
        <w:rPr>
          <w:rFonts w:hint="cs"/>
          <w:rtl/>
          <w:lang w:bidi="ar-LB"/>
        </w:rPr>
        <w:t xml:space="preserve"> حال فإنّ إثبات هذه المقدّمة متوقِّف على صحة أدلّتها النقليّة.</w:t>
      </w:r>
    </w:p>
    <w:p w:rsidR="00EA09EB" w:rsidRDefault="00EA09EB" w:rsidP="00EA09EB">
      <w:pPr>
        <w:rPr>
          <w:rtl/>
          <w:lang w:bidi="ar-LB"/>
        </w:rPr>
      </w:pPr>
      <w:r w:rsidRPr="00A32FC0">
        <w:rPr>
          <w:rFonts w:hint="cs"/>
          <w:rtl/>
          <w:lang w:bidi="ar-LB"/>
        </w:rPr>
        <w:t>والنتيجة أنّ هذا الدليل قاصرٌ أيضاً عن إثبات الولاية التعيينيّة للفقهاء.</w:t>
      </w:r>
    </w:p>
    <w:p w:rsidR="007A340E" w:rsidRPr="00A32FC0" w:rsidRDefault="007A340E" w:rsidP="00EA09EB">
      <w:pPr>
        <w:rPr>
          <w:rtl/>
          <w:lang w:bidi="ar-LB"/>
        </w:rPr>
      </w:pPr>
    </w:p>
    <w:p w:rsidR="00EA09EB" w:rsidRPr="00000741" w:rsidRDefault="00EA09EB" w:rsidP="007A340E">
      <w:pPr>
        <w:pStyle w:val="Heading3"/>
        <w:rPr>
          <w:rtl/>
        </w:rPr>
      </w:pPr>
      <w:r w:rsidRPr="00000741">
        <w:rPr>
          <w:rFonts w:hint="cs"/>
          <w:rtl/>
        </w:rPr>
        <w:t xml:space="preserve">الدليل </w:t>
      </w:r>
      <w:r w:rsidRPr="007A340E">
        <w:rPr>
          <w:rFonts w:hint="cs"/>
          <w:rtl/>
        </w:rPr>
        <w:t>الثالث</w:t>
      </w:r>
    </w:p>
    <w:p w:rsidR="00EA09EB" w:rsidRPr="00A32FC0" w:rsidRDefault="00EA09EB" w:rsidP="00EA09EB">
      <w:pPr>
        <w:rPr>
          <w:rtl/>
          <w:lang w:bidi="ar-LB"/>
        </w:rPr>
      </w:pPr>
      <w:r w:rsidRPr="00A32FC0">
        <w:rPr>
          <w:rFonts w:hint="cs"/>
          <w:rtl/>
          <w:lang w:bidi="ar-LB"/>
        </w:rPr>
        <w:t>بعد إقراره بقصور الأدلة النقليّة على الولاية التعيينيّة العامّة للفقهاء قام السيد محمد حسين البروجرديّ</w:t>
      </w:r>
      <w:r>
        <w:rPr>
          <w:rFonts w:hint="cs"/>
          <w:rtl/>
          <w:lang w:bidi="ar-LB"/>
        </w:rPr>
        <w:t xml:space="preserve"> </w:t>
      </w:r>
      <w:r w:rsidRPr="00A32FC0">
        <w:rPr>
          <w:rFonts w:hint="cs"/>
          <w:rtl/>
          <w:lang w:bidi="ar-LB"/>
        </w:rPr>
        <w:t>(</w:t>
      </w:r>
      <w:r>
        <w:rPr>
          <w:rFonts w:hint="cs"/>
          <w:rtl/>
          <w:lang w:bidi="ar-LB"/>
        </w:rPr>
        <w:t xml:space="preserve">م </w:t>
      </w:r>
      <w:r w:rsidRPr="00A32FC0">
        <w:rPr>
          <w:rFonts w:hint="cs"/>
          <w:rtl/>
          <w:lang w:bidi="ar-LB"/>
        </w:rPr>
        <w:t>1380هـ) بعرض دليلٍ ملفَّق من العقل والنقل</w:t>
      </w:r>
      <w:r>
        <w:rPr>
          <w:rFonts w:hint="cs"/>
          <w:rtl/>
          <w:lang w:bidi="ar-LB"/>
        </w:rPr>
        <w:t>؛</w:t>
      </w:r>
      <w:r w:rsidRPr="00A32FC0">
        <w:rPr>
          <w:rFonts w:hint="cs"/>
          <w:rtl/>
          <w:lang w:bidi="ar-LB"/>
        </w:rPr>
        <w:t xml:space="preserve"> لإثبات هذه الولاية. </w:t>
      </w:r>
    </w:p>
    <w:p w:rsidR="00EA09EB" w:rsidRPr="00A32FC0" w:rsidRDefault="00EA09EB" w:rsidP="00EA09EB">
      <w:pPr>
        <w:rPr>
          <w:rtl/>
          <w:lang w:bidi="ar-LB"/>
        </w:rPr>
      </w:pPr>
      <w:r w:rsidRPr="00A32FC0">
        <w:rPr>
          <w:rFonts w:hint="cs"/>
          <w:rtl/>
          <w:lang w:bidi="ar-LB"/>
        </w:rPr>
        <w:t>وقد قام أحد طلاّبه الفضلاء بتقرير هذا الدليل مفكِّكاً مقدّماته بشكل واضحّ. وهنا ملخَّص لهذا الدليل:</w:t>
      </w:r>
    </w:p>
    <w:p w:rsidR="00EA09EB" w:rsidRPr="00EA09EB" w:rsidRDefault="00EA09EB" w:rsidP="007A340E">
      <w:pPr>
        <w:ind w:firstLine="283"/>
        <w:rPr>
          <w:rtl/>
        </w:rPr>
      </w:pPr>
      <w:r w:rsidRPr="007A340E">
        <w:rPr>
          <w:rFonts w:hint="cs"/>
          <w:b/>
          <w:bCs/>
          <w:rtl/>
        </w:rPr>
        <w:t>المقدّمة الأولى</w:t>
      </w:r>
      <w:r w:rsidRPr="00EA09EB">
        <w:rPr>
          <w:rFonts w:hint="cs"/>
          <w:rtl/>
        </w:rPr>
        <w:t>: هناك حوائج اجتماعيّة يتوقَّف عليها حفظ النظام، وهي من وظائف السائس الاجتماعيّ والقائد.</w:t>
      </w:r>
    </w:p>
    <w:p w:rsidR="00EA09EB" w:rsidRPr="00EA09EB" w:rsidRDefault="00EA09EB" w:rsidP="007A340E">
      <w:pPr>
        <w:ind w:firstLine="283"/>
        <w:rPr>
          <w:rtl/>
        </w:rPr>
      </w:pPr>
      <w:r w:rsidRPr="007A340E">
        <w:rPr>
          <w:rFonts w:hint="cs"/>
          <w:b/>
          <w:bCs/>
          <w:rtl/>
        </w:rPr>
        <w:t>المقدّمة الثانية</w:t>
      </w:r>
      <w:r w:rsidRPr="00EA09EB">
        <w:rPr>
          <w:rFonts w:hint="cs"/>
          <w:rtl/>
        </w:rPr>
        <w:t>: إنّ الديانة الإسلاميّة المقدَّسة لم تهمل هذه الأمور [الاجتماعيّة العامّة]، بل اهتمَّت بها أشدّ الاهتمام، وشرَّعت بلحاظها أحكاماً كثيرةً، وفوَّضت إجراءها إلى سائس المسلمين.</w:t>
      </w:r>
    </w:p>
    <w:p w:rsidR="00EA09EB" w:rsidRPr="00EA09EB" w:rsidRDefault="00EA09EB" w:rsidP="007A340E">
      <w:pPr>
        <w:ind w:firstLine="283"/>
        <w:rPr>
          <w:rtl/>
        </w:rPr>
      </w:pPr>
      <w:r w:rsidRPr="007A340E">
        <w:rPr>
          <w:rFonts w:hint="cs"/>
          <w:b/>
          <w:bCs/>
          <w:rtl/>
        </w:rPr>
        <w:t>المقدّمة الثالثة</w:t>
      </w:r>
      <w:r w:rsidRPr="00EA09EB">
        <w:rPr>
          <w:rFonts w:hint="cs"/>
          <w:rtl/>
        </w:rPr>
        <w:t>: إنّ سائس المسلمين في الصدر الأوّل [من الإسلام] لم يكن إلاّ النبيّ</w:t>
      </w:r>
      <w:r w:rsidRPr="00EA09EB">
        <w:rPr>
          <w:rFonts w:hint="cs"/>
          <w:rtl/>
        </w:rPr>
        <w:sym w:font="Roumouz" w:char="F02D"/>
      </w:r>
      <w:r w:rsidRPr="00EA09EB">
        <w:rPr>
          <w:rFonts w:hint="cs"/>
          <w:rtl/>
        </w:rPr>
        <w:t xml:space="preserve"> نفسه، ثم الخلفاء بعده. وبعد وفاة النبيّ</w:t>
      </w:r>
      <w:r w:rsidRPr="00EA09EB">
        <w:rPr>
          <w:rFonts w:hint="cs"/>
          <w:rtl/>
        </w:rPr>
        <w:sym w:font="Roumouz" w:char="F02D"/>
      </w:r>
      <w:r w:rsidRPr="00EA09EB">
        <w:rPr>
          <w:rFonts w:hint="cs"/>
          <w:rtl/>
        </w:rPr>
        <w:t xml:space="preserve"> كان المرجعُ الحقّ في الأمور الاجتماعيّة الأئمة الاثني عشر. كما كانت السياسة وتدبير شؤون المجتمع من وظائفهم أيضاً. هذا ما يعتقده جميع الشيعة الإماميّة. ولا محالة أنّها كانت مركوزةً في أذهان أصحاب الأئمّة</w:t>
      </w:r>
      <w:r w:rsidR="007A340E">
        <w:rPr>
          <w:rFonts w:hint="cs"/>
          <w:rtl/>
        </w:rPr>
        <w:t>^</w:t>
      </w:r>
      <w:r w:rsidRPr="00EA09EB">
        <w:rPr>
          <w:rFonts w:hint="cs"/>
          <w:rtl/>
        </w:rPr>
        <w:t xml:space="preserve"> أيضاً.</w:t>
      </w:r>
    </w:p>
    <w:p w:rsidR="00EA09EB" w:rsidRPr="00EA09EB" w:rsidRDefault="00EA09EB" w:rsidP="007A340E">
      <w:pPr>
        <w:ind w:firstLine="283"/>
        <w:rPr>
          <w:rtl/>
        </w:rPr>
      </w:pPr>
      <w:r w:rsidRPr="007A340E">
        <w:rPr>
          <w:rFonts w:hint="cs"/>
          <w:b/>
          <w:bCs/>
          <w:rtl/>
        </w:rPr>
        <w:t>المقدّمة الرابعة</w:t>
      </w:r>
      <w:r w:rsidRPr="00EA09EB">
        <w:rPr>
          <w:rFonts w:hint="cs"/>
          <w:rtl/>
        </w:rPr>
        <w:t xml:space="preserve">: لمّا كانت المسائل السياسيّة وتدبير الأمور الاجتماعيّة ممّا يبتلى بها الجميع مدّة عمرهم، غالباً، ولم يكن الشيعة في عصر الأئمّة متمكِّنين من الرجوع إليهم في جميع الحالات، كما يشهد بذلك ـ مضافاً إلى تفرّقهم في البلدان </w:t>
      </w:r>
      <w:r w:rsidRPr="00EA09EB">
        <w:rPr>
          <w:rtl/>
        </w:rPr>
        <w:t>ـ</w:t>
      </w:r>
      <w:r w:rsidRPr="00EA09EB">
        <w:rPr>
          <w:rFonts w:hint="cs"/>
          <w:rtl/>
        </w:rPr>
        <w:t xml:space="preserve"> عدم كون الأئمّة مبسوطي اليد، بحيث يرجع إليهم في كلّ وقت لأيّ حاجة اتّفقت، لا محالة يحصل لنا القطع بأنّ أمثال زرارة ومحمد بن مسلم وغيرهما من خواصّ الأئمّة سألوهم عمَّنْ يرجع إليه في مثل تلك الأمور إذا لم يتمكَّنوا منهم</w:t>
      </w:r>
      <w:r w:rsidR="007A340E">
        <w:rPr>
          <w:rFonts w:hint="cs"/>
          <w:rtl/>
        </w:rPr>
        <w:t>^</w:t>
      </w:r>
      <w:r w:rsidRPr="00EA09EB">
        <w:rPr>
          <w:rFonts w:hint="cs"/>
          <w:rtl/>
        </w:rPr>
        <w:t>، ونقطع أيضاً بأنّ الأئمّة</w:t>
      </w:r>
      <w:r w:rsidR="007A340E">
        <w:rPr>
          <w:rFonts w:hint="cs"/>
          <w:rtl/>
        </w:rPr>
        <w:t>^</w:t>
      </w:r>
      <w:r w:rsidRPr="00EA09EB">
        <w:rPr>
          <w:rFonts w:hint="cs"/>
          <w:rtl/>
        </w:rPr>
        <w:t xml:space="preserve"> لم يهملوا هذه الأمور العامّة البلوى، التي لا يرضى الشارع بإهمالها، بل نَصَبوا لها مَنْ يرجع إليه شيعتهم إذا لم يتمكَّنوا منهم</w:t>
      </w:r>
      <w:r w:rsidR="007A340E">
        <w:rPr>
          <w:rFonts w:hint="cs"/>
          <w:rtl/>
        </w:rPr>
        <w:t>^</w:t>
      </w:r>
      <w:r w:rsidRPr="00EA09EB">
        <w:rPr>
          <w:rFonts w:hint="cs"/>
          <w:rtl/>
        </w:rPr>
        <w:t>، ولا سيّما مع علمهم</w:t>
      </w:r>
      <w:r w:rsidR="007A340E">
        <w:rPr>
          <w:rFonts w:hint="cs"/>
          <w:rtl/>
        </w:rPr>
        <w:t>^</w:t>
      </w:r>
      <w:r w:rsidRPr="00EA09EB">
        <w:rPr>
          <w:rFonts w:hint="cs"/>
          <w:rtl/>
        </w:rPr>
        <w:t xml:space="preserve"> بعدم تمكُّن أغلب الشيعة من الرجوع إليهم، بل عدم تمكُّن الجميع في عصر غيبتهم التي كانوا يخبرون عنها غالباً، ويهيِّئون شيعتهم لها. وهل لأحدٍ أن يحتمل أنّهم</w:t>
      </w:r>
      <w:r w:rsidR="007A340E">
        <w:rPr>
          <w:rFonts w:hint="cs"/>
          <w:rtl/>
        </w:rPr>
        <w:t>^</w:t>
      </w:r>
      <w:r w:rsidRPr="00EA09EB">
        <w:rPr>
          <w:rFonts w:hint="cs"/>
          <w:rtl/>
        </w:rPr>
        <w:t xml:space="preserve"> نهوا شيعتهم عن الرجوع إلى الطواغيت، وقضاة الجور، ومع ذلك أهملوا لهم هذه الأمور، ولم يعيّنوا مَنْ يرجع إليه الشيعة في فصل الخصومات، والتصرُّف في أموال الغُيَّب والقُصَّر، والدفاع عن حوزة الإسلام، ونحو ذلك من الأمور المهمّة، التي لا يرضى الشارع بإهمالها؟! وكيفما كان فنحن نقطع بأنّ أصحاب الأئمّة</w:t>
      </w:r>
      <w:r w:rsidR="007A340E">
        <w:rPr>
          <w:rFonts w:hint="cs"/>
          <w:rtl/>
        </w:rPr>
        <w:t>^</w:t>
      </w:r>
      <w:r w:rsidRPr="00EA09EB">
        <w:rPr>
          <w:rFonts w:hint="cs"/>
          <w:rtl/>
        </w:rPr>
        <w:t xml:space="preserve"> سألوهم عمَّنْ يرجع إليه الشيعة في تلك الأمور، مع عدم التمكُّن منهم</w:t>
      </w:r>
      <w:r w:rsidR="007A340E">
        <w:rPr>
          <w:rFonts w:hint="cs"/>
          <w:rtl/>
        </w:rPr>
        <w:t>^</w:t>
      </w:r>
      <w:r w:rsidRPr="00EA09EB">
        <w:rPr>
          <w:rFonts w:hint="cs"/>
          <w:rtl/>
        </w:rPr>
        <w:t>، وأنّ الأئمة</w:t>
      </w:r>
      <w:r w:rsidR="007A340E">
        <w:rPr>
          <w:rFonts w:hint="cs"/>
          <w:rtl/>
        </w:rPr>
        <w:t>^</w:t>
      </w:r>
      <w:r w:rsidRPr="00EA09EB">
        <w:rPr>
          <w:rFonts w:hint="cs"/>
          <w:rtl/>
        </w:rPr>
        <w:t xml:space="preserve"> أيضاً أجابوهم بذلك، ونصبوا لهم مع عدم التمكُّن منهم</w:t>
      </w:r>
      <w:r w:rsidR="007A340E">
        <w:rPr>
          <w:rFonts w:hint="cs"/>
          <w:rtl/>
        </w:rPr>
        <w:t>^</w:t>
      </w:r>
      <w:r w:rsidRPr="00EA09EB">
        <w:rPr>
          <w:rFonts w:hint="cs"/>
          <w:rtl/>
        </w:rPr>
        <w:t xml:space="preserve"> أشخاصاً يتمكَّنون منهم إذا احتاجوا. وغاية الأمر سقوط تلك الأسئلة والأجوبة من الجوامع التي بأيدينا، ولم يصِلْ إلينا إلاّ ما رواه عمر بن حنظلة وأبو خديجة.</w:t>
      </w:r>
    </w:p>
    <w:p w:rsidR="00EA09EB" w:rsidRPr="00EA09EB" w:rsidRDefault="00EA09EB" w:rsidP="007A340E">
      <w:pPr>
        <w:ind w:firstLine="283"/>
        <w:rPr>
          <w:rtl/>
        </w:rPr>
      </w:pPr>
      <w:r w:rsidRPr="007A340E">
        <w:rPr>
          <w:rFonts w:hint="cs"/>
          <w:b/>
          <w:bCs/>
          <w:rtl/>
        </w:rPr>
        <w:t>المقدّمة الخامسة</w:t>
      </w:r>
      <w:r w:rsidRPr="00EA09EB">
        <w:rPr>
          <w:rFonts w:hint="cs"/>
          <w:rtl/>
        </w:rPr>
        <w:t>: بالنظر إلى ضرورة التعيين والنصب من قِبَل الأئمّة فلا محالة يتعيَّن الفقيه. لذلك إذا لم يقُلْ أحدٌ بنصب غيره فالأمر يدور بين عدم النصب وبين نصب الفقيه العادل. وإذا ثبت بطلان الأوّل؛ بما ذكرناه، صار نصب الفقيه مقطوعاً به، وصارت مقبولة عمر بن حنظلة من شواهد ذلك أيضاً.</w:t>
      </w:r>
    </w:p>
    <w:p w:rsidR="00EA09EB" w:rsidRPr="00EA09EB" w:rsidRDefault="00EA09EB" w:rsidP="007A340E">
      <w:pPr>
        <w:ind w:firstLine="283"/>
        <w:rPr>
          <w:rtl/>
        </w:rPr>
      </w:pPr>
      <w:r w:rsidRPr="007A340E">
        <w:rPr>
          <w:rFonts w:hint="cs"/>
          <w:b/>
          <w:bCs/>
          <w:rtl/>
        </w:rPr>
        <w:t>المقدّمة السادسة</w:t>
      </w:r>
      <w:r w:rsidRPr="00EA09EB">
        <w:rPr>
          <w:rFonts w:hint="cs"/>
          <w:rtl/>
        </w:rPr>
        <w:t>: إنّ الدائرة التي تشملها ولاية الفقيه هي جميع الأمور الاجتماعيّة، والتي لا تعدّ وظيفة فرد خاصّ من أفراد المجتمع، والتي لا يرضى الشارع بإهمالها كيفما كان، سواء في عصر الحضور أم في عصر الغيبة»</w:t>
      </w:r>
      <w:r w:rsidRPr="00064619">
        <w:rPr>
          <w:rFonts w:cs="Taher"/>
          <w:sz w:val="32"/>
          <w:vertAlign w:val="superscript"/>
          <w:rtl/>
        </w:rPr>
        <w:t>(</w:t>
      </w:r>
      <w:r w:rsidRPr="00064619">
        <w:rPr>
          <w:rStyle w:val="FootnoteReference"/>
          <w:rFonts w:cs="Taher"/>
          <w:sz w:val="32"/>
          <w:rtl/>
        </w:rPr>
        <w:footnoteReference w:id="803"/>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أمّا المقدّمة الأولى فمقبولة إجمالاً، إلاّ أنّ المتصدّي للأمور العامّة ليس بالضرورة أن يكون فرداً واحداً، فيمكن أن يكون المتصدّي مجموعة أشخاص أو هيئة حكوميّة.</w:t>
      </w:r>
    </w:p>
    <w:p w:rsidR="00EA09EB" w:rsidRPr="00EA09EB" w:rsidRDefault="00EA09EB" w:rsidP="00CE7A94">
      <w:pPr>
        <w:pStyle w:val="Normal93"/>
        <w:rPr>
          <w:rtl/>
        </w:rPr>
      </w:pPr>
      <w:r w:rsidRPr="00EA09EB">
        <w:rPr>
          <w:rFonts w:hint="cs"/>
          <w:rtl/>
        </w:rPr>
        <w:t xml:space="preserve">وأمّا في المقدّمة الثانية فلابدّ من الإشارة إلى أنّه </w:t>
      </w:r>
      <w:r w:rsidRPr="007A340E">
        <w:rPr>
          <w:rFonts w:hint="cs"/>
          <w:b/>
          <w:bCs/>
          <w:rtl/>
        </w:rPr>
        <w:t>أوّلاً</w:t>
      </w:r>
      <w:r w:rsidRPr="00EA09EB">
        <w:rPr>
          <w:rFonts w:hint="cs"/>
          <w:rtl/>
        </w:rPr>
        <w:t xml:space="preserve">: من الواضح أنّه لا يمكن إنكار الأحكام العامّة والاجتماعيّة في تعاليم الإسلام؛ </w:t>
      </w:r>
      <w:r w:rsidRPr="007A340E">
        <w:rPr>
          <w:rFonts w:hint="cs"/>
          <w:b/>
          <w:bCs/>
          <w:rtl/>
        </w:rPr>
        <w:t>وثانياً</w:t>
      </w:r>
      <w:r w:rsidRPr="00EA09EB">
        <w:rPr>
          <w:rFonts w:hint="cs"/>
          <w:rtl/>
        </w:rPr>
        <w:t xml:space="preserve">: لإجراء قسم من الأحكام الاجتماعيّة، من قبيل: إقامة الحدود والقضاء و...، لابدّ من توفُّر شروطٍ خاصّة، مثل: الفقاهة؛ </w:t>
      </w:r>
      <w:r w:rsidRPr="007A340E">
        <w:rPr>
          <w:rFonts w:hint="cs"/>
          <w:b/>
          <w:bCs/>
          <w:rtl/>
        </w:rPr>
        <w:t>وثالثاً</w:t>
      </w:r>
      <w:r w:rsidRPr="00EA09EB">
        <w:rPr>
          <w:rFonts w:hint="cs"/>
          <w:rtl/>
        </w:rPr>
        <w:t>: إنّ هاتين النقطتين لا تنتجان بالضرورة تعيين الفقهاء للتصدّي لجميع التعاليم الاجتماعيّة للإسلام؛ لأن هناك احتمالاً قويّاً أن يكون المخاطب والمسؤول عن إقامة الدين في المجتمع هو جميع الناس، فيمكن أن يقوم الناس بانتخاب مَنْ يتصدّى للشؤون العامّة مع مراعاة الضوابط الشرعيّة، بما فيها مراعاة شرط الفقاهة في المسؤوليات الخاصّة، مثل: القضاء و...».</w:t>
      </w:r>
    </w:p>
    <w:p w:rsidR="00EA09EB" w:rsidRPr="00A32FC0" w:rsidRDefault="00EA09EB" w:rsidP="00EA09EB">
      <w:pPr>
        <w:rPr>
          <w:rtl/>
          <w:lang w:bidi="ar-LB"/>
        </w:rPr>
      </w:pPr>
      <w:r w:rsidRPr="00A32FC0">
        <w:rPr>
          <w:rFonts w:hint="cs"/>
          <w:rtl/>
          <w:lang w:bidi="ar-LB"/>
        </w:rPr>
        <w:t>وأمّا المقدّمة الثالثة فهي تامّة</w:t>
      </w:r>
      <w:r>
        <w:rPr>
          <w:rFonts w:hint="cs"/>
          <w:rtl/>
          <w:lang w:bidi="ar-LB"/>
        </w:rPr>
        <w:t>،</w:t>
      </w:r>
      <w:r w:rsidRPr="00A32FC0">
        <w:rPr>
          <w:rFonts w:hint="cs"/>
          <w:rtl/>
          <w:lang w:bidi="ar-LB"/>
        </w:rPr>
        <w:t xml:space="preserve"> وتُعَدّ من مسلَّمات الفكر الإسلاميّ. ويُعتبَر القسم الأخير منها من مسلَّمات الفكر الشيعيّ. </w:t>
      </w:r>
    </w:p>
    <w:p w:rsidR="00EA09EB" w:rsidRPr="00EA09EB" w:rsidRDefault="00EA09EB" w:rsidP="007A340E">
      <w:pPr>
        <w:ind w:firstLine="283"/>
        <w:rPr>
          <w:rtl/>
        </w:rPr>
      </w:pPr>
      <w:r w:rsidRPr="00EA09EB">
        <w:rPr>
          <w:rFonts w:hint="cs"/>
          <w:rtl/>
        </w:rPr>
        <w:t>أمّا البحث الأساسيّ فيكمن في المقدّمة الرابعة؛ حيث يذهب الشيخ المنتظري إلى القول: «إنّ الاعتقاد بأنّ أصحاب الأئمّة</w:t>
      </w:r>
      <w:r w:rsidR="007A340E">
        <w:rPr>
          <w:rFonts w:hint="cs"/>
          <w:rtl/>
        </w:rPr>
        <w:t>^</w:t>
      </w:r>
      <w:r w:rsidRPr="00EA09EB">
        <w:rPr>
          <w:rFonts w:hint="cs"/>
          <w:rtl/>
        </w:rPr>
        <w:t xml:space="preserve"> كانوا يرجعون إليهم في هذه الأمور السياسية بحاجة إلى تتبُّعٍ ودراسة»</w:t>
      </w:r>
      <w:r w:rsidRPr="00064619">
        <w:rPr>
          <w:rFonts w:cs="Taher"/>
          <w:sz w:val="32"/>
          <w:vertAlign w:val="superscript"/>
          <w:rtl/>
        </w:rPr>
        <w:t>(</w:t>
      </w:r>
      <w:r w:rsidRPr="00064619">
        <w:rPr>
          <w:rStyle w:val="FootnoteReference"/>
          <w:rFonts w:cs="Taher"/>
          <w:sz w:val="32"/>
          <w:rtl/>
        </w:rPr>
        <w:footnoteReference w:id="804"/>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وبغضّ النظر عن إشكال الشيخ منتظري فإنّ القول بأنه من المؤكَّد كان هناك روايات تتحدَّث عن شأن الحكومة والسياسة في عصر الغيبة، ومن المؤكَّد أيضاً أنّ هذه الروايات قد تضمَّنت نظرية التعيين من قَبَل الإمام</w:t>
      </w:r>
      <w:r>
        <w:rPr>
          <w:rFonts w:hint="cs"/>
          <w:rtl/>
        </w:rPr>
        <w:t>×</w:t>
      </w:r>
      <w:r w:rsidRPr="00A32FC0">
        <w:rPr>
          <w:rFonts w:hint="cs"/>
          <w:rtl/>
          <w:lang w:bidi="ar-LB"/>
        </w:rPr>
        <w:t xml:space="preserve">، ومن المؤكَّد أنّها تضمَّنت تعيين الفقهاء لمنصب الولاية، هذا كلّه احتمال في احتمال في احتمال. ولا يصحّ الاستناد إليه فقهيّاً، حتى لو كان القائل به من كبار الفقهاء. والضوابط الفقهيّة </w:t>
      </w:r>
      <w:r w:rsidRPr="00A32FC0">
        <w:rPr>
          <w:rtl/>
          <w:lang w:bidi="ar-LB"/>
        </w:rPr>
        <w:t>ـ</w:t>
      </w:r>
      <w:r w:rsidRPr="00A32FC0">
        <w:rPr>
          <w:rFonts w:hint="cs"/>
          <w:rtl/>
          <w:lang w:bidi="ar-LB"/>
        </w:rPr>
        <w:t xml:space="preserve"> الأصوليّة تأبى قبول مثل هذا الاحتمال. هل يمكن إثبات أمر مهمّ وخطير بمجرَّد احتمالات كهذه. والقول بالتعيين هو أحد الاحتمالات في كلام الأئمّة</w:t>
      </w:r>
      <w:r w:rsidR="007A340E">
        <w:rPr>
          <w:rFonts w:hint="cs"/>
          <w:rtl/>
        </w:rPr>
        <w:t>^</w:t>
      </w:r>
      <w:r w:rsidRPr="00A32FC0">
        <w:rPr>
          <w:rFonts w:hint="cs"/>
          <w:rtl/>
        </w:rPr>
        <w:t>،</w:t>
      </w:r>
      <w:r w:rsidRPr="00A32FC0">
        <w:rPr>
          <w:rFonts w:hint="cs"/>
          <w:rtl/>
          <w:lang w:bidi="ar-LB"/>
        </w:rPr>
        <w:t xml:space="preserve"> وهناك أقوال أخرى محتَمَلة أيضاً في كلماتهم. فمثلاً: قد يكون الأئمّة</w:t>
      </w:r>
      <w:r w:rsidR="007A340E">
        <w:rPr>
          <w:rFonts w:hint="cs"/>
          <w:rtl/>
        </w:rPr>
        <w:t>^</w:t>
      </w:r>
      <w:r w:rsidRPr="00A32FC0">
        <w:rPr>
          <w:rFonts w:hint="cs"/>
          <w:rtl/>
          <w:lang w:bidi="ar-LB"/>
        </w:rPr>
        <w:t xml:space="preserve"> قد أوكلوا للأمّة مسائل السياسة وتدبير شؤون المجتمع واختيار شكل الحكم وكيفية تعيين المسؤولين، طبقاً لأحكام الشرع، وبما يتوافق مع الظروف الزمانيّة والمكانيّة وسيرة العقلاء. هذا كلّه مشروط بمراعاة القيود العامّة للشريعة. </w:t>
      </w:r>
    </w:p>
    <w:p w:rsidR="00EA09EB" w:rsidRPr="00EA09EB" w:rsidRDefault="00EA09EB" w:rsidP="007A340E">
      <w:pPr>
        <w:ind w:firstLine="283"/>
        <w:rPr>
          <w:rtl/>
        </w:rPr>
      </w:pPr>
      <w:r w:rsidRPr="00EA09EB">
        <w:rPr>
          <w:rFonts w:hint="cs"/>
          <w:rtl/>
        </w:rPr>
        <w:t>يقول أستاذنا الشيخ منتظري: «إنّ طريق انعقاد الولاية إنْ كان منحصراً في النصب من العالي ـ كما هو الظاهر منه ـ كانت هذه المقدّمة صحيحةً؛ أمّا إذا نوقش في ذلك، وقيل: إنها تنعقد بانتخاب الأمّة أيضاً، غاية الأمر أنّه في طول النصب أيضاً، وفي صورة عدمه نقول: لعلّ الأئمّة</w:t>
      </w:r>
      <w:r w:rsidR="007A340E">
        <w:rPr>
          <w:rFonts w:hint="cs"/>
          <w:rtl/>
        </w:rPr>
        <w:t>^</w:t>
      </w:r>
      <w:r w:rsidRPr="00EA09EB">
        <w:rPr>
          <w:rFonts w:hint="cs"/>
          <w:rtl/>
        </w:rPr>
        <w:t xml:space="preserve"> أحالوا الأمور العامّة والسياسيّة في عصر الغيبة إلى انتخاب الأمّة، غاية الأمر لزوم كون المنتخَب واجداً للشرائط والصفات التي اعتبرها الشارع في الوالي»</w:t>
      </w:r>
      <w:r w:rsidRPr="00064619">
        <w:rPr>
          <w:rFonts w:cs="Taher"/>
          <w:sz w:val="32"/>
          <w:vertAlign w:val="superscript"/>
          <w:rtl/>
        </w:rPr>
        <w:t>(</w:t>
      </w:r>
      <w:r w:rsidRPr="00064619">
        <w:rPr>
          <w:rStyle w:val="FootnoteReference"/>
          <w:rFonts w:cs="Taher"/>
          <w:sz w:val="32"/>
          <w:rtl/>
        </w:rPr>
        <w:footnoteReference w:id="805"/>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 xml:space="preserve">وأمّا المقدّمة الخامسة فهي غير تامّة أيضاً. وقد تقدّمت المناقشة في أدلّتها سابقاً. </w:t>
      </w:r>
    </w:p>
    <w:p w:rsidR="00EA09EB" w:rsidRPr="00A32FC0" w:rsidRDefault="00EA09EB" w:rsidP="00EA09EB">
      <w:pPr>
        <w:rPr>
          <w:rtl/>
          <w:lang w:bidi="ar-LB"/>
        </w:rPr>
      </w:pPr>
      <w:r w:rsidRPr="00A32FC0">
        <w:rPr>
          <w:rFonts w:hint="cs"/>
          <w:rtl/>
          <w:lang w:bidi="ar-LB"/>
        </w:rPr>
        <w:t>كما تقدَّمت أدلة بطلان المقدّمة السادسة في معرض نقاشنا للدليل السابق.</w:t>
      </w:r>
    </w:p>
    <w:p w:rsidR="00EA09EB" w:rsidRDefault="00EA09EB" w:rsidP="00EA09EB">
      <w:pPr>
        <w:rPr>
          <w:rtl/>
          <w:lang w:bidi="ar-LB"/>
        </w:rPr>
      </w:pPr>
      <w:r w:rsidRPr="00A32FC0">
        <w:rPr>
          <w:rFonts w:hint="cs"/>
          <w:rtl/>
          <w:lang w:bidi="ar-LB"/>
        </w:rPr>
        <w:t>والنتيجة أن هذا الدليل أيضاً عاجزٌ عن إثبات الولاية التعيينيّة للفقهاء.</w:t>
      </w:r>
    </w:p>
    <w:p w:rsidR="007A340E" w:rsidRPr="00A32FC0" w:rsidRDefault="007A340E" w:rsidP="00EA09EB">
      <w:pPr>
        <w:rPr>
          <w:rtl/>
          <w:lang w:bidi="ar-LB"/>
        </w:rPr>
      </w:pPr>
    </w:p>
    <w:p w:rsidR="00EA09EB" w:rsidRPr="00000741" w:rsidRDefault="00EA09EB" w:rsidP="007A340E">
      <w:pPr>
        <w:pStyle w:val="Heading3"/>
        <w:rPr>
          <w:rtl/>
        </w:rPr>
      </w:pPr>
      <w:r w:rsidRPr="007A340E">
        <w:rPr>
          <w:rFonts w:hint="cs"/>
          <w:rtl/>
        </w:rPr>
        <w:t>الدليل</w:t>
      </w:r>
      <w:r w:rsidRPr="00000741">
        <w:rPr>
          <w:rFonts w:hint="cs"/>
          <w:rtl/>
        </w:rPr>
        <w:t xml:space="preserve"> </w:t>
      </w:r>
      <w:r w:rsidRPr="007A340E">
        <w:rPr>
          <w:rFonts w:hint="cs"/>
          <w:rtl/>
        </w:rPr>
        <w:t>الرابع</w:t>
      </w:r>
      <w:r w:rsidRPr="00000741">
        <w:rPr>
          <w:rFonts w:hint="cs"/>
          <w:rtl/>
        </w:rPr>
        <w:t xml:space="preserve"> </w:t>
      </w:r>
    </w:p>
    <w:p w:rsidR="00EA09EB" w:rsidRPr="00EA09EB" w:rsidRDefault="00EA09EB" w:rsidP="00CE7A94">
      <w:pPr>
        <w:pStyle w:val="Normal93"/>
        <w:rPr>
          <w:rtl/>
        </w:rPr>
      </w:pPr>
      <w:r w:rsidRPr="00EA09EB">
        <w:rPr>
          <w:rFonts w:hint="cs"/>
          <w:rtl/>
        </w:rPr>
        <w:t>في كتاب البيع قام السيد الخمينيّ (م 1410هـ) بعرض دليل عقليّ على ضرورة الولاية التعيينيّة للفقهاء. واعتبر أنّ مفاد هذا الدليل من واضحات العقل. وقد صرّح أنّ قضية ولاية الفقيه بعد تصوّر أطرافها ليست أمراً نظريّاً محتاجاً إلى برهان. ولذلك اعتبر أنّ الروايات الواردة في هذا المجال دالّة على هذا المعنى الارتكازيّ</w:t>
      </w:r>
      <w:r w:rsidRPr="00064619">
        <w:rPr>
          <w:rFonts w:cs="Taher"/>
          <w:sz w:val="32"/>
          <w:vertAlign w:val="superscript"/>
          <w:rtl/>
        </w:rPr>
        <w:t>(</w:t>
      </w:r>
      <w:r w:rsidRPr="00064619">
        <w:rPr>
          <w:rStyle w:val="FootnoteReference"/>
          <w:rFonts w:cs="Taher"/>
          <w:sz w:val="32"/>
          <w:rtl/>
        </w:rPr>
        <w:footnoteReference w:id="806"/>
      </w:r>
      <w:r w:rsidRPr="00064619">
        <w:rPr>
          <w:rFonts w:cs="Taher"/>
          <w:sz w:val="32"/>
          <w:vertAlign w:val="superscript"/>
          <w:rtl/>
        </w:rPr>
        <w:t>)</w:t>
      </w:r>
      <w:r w:rsidRPr="00EA09EB">
        <w:rPr>
          <w:rFonts w:hint="cs"/>
          <w:rtl/>
        </w:rPr>
        <w:t xml:space="preserve">. </w:t>
      </w:r>
    </w:p>
    <w:p w:rsidR="00EA09EB" w:rsidRPr="00A32FC0" w:rsidRDefault="00EA09EB" w:rsidP="00EA09EB">
      <w:pPr>
        <w:rPr>
          <w:rtl/>
          <w:lang w:bidi="ar-LB"/>
        </w:rPr>
      </w:pPr>
      <w:r w:rsidRPr="00A32FC0">
        <w:rPr>
          <w:rFonts w:hint="cs"/>
          <w:rtl/>
          <w:lang w:bidi="ar-LB"/>
        </w:rPr>
        <w:t>وسوف نعرض هنا هذا الدليل بعد تفكيك مقدّماته بالشكل التالي:</w:t>
      </w:r>
    </w:p>
    <w:p w:rsidR="00EA09EB" w:rsidRPr="00EA09EB" w:rsidRDefault="00EA09EB" w:rsidP="00CE7A94">
      <w:pPr>
        <w:pStyle w:val="Normal93"/>
        <w:rPr>
          <w:rtl/>
        </w:rPr>
      </w:pPr>
      <w:r w:rsidRPr="007A340E">
        <w:rPr>
          <w:rFonts w:hint="cs"/>
          <w:b/>
          <w:bCs/>
          <w:rtl/>
        </w:rPr>
        <w:t>المقدّمة الأولى</w:t>
      </w:r>
      <w:r w:rsidRPr="00EA09EB">
        <w:rPr>
          <w:rFonts w:hint="cs"/>
          <w:rtl/>
        </w:rPr>
        <w:t>: ليس الإسلام عبارةً عن أحكام عباديّة وأخلاقيّة فقط، بل هو شامل للأحكام الضروريّة في جميع مجالات الحياة، الفرديّة والاجتماعيّة.</w:t>
      </w:r>
    </w:p>
    <w:p w:rsidR="00EA09EB" w:rsidRPr="00EA09EB" w:rsidRDefault="00EA09EB" w:rsidP="00CE7A94">
      <w:pPr>
        <w:pStyle w:val="Normal93"/>
        <w:rPr>
          <w:rtl/>
        </w:rPr>
      </w:pPr>
      <w:r w:rsidRPr="007A340E">
        <w:rPr>
          <w:rFonts w:hint="cs"/>
          <w:b/>
          <w:bCs/>
          <w:rtl/>
        </w:rPr>
        <w:t>المقدّمة الثانية</w:t>
      </w:r>
      <w:r w:rsidRPr="00EA09EB">
        <w:rPr>
          <w:rFonts w:hint="cs"/>
          <w:rtl/>
        </w:rPr>
        <w:t>: إنّ الأحكام الإلهية لم تُنْسَخْ، وهي باقيةٌ إلى يوم القيامة. وبقاءُ هذه الأحكام يقتضي ضرورة وجود حكومة وولاية تضمن الحفاظ على سيادة القانون الإلهيّ، وتتكفَّل بإجرائه.</w:t>
      </w:r>
    </w:p>
    <w:p w:rsidR="00EA09EB" w:rsidRPr="00EA09EB" w:rsidRDefault="00EA09EB" w:rsidP="00CE7A94">
      <w:pPr>
        <w:pStyle w:val="Normal93"/>
        <w:rPr>
          <w:rtl/>
        </w:rPr>
      </w:pPr>
      <w:r w:rsidRPr="007A340E">
        <w:rPr>
          <w:rFonts w:hint="cs"/>
          <w:b/>
          <w:bCs/>
          <w:rtl/>
        </w:rPr>
        <w:t>المقدّمة الثالثة</w:t>
      </w:r>
      <w:r w:rsidRPr="00EA09EB">
        <w:rPr>
          <w:rFonts w:hint="cs"/>
          <w:rtl/>
        </w:rPr>
        <w:t xml:space="preserve">: لا يمكن إجراء الأحكام الإلهيّة من دون قيام حكومة تتكفَّل ذلك. فبدون الحكومة سوف يسود الهَرْج والمَرْج، ولن يكون هناك إمكانيّة لإجراء الأحكام، هذا </w:t>
      </w:r>
      <w:r w:rsidRPr="007A340E">
        <w:rPr>
          <w:rFonts w:hint="cs"/>
          <w:b/>
          <w:bCs/>
          <w:rtl/>
        </w:rPr>
        <w:t>أولاً</w:t>
      </w:r>
      <w:r w:rsidRPr="00EA09EB">
        <w:rPr>
          <w:rFonts w:hint="cs"/>
          <w:rtl/>
        </w:rPr>
        <w:t xml:space="preserve">؛ </w:t>
      </w:r>
      <w:r w:rsidRPr="007A340E">
        <w:rPr>
          <w:rFonts w:hint="cs"/>
          <w:b/>
          <w:bCs/>
          <w:rtl/>
        </w:rPr>
        <w:t>وثانياً</w:t>
      </w:r>
      <w:r w:rsidRPr="00EA09EB">
        <w:rPr>
          <w:rFonts w:hint="cs"/>
          <w:rtl/>
        </w:rPr>
        <w:t xml:space="preserve">: إنّ حفظ النظام الذي هو من الواجبات المؤكَّدة، وتفادي اختلال أمور المسلمين الذي هو أمر مبغوضٌ، لا يتمّ إلاّ بوجود حاكم ودولة؛ </w:t>
      </w:r>
      <w:r w:rsidRPr="007A340E">
        <w:rPr>
          <w:rFonts w:hint="cs"/>
          <w:b/>
          <w:bCs/>
          <w:rtl/>
        </w:rPr>
        <w:t>وثالثاً</w:t>
      </w:r>
      <w:r w:rsidRPr="00EA09EB">
        <w:rPr>
          <w:rFonts w:hint="cs"/>
          <w:rtl/>
        </w:rPr>
        <w:t>: إنّ حفظ ثغور المسلمين من التعدّيات، والمحافظة على بلاد المسلمين من سيطرة المعتدين، من الواجبات بحكم الشرع والعقل، وهذا لا يتمّ إلاّ بوجود حكومة.</w:t>
      </w:r>
    </w:p>
    <w:p w:rsidR="00EA09EB" w:rsidRPr="00A32FC0" w:rsidRDefault="00EA09EB" w:rsidP="00CE7A94">
      <w:pPr>
        <w:pStyle w:val="Normal93"/>
        <w:rPr>
          <w:rtl/>
        </w:rPr>
      </w:pPr>
      <w:r w:rsidRPr="00A32FC0">
        <w:rPr>
          <w:rFonts w:hint="cs"/>
          <w:rtl/>
        </w:rPr>
        <w:t>وعلى هذا فإنّ ضرورة قيام حكومة لبسط العدالة، والتعليم والتربية، وحفظ النظام، ورفع الظلم، وسدّ الثغور، والمنع من الاعتداء، و...، هي من أوضح الأحكام العقليّة ن التي لا تختلف باختلاف الزمان والمكان.</w:t>
      </w:r>
    </w:p>
    <w:p w:rsidR="00EA09EB" w:rsidRPr="00EA09EB" w:rsidRDefault="00EA09EB" w:rsidP="00CE7A94">
      <w:pPr>
        <w:pStyle w:val="Normal93"/>
        <w:rPr>
          <w:rtl/>
        </w:rPr>
      </w:pPr>
      <w:r w:rsidRPr="007A340E">
        <w:rPr>
          <w:rFonts w:hint="cs"/>
          <w:b/>
          <w:bCs/>
          <w:rtl/>
        </w:rPr>
        <w:t>المقدّمة الرابعة</w:t>
      </w:r>
      <w:r w:rsidRPr="00EA09EB">
        <w:rPr>
          <w:rFonts w:hint="cs"/>
          <w:rtl/>
        </w:rPr>
        <w:t>: إنّ ماهيّة القوانين الإسلاميّة وطبيعتها تُعَدّان دليلاً بارزاً على ضرورة إرساء حكومة؛ لأنّ هذه الأحكام شُرِّعَت بطريقة لا يمكن إجراؤها من دون حكومة. والحكومة التي يرى الإسلام ضرورتها هي الحكومة المرتكزة على القوانين الإلهيّة.</w:t>
      </w:r>
    </w:p>
    <w:p w:rsidR="00EA09EB" w:rsidRPr="00EA09EB" w:rsidRDefault="00EA09EB" w:rsidP="00CE7A94">
      <w:pPr>
        <w:pStyle w:val="Normal93"/>
        <w:rPr>
          <w:rtl/>
        </w:rPr>
      </w:pPr>
      <w:r w:rsidRPr="007A340E">
        <w:rPr>
          <w:rFonts w:hint="cs"/>
          <w:b/>
          <w:bCs/>
          <w:rtl/>
        </w:rPr>
        <w:t>المقدّمة الخامسة</w:t>
      </w:r>
      <w:r w:rsidRPr="00EA09EB">
        <w:rPr>
          <w:rFonts w:hint="cs"/>
          <w:rtl/>
        </w:rPr>
        <w:t>: إنّ سنّة النبيّ</w:t>
      </w:r>
      <w:r w:rsidRPr="00EA09EB">
        <w:rPr>
          <w:rFonts w:hint="cs"/>
          <w:rtl/>
        </w:rPr>
        <w:sym w:font="Roumouz" w:char="F02D"/>
      </w:r>
      <w:r w:rsidRPr="00EA09EB">
        <w:rPr>
          <w:rFonts w:hint="cs"/>
          <w:rtl/>
        </w:rPr>
        <w:t xml:space="preserve"> وسيرته تدلاّن على ضرورة إقامة حكومة؛ وذلك أنّ النبيّ نفسه قام بتأسيس حكومة، ثم قام بتعيين حاكم من بعده بأمر الله. والضرورة التي اقتضت تشكيل حكومة الرسول</w:t>
      </w:r>
      <w:r w:rsidRPr="00EA09EB">
        <w:rPr>
          <w:rFonts w:hint="cs"/>
          <w:rtl/>
        </w:rPr>
        <w:sym w:font="Roumouz" w:char="F02D"/>
      </w:r>
      <w:r w:rsidRPr="00EA09EB">
        <w:rPr>
          <w:rFonts w:hint="cs"/>
          <w:rtl/>
        </w:rPr>
        <w:t>؛ لإجراء الأحكام، ليست مقتصرة على زمانه</w:t>
      </w:r>
      <w:r w:rsidRPr="00EA09EB">
        <w:rPr>
          <w:rFonts w:hint="cs"/>
          <w:rtl/>
        </w:rPr>
        <w:sym w:font="Roumouz" w:char="F02D"/>
      </w:r>
      <w:r w:rsidRPr="00EA09EB">
        <w:rPr>
          <w:rFonts w:hint="cs"/>
          <w:rtl/>
        </w:rPr>
        <w:t>.</w:t>
      </w:r>
    </w:p>
    <w:p w:rsidR="00EA09EB" w:rsidRPr="00EA09EB" w:rsidRDefault="00EA09EB" w:rsidP="007A340E">
      <w:pPr>
        <w:ind w:firstLine="283"/>
        <w:rPr>
          <w:rtl/>
        </w:rPr>
      </w:pPr>
      <w:r w:rsidRPr="007A340E">
        <w:rPr>
          <w:rFonts w:hint="cs"/>
          <w:b/>
          <w:bCs/>
          <w:rtl/>
        </w:rPr>
        <w:t>المقدّمة السادسة</w:t>
      </w:r>
      <w:r w:rsidRPr="00EA09EB">
        <w:rPr>
          <w:rFonts w:hint="cs"/>
          <w:rtl/>
        </w:rPr>
        <w:t>: القانون وحده غير كافٍ لإصلاح المجتمع؛ لأنّه بحاجة إلى حكم وسلطة تتولّى إجراءه، لكي يؤمِّن الصلاح والسعادة للبشر. لذلك فإنّ الله، إلى جانب تشريعه لمجموعة من القوانين (الأحكام الشرعية)، قام بإرساء حكومة وسلطة إجرائيّة وإداريّة.</w:t>
      </w:r>
    </w:p>
    <w:p w:rsidR="00EA09EB" w:rsidRPr="00EA09EB" w:rsidRDefault="00EA09EB" w:rsidP="007A340E">
      <w:pPr>
        <w:ind w:firstLine="283"/>
        <w:rPr>
          <w:rtl/>
        </w:rPr>
      </w:pPr>
      <w:r w:rsidRPr="007A340E">
        <w:rPr>
          <w:rFonts w:hint="cs"/>
          <w:b/>
          <w:bCs/>
          <w:rtl/>
        </w:rPr>
        <w:t>المقدّمة السابعة</w:t>
      </w:r>
      <w:r w:rsidRPr="00EA09EB">
        <w:rPr>
          <w:rFonts w:hint="cs"/>
          <w:rtl/>
        </w:rPr>
        <w:t>: إنّ الأدلّة على الإمامة هي عينها الأدلّة على ضرورة الحكومة بعد غيبة الإمام</w:t>
      </w:r>
      <w:r w:rsidRPr="00EA09EB">
        <w:rPr>
          <w:rFonts w:hint="cs"/>
          <w:rtl/>
        </w:rPr>
        <w:sym w:font="Abz Roumouz" w:char="F02E"/>
      </w:r>
      <w:r w:rsidRPr="00EA09EB">
        <w:rPr>
          <w:rFonts w:hint="cs"/>
          <w:rtl/>
        </w:rPr>
        <w:t>.</w:t>
      </w:r>
    </w:p>
    <w:p w:rsidR="00EA09EB" w:rsidRPr="00EA09EB" w:rsidRDefault="00EA09EB" w:rsidP="007A340E">
      <w:pPr>
        <w:ind w:firstLine="283"/>
        <w:rPr>
          <w:rtl/>
        </w:rPr>
      </w:pPr>
      <w:r w:rsidRPr="007A340E">
        <w:rPr>
          <w:rFonts w:hint="cs"/>
          <w:b/>
          <w:bCs/>
          <w:rtl/>
        </w:rPr>
        <w:t>المقدّمة الثامنة</w:t>
      </w:r>
      <w:r w:rsidRPr="00EA09EB">
        <w:rPr>
          <w:rFonts w:hint="cs"/>
          <w:rtl/>
        </w:rPr>
        <w:t>: اتّفق العقل والنقل على أنّ الحاكم لابدّ أن يكون إنساناً عالماً بالقوانين، وعادلاً في تنفيذ أحكام هذا القانون. ولذلك فإنّ مسألة الحكومة قد أُنيطت بالفقيه العادل، الذي له صلاحيّة الولاية على المسلمين</w:t>
      </w:r>
      <w:r w:rsidRPr="00064619">
        <w:rPr>
          <w:rFonts w:cs="Taher"/>
          <w:sz w:val="32"/>
          <w:vertAlign w:val="superscript"/>
          <w:rtl/>
          <w:lang w:bidi="ar-LB"/>
        </w:rPr>
        <w:t>(</w:t>
      </w:r>
      <w:r w:rsidRPr="00064619">
        <w:rPr>
          <w:rStyle w:val="FootnoteReference"/>
          <w:rFonts w:cs="Taher"/>
          <w:sz w:val="32"/>
          <w:rtl/>
          <w:lang w:bidi="ar-LB"/>
        </w:rPr>
        <w:footnoteReference w:id="807"/>
      </w:r>
      <w:r w:rsidRPr="00064619">
        <w:rPr>
          <w:rFonts w:cs="Taher"/>
          <w:sz w:val="32"/>
          <w:vertAlign w:val="superscript"/>
          <w:rtl/>
          <w:lang w:bidi="ar-LB"/>
        </w:rPr>
        <w:t>)</w:t>
      </w:r>
      <w:r w:rsidRPr="00EA09EB">
        <w:rPr>
          <w:rFonts w:hint="cs"/>
          <w:rtl/>
        </w:rPr>
        <w:t>.</w:t>
      </w:r>
    </w:p>
    <w:p w:rsidR="00EA09EB" w:rsidRPr="00A32FC0" w:rsidRDefault="00EA09EB" w:rsidP="00CE7A94">
      <w:pPr>
        <w:pStyle w:val="Normal93"/>
        <w:rPr>
          <w:rtl/>
        </w:rPr>
      </w:pPr>
      <w:r>
        <w:rPr>
          <w:rFonts w:hint="cs"/>
          <w:rtl/>
        </w:rPr>
        <w:t>إنّ نظر السيد</w:t>
      </w:r>
      <w:r w:rsidRPr="00A32FC0">
        <w:rPr>
          <w:rFonts w:hint="cs"/>
          <w:rtl/>
        </w:rPr>
        <w:t xml:space="preserve"> الخمينيّ في هذا الدليل كان منصبّاً بشكل كبير على ضرورة وجود حكومة في المجتمع من جهة، وضرورة كون الحكومة إسلاميّةً؛ لإجراء الأحكام الإسلاميّة من جهة أخرى. إنّ التأكيد على هذه الرؤية يُعَدّ متيناً، ويستحقّ المدافعة عنه، وخاصةً إذا لاحظنا إغفال الكثير من فقهاء الشيعة وعلمائهم للمباحث الاجتماعيّة والسياسيّة في الإسلام، ونسيان قسم من الأحكام السياسيّة إلى حدّ حذفها من الكتب الفتوائيّة، وعدم التعرُّض لها في الكتب الفقهيّة الاستدلاليّة. ول</w:t>
      </w:r>
      <w:r>
        <w:rPr>
          <w:rFonts w:hint="cs"/>
          <w:rtl/>
        </w:rPr>
        <w:t>يس هناك أدنى شكّ في أنّ دور السيد</w:t>
      </w:r>
      <w:r w:rsidRPr="00A32FC0">
        <w:rPr>
          <w:rFonts w:hint="cs"/>
          <w:rtl/>
        </w:rPr>
        <w:t xml:space="preserve"> الخمينيّ في إعادة اهتمام المسلمين والحوزات العلميّة بالأحكام السياسيّة الإسلاميّة كان دوراً حياتيّاً.</w:t>
      </w:r>
    </w:p>
    <w:p w:rsidR="00EA09EB" w:rsidRPr="00A32FC0" w:rsidRDefault="00EA09EB" w:rsidP="00EA09EB">
      <w:pPr>
        <w:rPr>
          <w:rtl/>
          <w:lang w:bidi="ar-LB"/>
        </w:rPr>
      </w:pPr>
      <w:r w:rsidRPr="00A32FC0">
        <w:rPr>
          <w:rFonts w:hint="cs"/>
          <w:rtl/>
          <w:lang w:bidi="ar-LB"/>
        </w:rPr>
        <w:t>إنّ ضرورة الاطّلاع على القوانين</w:t>
      </w:r>
      <w:r>
        <w:rPr>
          <w:rFonts w:hint="cs"/>
          <w:rtl/>
          <w:lang w:bidi="ar-LB"/>
        </w:rPr>
        <w:t>،</w:t>
      </w:r>
      <w:r w:rsidRPr="00A32FC0">
        <w:rPr>
          <w:rFonts w:hint="cs"/>
          <w:rtl/>
          <w:lang w:bidi="ar-LB"/>
        </w:rPr>
        <w:t xml:space="preserve"> والعدالة في إجرائها، هي من الشروط العقليّة للقيّمين على الحكم</w:t>
      </w:r>
      <w:r>
        <w:rPr>
          <w:rFonts w:hint="cs"/>
          <w:rtl/>
          <w:lang w:bidi="ar-LB"/>
        </w:rPr>
        <w:t>. وهذه المسألة ـ كما صرّح السيد</w:t>
      </w:r>
      <w:r w:rsidRPr="00A32FC0">
        <w:rPr>
          <w:rFonts w:hint="cs"/>
          <w:rtl/>
          <w:lang w:bidi="ar-LB"/>
        </w:rPr>
        <w:t xml:space="preserve"> الخمينيّ ـ هي من واضحات العقل، ويمكن التصديق بها من دون برهان، وذلك بمجرَّد تصوُّر أطرافها. </w:t>
      </w:r>
    </w:p>
    <w:p w:rsidR="00EA09EB" w:rsidRPr="00EA09EB" w:rsidRDefault="00EA09EB" w:rsidP="007A340E">
      <w:pPr>
        <w:ind w:firstLine="283"/>
        <w:rPr>
          <w:rtl/>
        </w:rPr>
      </w:pPr>
      <w:r w:rsidRPr="00EA09EB">
        <w:rPr>
          <w:rFonts w:hint="cs"/>
          <w:rtl/>
        </w:rPr>
        <w:t xml:space="preserve">أمّا أن يكون للعقل </w:t>
      </w:r>
      <w:r w:rsidRPr="007A340E">
        <w:rPr>
          <w:rFonts w:hint="cs"/>
          <w:b/>
          <w:bCs/>
          <w:rtl/>
        </w:rPr>
        <w:t>أوّلاً</w:t>
      </w:r>
      <w:r w:rsidRPr="00EA09EB">
        <w:rPr>
          <w:rFonts w:hint="cs"/>
          <w:rtl/>
        </w:rPr>
        <w:t xml:space="preserve">: تحديده لطبيعة العلاقة بين الدولة والناس على نحو «الولاية» أو أيّ نحو آخر من أنحاء السلطة، </w:t>
      </w:r>
      <w:r w:rsidRPr="007A340E">
        <w:rPr>
          <w:rFonts w:hint="cs"/>
          <w:b/>
          <w:bCs/>
          <w:rtl/>
        </w:rPr>
        <w:t>وثانياً</w:t>
      </w:r>
      <w:r w:rsidRPr="00EA09EB">
        <w:rPr>
          <w:rFonts w:hint="cs"/>
          <w:rtl/>
        </w:rPr>
        <w:t xml:space="preserve">: تحديده كون الحاكم معيَّناً أو منتخباً، أو تحديده لأيّ نحو آخر من أنحاء العلاقة التي تربط بين الحاكم والشارع، </w:t>
      </w:r>
      <w:r w:rsidRPr="007A340E">
        <w:rPr>
          <w:rFonts w:hint="cs"/>
          <w:b/>
          <w:bCs/>
          <w:rtl/>
        </w:rPr>
        <w:t>وثالثاً</w:t>
      </w:r>
      <w:r w:rsidRPr="00EA09EB">
        <w:rPr>
          <w:rFonts w:hint="cs"/>
          <w:rtl/>
        </w:rPr>
        <w:t xml:space="preserve">: تحديده لصلاحيّات الحكومة في إطار الشؤون العامة، وهل هي مطلقة أم مقيَّدة بالأحكام الشرعيّة الأوّليّة والثانويّة والقوانين البشريّة التي لا تتعارض مع أحكام الله؟ </w:t>
      </w:r>
      <w:r w:rsidRPr="007A340E">
        <w:rPr>
          <w:rFonts w:hint="cs"/>
          <w:b/>
          <w:bCs/>
          <w:rtl/>
        </w:rPr>
        <w:t>ورابعاً</w:t>
      </w:r>
      <w:r w:rsidRPr="00EA09EB">
        <w:rPr>
          <w:rFonts w:hint="cs"/>
          <w:rtl/>
        </w:rPr>
        <w:t xml:space="preserve">: إنّه بالإضافة إلى الاطّلاع على القوانين والالتزام بالأحكام الشرعية هل يجب على مَنْ يتولّى الحكم وإدارة المجتمع أن يتوفَّر فيه شرط الاجتهاد والفقاهة أو لا؟ هذا الدليل وما شابهه من الأدلّة قاصرٌ عن إثبات هذه النقاط. </w:t>
      </w:r>
    </w:p>
    <w:p w:rsidR="00EA09EB" w:rsidRPr="00A32FC0" w:rsidRDefault="00EA09EB" w:rsidP="00EA09EB">
      <w:pPr>
        <w:rPr>
          <w:rtl/>
          <w:lang w:bidi="ar-LB"/>
        </w:rPr>
      </w:pPr>
      <w:r w:rsidRPr="00A32FC0">
        <w:rPr>
          <w:rFonts w:hint="cs"/>
          <w:rtl/>
          <w:lang w:bidi="ar-LB"/>
        </w:rPr>
        <w:t>إن أقصى ما يمكن أن يثبته هذا الدليل الذي أقامه ال</w:t>
      </w:r>
      <w:r>
        <w:rPr>
          <w:rFonts w:hint="cs"/>
          <w:rtl/>
          <w:lang w:bidi="ar-LB"/>
        </w:rPr>
        <w:t>سيد</w:t>
      </w:r>
      <w:r w:rsidRPr="00A32FC0">
        <w:rPr>
          <w:rFonts w:hint="cs"/>
          <w:rtl/>
          <w:lang w:bidi="ar-LB"/>
        </w:rPr>
        <w:t xml:space="preserve"> الخمينيّ هو ضرورة وجود حكومة إسلاميّة، لا أكثر. وحيث إن ذهن</w:t>
      </w:r>
      <w:r>
        <w:rPr>
          <w:rFonts w:hint="cs"/>
          <w:rtl/>
          <w:lang w:bidi="ar-LB"/>
        </w:rPr>
        <w:t>ه</w:t>
      </w:r>
      <w:r w:rsidRPr="00A32FC0">
        <w:rPr>
          <w:rFonts w:hint="cs"/>
          <w:rtl/>
          <w:lang w:bidi="ar-LB"/>
        </w:rPr>
        <w:t xml:space="preserve"> كان مرتكزاً على أن الولاية التعيينيّة للفقيه هي الشكل الوحيد للحكومة الإسلاميّة فإنّه عندما قام بإثبات ضرورة الحكومة الدينيّة استنتج ثبوت ولاية الفقيه، والحال أنّ الحكومة الإسلاميّة </w:t>
      </w:r>
      <w:r w:rsidRPr="00A32FC0">
        <w:rPr>
          <w:rtl/>
          <w:lang w:bidi="ar-LB"/>
        </w:rPr>
        <w:t>ـ</w:t>
      </w:r>
      <w:r w:rsidRPr="00A32FC0">
        <w:rPr>
          <w:rFonts w:hint="cs"/>
          <w:rtl/>
          <w:lang w:bidi="ar-LB"/>
        </w:rPr>
        <w:t xml:space="preserve"> كما تقدَّم في مناقشة الأدلّة العقليّة السابقة </w:t>
      </w:r>
      <w:r w:rsidRPr="00A32FC0">
        <w:rPr>
          <w:rtl/>
          <w:lang w:bidi="ar-LB"/>
        </w:rPr>
        <w:t>ـ</w:t>
      </w:r>
      <w:r w:rsidRPr="00A32FC0">
        <w:rPr>
          <w:rFonts w:hint="cs"/>
          <w:rtl/>
          <w:lang w:bidi="ar-LB"/>
        </w:rPr>
        <w:t xml:space="preserve"> أعمّ من الولاية التعيينيّة للفقيه.</w:t>
      </w:r>
    </w:p>
    <w:p w:rsidR="00EA09EB" w:rsidRDefault="00EA09EB" w:rsidP="00EA09EB">
      <w:pPr>
        <w:rPr>
          <w:rtl/>
          <w:lang w:bidi="ar-LB"/>
        </w:rPr>
      </w:pPr>
      <w:r w:rsidRPr="00A32FC0">
        <w:rPr>
          <w:rFonts w:hint="cs"/>
          <w:rtl/>
          <w:lang w:bidi="ar-LB"/>
        </w:rPr>
        <w:t xml:space="preserve">لقد قام اثنان من طلاّب </w:t>
      </w:r>
      <w:r>
        <w:rPr>
          <w:rFonts w:hint="cs"/>
          <w:rtl/>
          <w:lang w:bidi="ar-LB"/>
        </w:rPr>
        <w:t>السيد</w:t>
      </w:r>
      <w:r w:rsidRPr="00A32FC0">
        <w:rPr>
          <w:rFonts w:hint="cs"/>
          <w:rtl/>
          <w:lang w:bidi="ar-LB"/>
        </w:rPr>
        <w:t xml:space="preserve"> الخمينيّ </w:t>
      </w:r>
      <w:r w:rsidRPr="00A32FC0">
        <w:rPr>
          <w:rtl/>
          <w:lang w:bidi="ar-LB"/>
        </w:rPr>
        <w:t>ـ</w:t>
      </w:r>
      <w:r w:rsidRPr="00A32FC0">
        <w:rPr>
          <w:rFonts w:hint="cs"/>
          <w:rtl/>
          <w:lang w:bidi="ar-LB"/>
        </w:rPr>
        <w:t xml:space="preserve"> ويعدّان من كبار أساتذة الفلسفة الإسلاميّة حاليّاً </w:t>
      </w:r>
      <w:r w:rsidRPr="00A32FC0">
        <w:rPr>
          <w:rtl/>
          <w:lang w:bidi="ar-LB"/>
        </w:rPr>
        <w:t>ـ</w:t>
      </w:r>
      <w:r w:rsidRPr="00A32FC0">
        <w:rPr>
          <w:rFonts w:hint="cs"/>
          <w:rtl/>
          <w:lang w:bidi="ar-LB"/>
        </w:rPr>
        <w:t xml:space="preserve"> بإعادة صياغة هذا الدليل العقليّ، وتكميله، بالشكل الذي سوف نتعرَّض لتقريره ودراسته.</w:t>
      </w:r>
    </w:p>
    <w:p w:rsidR="007A340E" w:rsidRPr="00A32FC0" w:rsidRDefault="007A340E" w:rsidP="00EA09EB">
      <w:pPr>
        <w:rPr>
          <w:rtl/>
          <w:lang w:bidi="ar-LB"/>
        </w:rPr>
      </w:pPr>
    </w:p>
    <w:p w:rsidR="00EA09EB" w:rsidRPr="00000741" w:rsidRDefault="00EA09EB" w:rsidP="007A340E">
      <w:pPr>
        <w:pStyle w:val="Heading4"/>
        <w:rPr>
          <w:rtl/>
        </w:rPr>
      </w:pPr>
      <w:r w:rsidRPr="007A340E">
        <w:rPr>
          <w:rFonts w:hint="cs"/>
          <w:rtl/>
        </w:rPr>
        <w:t>الصياغة</w:t>
      </w:r>
      <w:r w:rsidRPr="00000741">
        <w:rPr>
          <w:rFonts w:hint="cs"/>
          <w:rtl/>
        </w:rPr>
        <w:t xml:space="preserve"> </w:t>
      </w:r>
      <w:r w:rsidRPr="007A340E">
        <w:rPr>
          <w:rFonts w:hint="cs"/>
          <w:rtl/>
        </w:rPr>
        <w:t>الأولى</w:t>
      </w:r>
      <w:r w:rsidRPr="00000741">
        <w:rPr>
          <w:rFonts w:hint="cs"/>
          <w:rtl/>
        </w:rPr>
        <w:t xml:space="preserve">: </w:t>
      </w:r>
    </w:p>
    <w:p w:rsidR="00EA09EB" w:rsidRPr="00EA09EB" w:rsidRDefault="00EA09EB" w:rsidP="00EA09EB">
      <w:pPr>
        <w:rPr>
          <w:rtl/>
        </w:rPr>
      </w:pPr>
      <w:r w:rsidRPr="00EA09EB">
        <w:rPr>
          <w:rFonts w:hint="cs"/>
          <w:rtl/>
        </w:rPr>
        <w:t xml:space="preserve">بعد عرضه للدليل العقليّ المستقلّ على الولاية التعيينيّة للفقيه </w:t>
      </w:r>
      <w:r w:rsidRPr="00EA09EB">
        <w:rPr>
          <w:rtl/>
        </w:rPr>
        <w:t>ـ</w:t>
      </w:r>
      <w:r w:rsidRPr="00EA09EB">
        <w:rPr>
          <w:rFonts w:hint="cs"/>
          <w:rtl/>
        </w:rPr>
        <w:t xml:space="preserve"> وهو ما مرّ سابقاً بشكل مفصَّل </w:t>
      </w:r>
      <w:r w:rsidRPr="00EA09EB">
        <w:rPr>
          <w:rtl/>
        </w:rPr>
        <w:t>ـ</w:t>
      </w:r>
      <w:r w:rsidRPr="00EA09EB">
        <w:rPr>
          <w:rFonts w:hint="cs"/>
          <w:rtl/>
        </w:rPr>
        <w:t xml:space="preserve"> قام الشيخ جوادي الآمليّ بصياغة هذا الدليل الملفَّق من العقل والنقل حول زعامة الفقيه العادل في عصر الغيبة على الشكل التالي: «إنّ حاجة المجتمع البشري إلى الدين الإلهي أمرٌ ضروري، ولا يختصّ بعصر حضور المعصوم</w:t>
      </w:r>
      <w:r>
        <w:rPr>
          <w:rFonts w:hint="cs"/>
          <w:rtl/>
        </w:rPr>
        <w:t>×</w:t>
      </w:r>
      <w:r w:rsidRPr="00EA09EB">
        <w:rPr>
          <w:rFonts w:hint="cs"/>
          <w:rtl/>
        </w:rPr>
        <w:t>. كما لا شكّ في صلاحية الدين الإسلامي للبقاء والاستمرار إلى يوم القيامة؛ إذ يقول تعالى: ﴿</w:t>
      </w:r>
      <w:r w:rsidRPr="007A340E">
        <w:rPr>
          <w:b/>
          <w:bCs/>
          <w:rtl/>
        </w:rPr>
        <w:t>لاَ يَأْتِيهِ الْبَاطِلُ مِنْ بَيْنِ يَدَيْهِ وَلاَ مِنْ خَلْفِهِ تَنزِيلٌ مِنْ حَكِيمٍ حَمِيدٍ</w:t>
      </w:r>
      <w:r w:rsidRPr="00EA09EB">
        <w:rPr>
          <w:rFonts w:hint="cs"/>
          <w:rtl/>
        </w:rPr>
        <w:t>﴾ (فصِّلت: 42). وإنّ تعطيل ذلك يعني الحكم على الإسلام بعدم الصلاحية، وهذا تعبيرٌ آخر عن الحكم بنَسْخه؛ إذ إنّ القول بتعطيله يعني المنع من تطبيق أحكامه وحدوده، وهذا يعني بدوره الصدّ عن سبيل الله، وكلُّ ذلك يؤدّي إلى مخالفة أبدية الإسلام وصلاحيّته لجميع الحالات ـ الأعمّ من العقائدية والأخلاقية والسلوكية ـ. وإنّ الفارق الوحيد بين عصر نزول الوحي وحضور المعصوم</w:t>
      </w:r>
      <w:r>
        <w:rPr>
          <w:rFonts w:hint="cs"/>
          <w:rtl/>
        </w:rPr>
        <w:t>×</w:t>
      </w:r>
      <w:r w:rsidRPr="00EA09EB">
        <w:rPr>
          <w:rFonts w:hint="cs"/>
          <w:rtl/>
        </w:rPr>
        <w:t xml:space="preserve"> وبين عصر غَيْبة الإمام وليّ العصر</w:t>
      </w:r>
      <w:r w:rsidRPr="00E2207F">
        <w:rPr>
          <w:rFonts w:cs="SKR HEAD1" w:hint="cs"/>
          <w:sz w:val="32"/>
          <w:szCs w:val="32"/>
          <w:rtl/>
        </w:rPr>
        <w:sym w:font="Abz Roumouz" w:char="F02E"/>
      </w:r>
      <w:r w:rsidRPr="00EA09EB">
        <w:rPr>
          <w:rFonts w:hint="cs"/>
          <w:rtl/>
        </w:rPr>
        <w:t xml:space="preserve"> يكمن في خصوصية التطبيق، وفي كيفيّة هذا التطبيق أحياناً، مع الحفاظ على الخطوط العريضة. وكما أنّ الأحكام العبادية للإسلام ومسائله الفردية محفوظة أبداً </w:t>
      </w:r>
      <w:r w:rsidR="008B29EF">
        <w:rPr>
          <w:rFonts w:hint="cs"/>
          <w:rtl/>
        </w:rPr>
        <w:t>و</w:t>
      </w:r>
      <w:r w:rsidRPr="00EA09EB">
        <w:rPr>
          <w:rFonts w:hint="cs"/>
          <w:rtl/>
        </w:rPr>
        <w:t>لا بُدَّ من وجود المجتهدين العدول الذين يعملون على استنباط تلك الأحكام الإلهيّة بدقّةٍ؛ بغية العمل بها، وإبلاغها إلى الآخرين. إن الأحكام السياسية للإسلام، وكذلك مسائله الاجتماعية، باقية ومحفوظة من الزوال والاندثار أبداً. من هنا فإن وجود الفقهاء ـ الصائنين لنفوسهم والمدبِّرين الذين يعملون على استنباط وتطبيق تلك الأحكام بدقّةٍ متناهية ـ لطفٌ إلهي وضروري في إطار النظام الأحسن؛ إذ بعد إثبات لزوم إحياء الأحكام السياسية والاجتماعية يجب أن يكون هناك شخصٌ يتولّى تطبيقها على أرض الواقع، وعليه لا بُدَّ أن يكون هذا الشخص متخصِّصاً في الإسلام، وأن يكون طاهر الذَّيْل، نقياً من شوائب الأهواء، وإنْ لم يكن معصوماً من النسيان، وهو الفقيه الجامع للشرائط»</w:t>
      </w:r>
      <w:r w:rsidRPr="00064619">
        <w:rPr>
          <w:rFonts w:cs="Taher"/>
          <w:sz w:val="32"/>
          <w:vertAlign w:val="superscript"/>
          <w:rtl/>
        </w:rPr>
        <w:t>(</w:t>
      </w:r>
      <w:r w:rsidRPr="00064619">
        <w:rPr>
          <w:rStyle w:val="FootnoteReference"/>
          <w:rFonts w:cs="Taher"/>
          <w:sz w:val="32"/>
          <w:rtl/>
        </w:rPr>
        <w:footnoteReference w:id="808"/>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ويمكن تلخيص هذا البرهان على شكل مقدّمات منطقيّة تأسِّياً بالمنهجيّة التي تعلَّمناها من الشيخ الآمليّ نفسه:</w:t>
      </w:r>
    </w:p>
    <w:p w:rsidR="00EA09EB" w:rsidRPr="00EA09EB" w:rsidRDefault="00EA09EB" w:rsidP="007A340E">
      <w:pPr>
        <w:ind w:firstLine="283"/>
        <w:rPr>
          <w:rtl/>
        </w:rPr>
      </w:pPr>
      <w:r w:rsidRPr="007A340E">
        <w:rPr>
          <w:rFonts w:hint="cs"/>
          <w:b/>
          <w:bCs/>
          <w:rtl/>
        </w:rPr>
        <w:t>المقدّمة الأولى</w:t>
      </w:r>
      <w:r w:rsidRPr="00EA09EB">
        <w:rPr>
          <w:rFonts w:hint="cs"/>
          <w:rtl/>
        </w:rPr>
        <w:t>: إنّ المجتمع البشريّ بحاجة دائمة إلى الدين.</w:t>
      </w:r>
    </w:p>
    <w:p w:rsidR="00EA09EB" w:rsidRPr="00EA09EB" w:rsidRDefault="00EA09EB" w:rsidP="007A340E">
      <w:pPr>
        <w:ind w:firstLine="283"/>
        <w:rPr>
          <w:rtl/>
        </w:rPr>
      </w:pPr>
      <w:r w:rsidRPr="007A340E">
        <w:rPr>
          <w:rFonts w:hint="cs"/>
          <w:b/>
          <w:bCs/>
          <w:rtl/>
        </w:rPr>
        <w:t>المقدّمة الثانية</w:t>
      </w:r>
      <w:r w:rsidRPr="00EA09EB">
        <w:rPr>
          <w:rFonts w:hint="cs"/>
          <w:rtl/>
        </w:rPr>
        <w:t>: إنّ دين الإسلام صالح للبقاء إلى يوم القيامة، ولا يمكن تعطيل أحكامه.</w:t>
      </w:r>
    </w:p>
    <w:p w:rsidR="00EA09EB" w:rsidRPr="00EA09EB" w:rsidRDefault="00EA09EB" w:rsidP="007A340E">
      <w:pPr>
        <w:ind w:firstLine="283"/>
        <w:rPr>
          <w:rtl/>
        </w:rPr>
      </w:pPr>
      <w:r w:rsidRPr="007A340E">
        <w:rPr>
          <w:rFonts w:hint="cs"/>
          <w:b/>
          <w:bCs/>
          <w:rtl/>
        </w:rPr>
        <w:t>المقدّمة الثالثة</w:t>
      </w:r>
      <w:r w:rsidRPr="00EA09EB">
        <w:rPr>
          <w:rFonts w:hint="cs"/>
          <w:rtl/>
        </w:rPr>
        <w:t>: إنّ الأحكام الإسلاميّة أعمّ من الأحكام العباديّة والمسائل الفرديّة، من جهة، وهي من جهة أخرى أعمّ من الأحكام السياسيّة والمسائل الاجتماعيّة.</w:t>
      </w:r>
    </w:p>
    <w:p w:rsidR="00EA09EB" w:rsidRPr="00EA09EB" w:rsidRDefault="00EA09EB" w:rsidP="007A340E">
      <w:pPr>
        <w:ind w:firstLine="283"/>
        <w:rPr>
          <w:rtl/>
        </w:rPr>
      </w:pPr>
      <w:r w:rsidRPr="007A340E">
        <w:rPr>
          <w:rFonts w:hint="cs"/>
          <w:b/>
          <w:bCs/>
          <w:rtl/>
        </w:rPr>
        <w:t>المقدّمة الرابعة</w:t>
      </w:r>
      <w:r w:rsidRPr="00EA09EB">
        <w:rPr>
          <w:rFonts w:hint="cs"/>
          <w:rtl/>
        </w:rPr>
        <w:t>: إنّ وجود فقهاء متَّقين قادرين على الإدارة والتدبير واستنباط الأحكام الشرعية وإجرائها يُعَدّ لطفاً إلهياًّ وضرورةً للنظام الأفضل.</w:t>
      </w:r>
    </w:p>
    <w:p w:rsidR="00EA09EB" w:rsidRPr="00A32FC0" w:rsidRDefault="00EA09EB" w:rsidP="00EA09EB">
      <w:pPr>
        <w:rPr>
          <w:rtl/>
          <w:lang w:bidi="ar-LB"/>
        </w:rPr>
      </w:pPr>
      <w:r w:rsidRPr="00A32FC0">
        <w:rPr>
          <w:rFonts w:hint="cs"/>
          <w:rtl/>
          <w:lang w:bidi="ar-LB"/>
        </w:rPr>
        <w:t xml:space="preserve">ليس هناك أيّ نقاش في المقدّمات الثلاث الأولى، فهي من المسلَّمات العقائدية، </w:t>
      </w:r>
    </w:p>
    <w:p w:rsidR="00EA09EB" w:rsidRPr="00EA09EB" w:rsidRDefault="00EA09EB" w:rsidP="007A340E">
      <w:pPr>
        <w:ind w:firstLine="283"/>
        <w:rPr>
          <w:rtl/>
        </w:rPr>
      </w:pPr>
      <w:r w:rsidRPr="00EA09EB">
        <w:rPr>
          <w:rFonts w:hint="cs"/>
          <w:rtl/>
        </w:rPr>
        <w:t xml:space="preserve">ولكنّ البحث يكمن في المقدّمة الرابعة، </w:t>
      </w:r>
      <w:r w:rsidRPr="007A340E">
        <w:rPr>
          <w:rFonts w:hint="cs"/>
          <w:b/>
          <w:bCs/>
          <w:rtl/>
        </w:rPr>
        <w:t>فأولاً</w:t>
      </w:r>
      <w:r w:rsidRPr="00EA09EB">
        <w:rPr>
          <w:rFonts w:hint="cs"/>
          <w:rtl/>
        </w:rPr>
        <w:t>: إنّ هذا الدليل الملفَّق من العقل والنقل لا يختلف كثيراً عن الدليل العقليّ المستقلّ المبتني على قاعدة اللطف أو مقتضى الحكمة المتقدِّم سابقاً، بل يمكن لهذا البرهان أن يكون قائماً على أساس المقدّمة الأخيرة فقط، من دون التمسُّك بالمقدّمات الثلاث الأولى. وعلى هذا فإنّ الإكثار من الأدلّة في هذه المسألة لا مبرِّر له. وليس هناك في الواقع سوى دليل واحد.</w:t>
      </w:r>
    </w:p>
    <w:p w:rsidR="00EA09EB" w:rsidRPr="00EA09EB" w:rsidRDefault="00EA09EB" w:rsidP="007A340E">
      <w:pPr>
        <w:ind w:firstLine="283"/>
        <w:rPr>
          <w:rtl/>
        </w:rPr>
      </w:pPr>
      <w:r w:rsidRPr="007A340E">
        <w:rPr>
          <w:rFonts w:hint="cs"/>
          <w:b/>
          <w:bCs/>
          <w:rtl/>
        </w:rPr>
        <w:t>وثانياً</w:t>
      </w:r>
      <w:r w:rsidRPr="00EA09EB">
        <w:rPr>
          <w:rFonts w:hint="cs"/>
          <w:rtl/>
        </w:rPr>
        <w:t>: إنّ هذه المقدّمة غير تامّة؛ لأنّه عندما يريد تطبيق قاعدة اللطف الكلامية أو قاعدة مقتضى الحكمة الإلهيّة الفلسفيّة على مصداق ما</w:t>
      </w:r>
      <w:r w:rsidR="008B29EF">
        <w:rPr>
          <w:rFonts w:hint="cs"/>
          <w:rtl/>
        </w:rPr>
        <w:t>،</w:t>
      </w:r>
      <w:r w:rsidRPr="00EA09EB">
        <w:rPr>
          <w:rFonts w:hint="cs"/>
          <w:rtl/>
        </w:rPr>
        <w:t xml:space="preserve"> لابدّ أن يكون هذا المصداق هو الطريق الوحيد لتحصيل غرض الشارع، وإذا انتفى هذا الطريق انتفى غرض الشارع، والحال أن «تصدّي الفقهاء» لا يمتلك هذه الخصوصية؛ لأنّ إشراف الفقهاء على المجتمع، واستنباطهم للأحكام التي يحتاجها هذا المجتمع، يمكن أن يحقِّق غرض قيام حكومة دينيّة، وليس هناك حاجة لتولّي الفقهاء الأمور بشكل مباشر. وإذا ثبت وجوب تصدّي الفقيه لبعض الأحكام بشكل مباشر فهذا لا يعني وجوب تصدّيه لجميع الأحكام بشكل مباشر.</w:t>
      </w:r>
    </w:p>
    <w:p w:rsidR="00EA09EB" w:rsidRPr="00EA09EB" w:rsidRDefault="00EA09EB" w:rsidP="007A340E">
      <w:pPr>
        <w:ind w:firstLine="283"/>
        <w:rPr>
          <w:rtl/>
        </w:rPr>
      </w:pPr>
      <w:r w:rsidRPr="007A340E">
        <w:rPr>
          <w:rFonts w:hint="cs"/>
          <w:b/>
          <w:bCs/>
          <w:rtl/>
        </w:rPr>
        <w:t>وثالثاً</w:t>
      </w:r>
      <w:r w:rsidRPr="00EA09EB">
        <w:rPr>
          <w:rFonts w:hint="cs"/>
          <w:rtl/>
        </w:rPr>
        <w:t>: إذا غضضنا النظر عن الإشكال السابق فإنّه ليس لهذا الدليل دلالة على الولاية الشرعية، ولا على التعيين من قِبَل الشارع، وإنّما يثبت شرط الفقاهة في مَنْ يتصدّى لإجراء أحكام الإسلام؛ لأنّه يمكن أن يكون الفقيه المتصدّي وكيلاً عن الناس، أو مأذوناً من قِبَل الشارع، فيكون تصدّيه من طريق آخر غير طريق الولاية الشرعيّة، كالتصدّي من طريق جواز التصرُّف من باب القدر المتيقَّن مثلاً.</w:t>
      </w:r>
    </w:p>
    <w:p w:rsidR="00EA09EB" w:rsidRDefault="00EA09EB" w:rsidP="007A340E">
      <w:pPr>
        <w:ind w:firstLine="283"/>
        <w:rPr>
          <w:rtl/>
        </w:rPr>
      </w:pPr>
      <w:r w:rsidRPr="007A340E">
        <w:rPr>
          <w:rFonts w:hint="cs"/>
          <w:b/>
          <w:bCs/>
          <w:rtl/>
        </w:rPr>
        <w:t>ورابعاً</w:t>
      </w:r>
      <w:r w:rsidRPr="00EA09EB">
        <w:rPr>
          <w:rFonts w:hint="cs"/>
          <w:rtl/>
        </w:rPr>
        <w:t xml:space="preserve">: إنّ صحة المقدّمة الرابعة متوقِّفة على اعتبار تساوي الفقه والسياسة. إنّ هناك ملازمة بين السياسة الدينيّة ومراعاة الضوابط الفقهيّة، إلاّ أنّ السياسة الدينيّة والقيادة لا تتساويان مع الفقاهة. وصحيحٌ أنّه عند إدارة أيّ مجتمع لا يصحّ تجاوز الحلال والحرام، إلاّ أنّ مراعاة الحلال والحرام أمرٌ مختلفٌ عن إدارة وتدبير المجتمع. كما هو الحال في الاقتصاد، فإنّه يختلف عن حقوق التجارة. والسياسة أيضاً تختلف عن الحقوق الدستوريّة. وعلى هذا الأساس فإنّ الفقهاء كمستشارين، أو لمزيد من الاحتياط نقول: الفقهاء كمشرفين، هم الذين يضمنون استمرار الحكومة الدينيّة، بوقوفهم إلى جانب المتديِّنين القيِّمين على إدارة المجتمع. وأمّا موضوع العلاقة بين الفقه والسياسة فسوف نبحث فيه بشكل مفصَّل في بحثنا في شرط الفقاهة. وعلى أيّ حال فإنّ هذه الأدلة العقليّة غير قادرة على إثبات الولاية التعيينيّة للفقيه على الناس. </w:t>
      </w:r>
    </w:p>
    <w:p w:rsidR="007A340E" w:rsidRPr="00EA09EB" w:rsidRDefault="007A340E" w:rsidP="007A340E">
      <w:pPr>
        <w:ind w:firstLine="283"/>
        <w:rPr>
          <w:rtl/>
        </w:rPr>
      </w:pPr>
    </w:p>
    <w:p w:rsidR="00EA09EB" w:rsidRPr="00000741" w:rsidRDefault="00EA09EB" w:rsidP="007A340E">
      <w:pPr>
        <w:pStyle w:val="Heading4"/>
        <w:rPr>
          <w:rtl/>
        </w:rPr>
      </w:pPr>
      <w:r w:rsidRPr="00000741">
        <w:rPr>
          <w:rFonts w:hint="cs"/>
          <w:rtl/>
        </w:rPr>
        <w:t xml:space="preserve">الصياغة </w:t>
      </w:r>
      <w:r w:rsidRPr="007A340E">
        <w:rPr>
          <w:rFonts w:hint="cs"/>
          <w:rtl/>
        </w:rPr>
        <w:t>الثانية</w:t>
      </w:r>
      <w:r w:rsidRPr="00000741">
        <w:rPr>
          <w:rFonts w:hint="cs"/>
          <w:rtl/>
        </w:rPr>
        <w:t xml:space="preserve"> </w:t>
      </w:r>
    </w:p>
    <w:p w:rsidR="00EA09EB" w:rsidRPr="00F159BE" w:rsidRDefault="00EA09EB" w:rsidP="00EA09EB">
      <w:pPr>
        <w:rPr>
          <w:rtl/>
          <w:lang w:bidi="ar-AE"/>
        </w:rPr>
      </w:pPr>
      <w:r w:rsidRPr="00A32FC0">
        <w:rPr>
          <w:rFonts w:hint="cs"/>
          <w:rtl/>
          <w:lang w:bidi="ar-LB"/>
        </w:rPr>
        <w:t>استدلّ الأستاذ الشيخ مصباح اليزديّ على ولاية ال</w:t>
      </w:r>
      <w:r>
        <w:rPr>
          <w:rFonts w:hint="cs"/>
          <w:rtl/>
          <w:lang w:bidi="ar-LB"/>
        </w:rPr>
        <w:t xml:space="preserve">فقيه على الناس بدليل عقليّ عرضه </w:t>
      </w:r>
      <w:r w:rsidRPr="00A32FC0">
        <w:rPr>
          <w:rFonts w:hint="cs"/>
          <w:rtl/>
          <w:lang w:bidi="ar-LB"/>
        </w:rPr>
        <w:t>بصياغتين</w:t>
      </w:r>
      <w:r>
        <w:rPr>
          <w:rFonts w:hint="cs"/>
          <w:rtl/>
          <w:lang w:bidi="ar-LB"/>
        </w:rPr>
        <w:t>، فقال</w:t>
      </w:r>
      <w:r w:rsidRPr="00A32FC0">
        <w:rPr>
          <w:rFonts w:hint="cs"/>
          <w:rtl/>
          <w:lang w:bidi="ar-LB"/>
        </w:rPr>
        <w:t>:</w:t>
      </w:r>
      <w:r>
        <w:rPr>
          <w:rFonts w:hint="cs"/>
          <w:rtl/>
          <w:lang w:bidi="ar-LB"/>
        </w:rPr>
        <w:t xml:space="preserve"> </w:t>
      </w:r>
      <w:r w:rsidRPr="00A32FC0">
        <w:rPr>
          <w:rFonts w:hint="cs"/>
          <w:rtl/>
        </w:rPr>
        <w:t>«</w:t>
      </w:r>
      <w:r w:rsidRPr="00F159BE">
        <w:rPr>
          <w:rFonts w:hint="cs"/>
          <w:rtl/>
          <w:lang w:bidi="ar-AE"/>
        </w:rPr>
        <w:t>بالالتفات إلى ضرورة إقامة الدولة والحكم من أجل ضمان ضروري</w:t>
      </w:r>
      <w:r>
        <w:rPr>
          <w:rFonts w:hint="cs"/>
          <w:rtl/>
          <w:lang w:bidi="ar-AE"/>
        </w:rPr>
        <w:t>ّ</w:t>
      </w:r>
      <w:r w:rsidRPr="00F159BE">
        <w:rPr>
          <w:rFonts w:hint="cs"/>
          <w:rtl/>
          <w:lang w:bidi="ar-AE"/>
        </w:rPr>
        <w:t>ات الحياة الاجتماعية</w:t>
      </w:r>
      <w:r>
        <w:rPr>
          <w:rFonts w:hint="cs"/>
          <w:rtl/>
          <w:lang w:bidi="ar-AE"/>
        </w:rPr>
        <w:t>،</w:t>
      </w:r>
      <w:r w:rsidRPr="00F159BE">
        <w:rPr>
          <w:rFonts w:hint="cs"/>
          <w:rtl/>
          <w:lang w:bidi="ar-AE"/>
        </w:rPr>
        <w:t xml:space="preserve"> والحيلولة دون الفوضى واله</w:t>
      </w:r>
      <w:r>
        <w:rPr>
          <w:rFonts w:hint="cs"/>
          <w:rtl/>
          <w:lang w:bidi="ar-AE"/>
        </w:rPr>
        <w:t>َ</w:t>
      </w:r>
      <w:r w:rsidRPr="00F159BE">
        <w:rPr>
          <w:rFonts w:hint="cs"/>
          <w:rtl/>
          <w:lang w:bidi="ar-AE"/>
        </w:rPr>
        <w:t>ر</w:t>
      </w:r>
      <w:r>
        <w:rPr>
          <w:rFonts w:hint="cs"/>
          <w:rtl/>
          <w:lang w:bidi="ar-AE"/>
        </w:rPr>
        <w:t>ْ</w:t>
      </w:r>
      <w:r w:rsidRPr="00F159BE">
        <w:rPr>
          <w:rFonts w:hint="cs"/>
          <w:rtl/>
          <w:lang w:bidi="ar-AE"/>
        </w:rPr>
        <w:t>ج والم</w:t>
      </w:r>
      <w:r>
        <w:rPr>
          <w:rFonts w:hint="cs"/>
          <w:rtl/>
          <w:lang w:bidi="ar-AE"/>
        </w:rPr>
        <w:t>َ</w:t>
      </w:r>
      <w:r w:rsidRPr="00F159BE">
        <w:rPr>
          <w:rFonts w:hint="cs"/>
          <w:rtl/>
          <w:lang w:bidi="ar-AE"/>
        </w:rPr>
        <w:t>ر</w:t>
      </w:r>
      <w:r>
        <w:rPr>
          <w:rFonts w:hint="cs"/>
          <w:rtl/>
          <w:lang w:bidi="ar-AE"/>
        </w:rPr>
        <w:t>ْ</w:t>
      </w:r>
      <w:r w:rsidRPr="00F159BE">
        <w:rPr>
          <w:rFonts w:hint="cs"/>
          <w:rtl/>
          <w:lang w:bidi="ar-AE"/>
        </w:rPr>
        <w:t>ج والفساد واختلال النظام، وبالالتفات إلى ضرورة تطبيق الأحكام الاجتماعية للإسلام، وعدم اختصاص تلك الأحكام بعصر حضور النبي</w:t>
      </w:r>
      <w:r>
        <w:rPr>
          <w:rFonts w:hint="cs"/>
          <w:rtl/>
          <w:lang w:bidi="ar-AE"/>
        </w:rPr>
        <w:t>ّ</w:t>
      </w:r>
      <w:r w:rsidRPr="00A32FC0">
        <w:rPr>
          <w:rFonts w:hint="cs"/>
          <w:rtl/>
        </w:rPr>
        <w:sym w:font="Roumouz" w:char="F02D"/>
      </w:r>
      <w:r w:rsidRPr="00F159BE">
        <w:rPr>
          <w:rFonts w:hint="cs"/>
          <w:rtl/>
          <w:lang w:bidi="ar-AE"/>
        </w:rPr>
        <w:t xml:space="preserve"> والأئم</w:t>
      </w:r>
      <w:r>
        <w:rPr>
          <w:rFonts w:hint="cs"/>
          <w:rtl/>
          <w:lang w:bidi="ar-AE"/>
        </w:rPr>
        <w:t>ّ</w:t>
      </w:r>
      <w:r w:rsidRPr="00F159BE">
        <w:rPr>
          <w:rFonts w:hint="cs"/>
          <w:rtl/>
          <w:lang w:bidi="ar-AE"/>
        </w:rPr>
        <w:t>ة</w:t>
      </w:r>
      <w:r w:rsidR="007A340E">
        <w:rPr>
          <w:rFonts w:hint="cs"/>
          <w:rtl/>
        </w:rPr>
        <w:t>^</w:t>
      </w:r>
      <w:r>
        <w:rPr>
          <w:rFonts w:hint="cs"/>
          <w:rtl/>
          <w:lang w:bidi="ar-AE"/>
        </w:rPr>
        <w:t>،</w:t>
      </w:r>
      <w:r w:rsidRPr="00F159BE">
        <w:rPr>
          <w:rFonts w:hint="cs"/>
          <w:rtl/>
          <w:lang w:bidi="ar-AE"/>
        </w:rPr>
        <w:t xml:space="preserve"> يمكن إثبات ولاية الفقيه بأحد بيان</w:t>
      </w:r>
      <w:r>
        <w:rPr>
          <w:rFonts w:hint="cs"/>
          <w:rtl/>
          <w:lang w:bidi="ar-AE"/>
        </w:rPr>
        <w:t>َ</w:t>
      </w:r>
      <w:r w:rsidRPr="00F159BE">
        <w:rPr>
          <w:rFonts w:hint="cs"/>
          <w:rtl/>
          <w:lang w:bidi="ar-AE"/>
        </w:rPr>
        <w:t>ي</w:t>
      </w:r>
      <w:r>
        <w:rPr>
          <w:rFonts w:hint="cs"/>
          <w:rtl/>
          <w:lang w:bidi="ar-AE"/>
        </w:rPr>
        <w:t>ْ</w:t>
      </w:r>
      <w:r w:rsidRPr="00F159BE">
        <w:rPr>
          <w:rFonts w:hint="cs"/>
          <w:rtl/>
          <w:lang w:bidi="ar-AE"/>
        </w:rPr>
        <w:t>ن:</w:t>
      </w:r>
    </w:p>
    <w:p w:rsidR="00EA09EB" w:rsidRPr="00EA09EB" w:rsidRDefault="00EA09EB" w:rsidP="00EA09EB">
      <w:pPr>
        <w:rPr>
          <w:rtl/>
        </w:rPr>
      </w:pPr>
      <w:r w:rsidRPr="007A340E">
        <w:rPr>
          <w:rFonts w:hint="cs"/>
          <w:b/>
          <w:bCs/>
          <w:rtl/>
        </w:rPr>
        <w:t>أحدهما</w:t>
      </w:r>
      <w:r w:rsidRPr="00EA09EB">
        <w:rPr>
          <w:rFonts w:hint="cs"/>
          <w:rtl/>
        </w:rPr>
        <w:t>: إنّه عندما يتعذَّر تحصيل المصلحة اللازمة في المستوى المطلوب يجب الانتقال إلى أقرب المراتب إليها منالاً. وعليه في المسألة مورد البحث عندما تحرم الأمّة من نعمة حكم المعصوم</w:t>
      </w:r>
      <w:r>
        <w:rPr>
          <w:rFonts w:hint="cs"/>
          <w:rtl/>
        </w:rPr>
        <w:t>×</w:t>
      </w:r>
      <w:r w:rsidRPr="00EA09EB">
        <w:rPr>
          <w:rFonts w:hint="cs"/>
          <w:rtl/>
        </w:rPr>
        <w:t xml:space="preserve"> يجب تحصيل المرتبة التالية لهذه النعمة المتعذِّرة، وهي دولة الفرد الأقرب إلى المعصوم</w:t>
      </w:r>
      <w:r>
        <w:rPr>
          <w:rFonts w:hint="cs"/>
          <w:rtl/>
        </w:rPr>
        <w:t>×</w:t>
      </w:r>
      <w:r w:rsidRPr="00EA09EB">
        <w:rPr>
          <w:rFonts w:hint="cs"/>
          <w:rtl/>
        </w:rPr>
        <w:t>، وتتحقَّق هذه الأقربية ضمن ثلاثة أمور رئيسة، وهي:</w:t>
      </w:r>
    </w:p>
    <w:p w:rsidR="00EA09EB" w:rsidRPr="00F159BE" w:rsidRDefault="00EA09EB" w:rsidP="00EA09EB">
      <w:pPr>
        <w:rPr>
          <w:rtl/>
          <w:lang w:bidi="ar-AE"/>
        </w:rPr>
      </w:pPr>
      <w:r>
        <w:rPr>
          <w:rFonts w:hint="cs"/>
          <w:rtl/>
          <w:lang w:bidi="ar-AE"/>
        </w:rPr>
        <w:t>1</w:t>
      </w:r>
      <w:r w:rsidRPr="00F159BE">
        <w:rPr>
          <w:rFonts w:hint="cs"/>
          <w:rtl/>
          <w:lang w:bidi="ar-AE"/>
        </w:rPr>
        <w:t>ـ العلم بالأحكام العام</w:t>
      </w:r>
      <w:r>
        <w:rPr>
          <w:rFonts w:hint="cs"/>
          <w:rtl/>
          <w:lang w:bidi="ar-AE"/>
        </w:rPr>
        <w:t>ّ</w:t>
      </w:r>
      <w:r w:rsidRPr="00F159BE">
        <w:rPr>
          <w:rFonts w:hint="cs"/>
          <w:rtl/>
          <w:lang w:bidi="ar-AE"/>
        </w:rPr>
        <w:t>ة في الإسلام (الفقاهة).</w:t>
      </w:r>
    </w:p>
    <w:p w:rsidR="00EA09EB" w:rsidRPr="00F159BE" w:rsidRDefault="00EA09EB" w:rsidP="00EA09EB">
      <w:pPr>
        <w:rPr>
          <w:rtl/>
          <w:lang w:bidi="ar-AE"/>
        </w:rPr>
      </w:pPr>
      <w:r>
        <w:rPr>
          <w:rFonts w:hint="cs"/>
          <w:rtl/>
          <w:lang w:bidi="ar-AE"/>
        </w:rPr>
        <w:t>2</w:t>
      </w:r>
      <w:r w:rsidRPr="00F159BE">
        <w:rPr>
          <w:rFonts w:hint="cs"/>
          <w:rtl/>
          <w:lang w:bidi="ar-AE"/>
        </w:rPr>
        <w:t>ـ الكفاءة الروحية والأخلاقية</w:t>
      </w:r>
      <w:r>
        <w:rPr>
          <w:rFonts w:hint="cs"/>
          <w:rtl/>
          <w:lang w:bidi="ar-AE"/>
        </w:rPr>
        <w:t>،</w:t>
      </w:r>
      <w:r w:rsidRPr="00F159BE">
        <w:rPr>
          <w:rFonts w:hint="cs"/>
          <w:rtl/>
          <w:lang w:bidi="ar-AE"/>
        </w:rPr>
        <w:t xml:space="preserve"> بحيث لا يتأث</w:t>
      </w:r>
      <w:r>
        <w:rPr>
          <w:rFonts w:hint="cs"/>
          <w:rtl/>
          <w:lang w:bidi="ar-AE"/>
        </w:rPr>
        <w:t>َّ</w:t>
      </w:r>
      <w:r w:rsidRPr="00F159BE">
        <w:rPr>
          <w:rFonts w:hint="cs"/>
          <w:rtl/>
          <w:lang w:bidi="ar-AE"/>
        </w:rPr>
        <w:t>ر بالأهواء والرغبات النفسية والمطامح والتهديدات (التقوى).</w:t>
      </w:r>
    </w:p>
    <w:p w:rsidR="00EA09EB" w:rsidRPr="00F159BE" w:rsidRDefault="00EA09EB" w:rsidP="00EA09EB">
      <w:pPr>
        <w:rPr>
          <w:rtl/>
          <w:lang w:bidi="ar-AE"/>
        </w:rPr>
      </w:pPr>
      <w:r>
        <w:rPr>
          <w:rFonts w:hint="cs"/>
          <w:rtl/>
          <w:lang w:bidi="ar-AE"/>
        </w:rPr>
        <w:t>3</w:t>
      </w:r>
      <w:r w:rsidRPr="00F159BE">
        <w:rPr>
          <w:rFonts w:hint="cs"/>
          <w:rtl/>
          <w:lang w:bidi="ar-AE"/>
        </w:rPr>
        <w:t>ـ الكفاءة الإدارية في توجيه المجتمع</w:t>
      </w:r>
      <w:r>
        <w:rPr>
          <w:rFonts w:hint="cs"/>
          <w:rtl/>
          <w:lang w:bidi="ar-AE"/>
        </w:rPr>
        <w:t>،</w:t>
      </w:r>
      <w:r w:rsidRPr="00F159BE">
        <w:rPr>
          <w:rFonts w:hint="cs"/>
          <w:rtl/>
          <w:lang w:bidi="ar-AE"/>
        </w:rPr>
        <w:t xml:space="preserve"> حيث يتمت</w:t>
      </w:r>
      <w:r>
        <w:rPr>
          <w:rFonts w:hint="cs"/>
          <w:rtl/>
          <w:lang w:bidi="ar-AE"/>
        </w:rPr>
        <w:t>َّ</w:t>
      </w:r>
      <w:r w:rsidRPr="00F159BE">
        <w:rPr>
          <w:rFonts w:hint="cs"/>
          <w:rtl/>
          <w:lang w:bidi="ar-AE"/>
        </w:rPr>
        <w:t>ع بالخصائص الفردية (من قبيل: الوعي السياسي والاجتماعي والعلم بالمسائل الدولية، والتحل</w:t>
      </w:r>
      <w:r>
        <w:rPr>
          <w:rFonts w:hint="cs"/>
          <w:rtl/>
          <w:lang w:bidi="ar-AE"/>
        </w:rPr>
        <w:t>ّ</w:t>
      </w:r>
      <w:r w:rsidRPr="00F159BE">
        <w:rPr>
          <w:rFonts w:hint="cs"/>
          <w:rtl/>
          <w:lang w:bidi="ar-AE"/>
        </w:rPr>
        <w:t>ي بالشجاعة في مواجهة الأعداء والمجرمين، والتمت</w:t>
      </w:r>
      <w:r>
        <w:rPr>
          <w:rFonts w:hint="cs"/>
          <w:rtl/>
          <w:lang w:bidi="ar-AE"/>
        </w:rPr>
        <w:t>ُّ</w:t>
      </w:r>
      <w:r w:rsidRPr="00F159BE">
        <w:rPr>
          <w:rFonts w:hint="cs"/>
          <w:rtl/>
          <w:lang w:bidi="ar-AE"/>
        </w:rPr>
        <w:t>ع بالذكاء الفذ</w:t>
      </w:r>
      <w:r>
        <w:rPr>
          <w:rFonts w:hint="cs"/>
          <w:rtl/>
          <w:lang w:bidi="ar-AE"/>
        </w:rPr>
        <w:t>ّ</w:t>
      </w:r>
      <w:r w:rsidRPr="00F159BE">
        <w:rPr>
          <w:rFonts w:hint="cs"/>
          <w:rtl/>
          <w:lang w:bidi="ar-AE"/>
        </w:rPr>
        <w:t xml:space="preserve"> في تحديد الأولويات والأهم</w:t>
      </w:r>
      <w:r>
        <w:rPr>
          <w:rFonts w:hint="cs"/>
          <w:rtl/>
          <w:lang w:bidi="ar-AE"/>
        </w:rPr>
        <w:t>ّ</w:t>
      </w:r>
      <w:r w:rsidRPr="00F159BE">
        <w:rPr>
          <w:rFonts w:hint="cs"/>
          <w:rtl/>
          <w:lang w:bidi="ar-AE"/>
        </w:rPr>
        <w:t>يات).</w:t>
      </w:r>
    </w:p>
    <w:p w:rsidR="00EA09EB" w:rsidRPr="00F159BE" w:rsidRDefault="00EA09EB" w:rsidP="00EA09EB">
      <w:pPr>
        <w:rPr>
          <w:rtl/>
          <w:lang w:bidi="ar-AE"/>
        </w:rPr>
      </w:pPr>
      <w:r w:rsidRPr="00F159BE">
        <w:rPr>
          <w:rFonts w:hint="cs"/>
          <w:rtl/>
          <w:lang w:bidi="ar-AE"/>
        </w:rPr>
        <w:t>ومن هنا يجب على م</w:t>
      </w:r>
      <w:r>
        <w:rPr>
          <w:rFonts w:hint="cs"/>
          <w:rtl/>
          <w:lang w:bidi="ar-AE"/>
        </w:rPr>
        <w:t>َ</w:t>
      </w:r>
      <w:r w:rsidRPr="00F159BE">
        <w:rPr>
          <w:rFonts w:hint="cs"/>
          <w:rtl/>
          <w:lang w:bidi="ar-AE"/>
        </w:rPr>
        <w:t>ن</w:t>
      </w:r>
      <w:r>
        <w:rPr>
          <w:rFonts w:hint="cs"/>
          <w:rtl/>
          <w:lang w:bidi="ar-AE"/>
        </w:rPr>
        <w:t>ْ</w:t>
      </w:r>
      <w:r w:rsidRPr="00F159BE">
        <w:rPr>
          <w:rFonts w:hint="cs"/>
          <w:rtl/>
          <w:lang w:bidi="ar-AE"/>
        </w:rPr>
        <w:t xml:space="preserve"> تتوف</w:t>
      </w:r>
      <w:r>
        <w:rPr>
          <w:rFonts w:hint="cs"/>
          <w:rtl/>
          <w:lang w:bidi="ar-AE"/>
        </w:rPr>
        <w:t>َّ</w:t>
      </w:r>
      <w:r w:rsidRPr="00F159BE">
        <w:rPr>
          <w:rFonts w:hint="cs"/>
          <w:rtl/>
          <w:lang w:bidi="ar-AE"/>
        </w:rPr>
        <w:t>ر فيه هذه الصفات أكثر من غيره أن يتول</w:t>
      </w:r>
      <w:r>
        <w:rPr>
          <w:rFonts w:hint="cs"/>
          <w:rtl/>
          <w:lang w:bidi="ar-AE"/>
        </w:rPr>
        <w:t>ّ</w:t>
      </w:r>
      <w:r w:rsidRPr="00F159BE">
        <w:rPr>
          <w:rFonts w:hint="cs"/>
          <w:rtl/>
          <w:lang w:bidi="ar-AE"/>
        </w:rPr>
        <w:t>ى زعامة وقيادة المجتمع، ويعمل على تنظيم شؤون إدارة الحكم والدولة وهداية الناس إلى الكمال المنشود. وإن</w:t>
      </w:r>
      <w:r>
        <w:rPr>
          <w:rFonts w:hint="cs"/>
          <w:rtl/>
          <w:lang w:bidi="ar-AE"/>
        </w:rPr>
        <w:t>ّ</w:t>
      </w:r>
      <w:r w:rsidRPr="00F159BE">
        <w:rPr>
          <w:rFonts w:hint="cs"/>
          <w:rtl/>
          <w:lang w:bidi="ar-AE"/>
        </w:rPr>
        <w:t xml:space="preserve"> تحديد الشخص الذي يتحل</w:t>
      </w:r>
      <w:r>
        <w:rPr>
          <w:rFonts w:hint="cs"/>
          <w:rtl/>
          <w:lang w:bidi="ar-AE"/>
        </w:rPr>
        <w:t>ّ</w:t>
      </w:r>
      <w:r w:rsidRPr="00F159BE">
        <w:rPr>
          <w:rFonts w:hint="cs"/>
          <w:rtl/>
          <w:lang w:bidi="ar-AE"/>
        </w:rPr>
        <w:t>ى بهذه المواصفات يقع ـ بطبيعة الحال ـ على عاتق المختص</w:t>
      </w:r>
      <w:r>
        <w:rPr>
          <w:rFonts w:hint="cs"/>
          <w:rtl/>
          <w:lang w:bidi="ar-AE"/>
        </w:rPr>
        <w:t>ِّ</w:t>
      </w:r>
      <w:r w:rsidRPr="00F159BE">
        <w:rPr>
          <w:rFonts w:hint="cs"/>
          <w:rtl/>
          <w:lang w:bidi="ar-AE"/>
        </w:rPr>
        <w:t>ين والخبراء في هذا الشأن، كما هو الحال بالنسبة إلى سائر شؤون الحياة الاجتماعية الأخرى.</w:t>
      </w:r>
    </w:p>
    <w:p w:rsidR="00EA09EB" w:rsidRPr="00EA09EB" w:rsidRDefault="00EA09EB" w:rsidP="008B29EF">
      <w:pPr>
        <w:ind w:firstLine="283"/>
        <w:rPr>
          <w:rtl/>
        </w:rPr>
      </w:pPr>
      <w:r w:rsidRPr="007A340E">
        <w:rPr>
          <w:rFonts w:hint="cs"/>
          <w:b/>
          <w:bCs/>
          <w:rtl/>
        </w:rPr>
        <w:t>أما البيان الآخر فهو</w:t>
      </w:r>
      <w:r w:rsidRPr="00EA09EB">
        <w:rPr>
          <w:rFonts w:hint="cs"/>
          <w:rtl/>
        </w:rPr>
        <w:t>: إنّ الولاية على أموال وأعراض وأرواح الناس من شؤون الربوبية الإلهية، وعليه لا يكتسب المشروعية مَنْ يتصدّى لتولّي أمورها إلاّ بإذنٍ وتنصيب من الله سبحانه وتعالى. ونحن نعتقد أنّ هذه السلطة القانونية قد مُنِحَتْ للنبيّ الأكرم</w:t>
      </w:r>
      <w:r w:rsidRPr="00EA09EB">
        <w:rPr>
          <w:rFonts w:hint="cs"/>
          <w:rtl/>
        </w:rPr>
        <w:sym w:font="Roumouz" w:char="F02D"/>
      </w:r>
      <w:r w:rsidRPr="00EA09EB">
        <w:rPr>
          <w:rFonts w:hint="cs"/>
          <w:rtl/>
        </w:rPr>
        <w:t xml:space="preserve"> والأئمّة المعصومين</w:t>
      </w:r>
      <w:r w:rsidR="007A340E">
        <w:rPr>
          <w:rFonts w:hint="cs"/>
          <w:rtl/>
        </w:rPr>
        <w:t>^</w:t>
      </w:r>
      <w:r w:rsidRPr="00EA09EB">
        <w:rPr>
          <w:rFonts w:hint="cs"/>
          <w:rtl/>
        </w:rPr>
        <w:t xml:space="preserve"> من قِبَل الله عزَّ وجلَّ. ولكنْ حيث يُحرَم الناس في برهةٍ زمنية من </w:t>
      </w:r>
      <w:r w:rsidRPr="008B29EF">
        <w:rPr>
          <w:rFonts w:ascii="Mosawi" w:hAnsi="Mosawi"/>
          <w:rtl/>
        </w:rPr>
        <w:t>قيادة المعصوم</w:t>
      </w:r>
      <w:r w:rsidR="008B29EF">
        <w:rPr>
          <w:rFonts w:ascii="Mosawi" w:hAnsi="Mosawi" w:hint="cs"/>
          <w:rtl/>
        </w:rPr>
        <w:t>×</w:t>
      </w:r>
      <w:r w:rsidR="008B29EF" w:rsidRPr="008B29EF">
        <w:rPr>
          <w:rFonts w:ascii="Mosawi" w:hAnsi="Mosawi"/>
          <w:rtl/>
        </w:rPr>
        <w:t xml:space="preserve"> فلا</w:t>
      </w:r>
      <w:r w:rsidR="008B29EF">
        <w:rPr>
          <w:rFonts w:hint="cs"/>
          <w:rtl/>
        </w:rPr>
        <w:t xml:space="preserve"> يخلو الأمر من أحد أمرين؛</w:t>
      </w:r>
      <w:r w:rsidRPr="00EA09EB">
        <w:rPr>
          <w:rFonts w:hint="cs"/>
          <w:rtl/>
        </w:rPr>
        <w:t xml:space="preserve"> فإمّا أن يتنازل الله تعالى عن تطبيق أحكام الإسلام الاجتماعية؛ أو أن يُعطي هذه المسؤولية لمَنْ هو أصلح من غيره؛ كي لا يلزم من ذلك ترجيح المرجوح على الراجح، أو نقضاً للغرض، أو ارتكاب ما يخالف الحكمة. ومع الالتفات إلى بطلان الفرضيّة الأولى تثبت الفرضية الثانية؛ لعدم الخلوّ، بمعنى أنّنا نكتشف من طريق العقل صدور مثل هذا الإذن من قِبَل الله والأولياء المعصومين</w:t>
      </w:r>
      <w:r w:rsidR="007A340E">
        <w:rPr>
          <w:rFonts w:hint="cs"/>
          <w:rtl/>
        </w:rPr>
        <w:t>^</w:t>
      </w:r>
      <w:r w:rsidRPr="00EA09EB">
        <w:rPr>
          <w:rFonts w:hint="cs"/>
          <w:rtl/>
        </w:rPr>
        <w:t xml:space="preserve">، حتّى إذا لم يصلنا بيانٌ نقليّ واضح بهذا الشأن. وإنّ الفقيه الجامع للشرائط هو ذلك الفرد الأصلح الذي يعرف أحكام الإسلام بشكلٍ أفضل من غيره، كما أنّه يتمتَّع بضمانةٍ أخلاقية يتفوَّق بها على الآخرين في تطبيق تلك الأحكام، كما أنّه أجدى من غيره في مقام تلبية مصالح المجتمع وإدارة شؤون العباد. إذن نكتشف مشروعيّة ولايته من طريق العقل، كما هو الحال بالنسبة إلى الكثير من الأحكام الفقهية الأخرى، وخاصّة في المسائل الاجتماعية (مثل: الواجبات </w:t>
      </w:r>
      <w:r w:rsidR="008B29EF">
        <w:rPr>
          <w:rFonts w:hint="cs"/>
          <w:rtl/>
        </w:rPr>
        <w:t>المتعلة بالأمن والنظم العام</w:t>
      </w:r>
      <w:r w:rsidRPr="00EA09EB">
        <w:rPr>
          <w:rFonts w:hint="cs"/>
          <w:rtl/>
        </w:rPr>
        <w:t>)، حيث تثبت من طريق الدليل العقلي أيضاً</w:t>
      </w:r>
      <w:r w:rsidRPr="00064619">
        <w:rPr>
          <w:rFonts w:cs="Taher"/>
          <w:sz w:val="32"/>
          <w:vertAlign w:val="superscript"/>
          <w:rtl/>
        </w:rPr>
        <w:t>(</w:t>
      </w:r>
      <w:r w:rsidRPr="00064619">
        <w:rPr>
          <w:rStyle w:val="FootnoteReference"/>
          <w:rFonts w:cs="Taher"/>
          <w:sz w:val="32"/>
          <w:rtl/>
        </w:rPr>
        <w:footnoteReference w:id="809"/>
      </w:r>
      <w:r w:rsidRPr="00064619">
        <w:rPr>
          <w:rFonts w:cs="Taher"/>
          <w:sz w:val="32"/>
          <w:vertAlign w:val="superscript"/>
          <w:rtl/>
        </w:rPr>
        <w:t>)</w:t>
      </w:r>
      <w:r w:rsidRPr="00EA09EB">
        <w:rPr>
          <w:rFonts w:hint="cs"/>
          <w:rtl/>
        </w:rPr>
        <w:t>.</w:t>
      </w:r>
    </w:p>
    <w:p w:rsidR="00EA09EB" w:rsidRPr="00A32FC0" w:rsidRDefault="00EA09EB" w:rsidP="00EA09EB">
      <w:pPr>
        <w:rPr>
          <w:rtl/>
          <w:lang w:bidi="ar-LB"/>
        </w:rPr>
      </w:pPr>
      <w:r w:rsidRPr="00A32FC0">
        <w:rPr>
          <w:rFonts w:hint="cs"/>
          <w:rtl/>
          <w:lang w:bidi="ar-LB"/>
        </w:rPr>
        <w:t>ويمكننا هنا تسجيل عدّة نقاط حول هذا الدليل العقليّ، بكلا بيانيه:</w:t>
      </w:r>
    </w:p>
    <w:p w:rsidR="00EA09EB" w:rsidRPr="00EA09EB" w:rsidRDefault="00EA09EB" w:rsidP="007A340E">
      <w:pPr>
        <w:ind w:firstLine="283"/>
        <w:rPr>
          <w:rtl/>
        </w:rPr>
      </w:pPr>
      <w:r w:rsidRPr="007A340E">
        <w:rPr>
          <w:rFonts w:hint="cs"/>
          <w:b/>
          <w:bCs/>
          <w:rtl/>
        </w:rPr>
        <w:t>أوّلاً</w:t>
      </w:r>
      <w:r w:rsidRPr="00EA09EB">
        <w:rPr>
          <w:rFonts w:hint="cs"/>
          <w:rtl/>
        </w:rPr>
        <w:t xml:space="preserve">: إنّ كلا البيانين العقليّين ناظرٌ إلى شرط الفقاهة في الحاكم الإسلاميّ، ولا يُلْحَظ في هذا الدليل العقليّ أيّ دلالة على كيفيّة شكل حكومة الفقيه، هل هي «ولاية» أم غير ذلك؟ وهل يجب أن يكون تعيين الفقهاء من قبل الله أم ينتخبون من قبل الناس؟ </w:t>
      </w:r>
    </w:p>
    <w:p w:rsidR="00EA09EB" w:rsidRPr="00A32FC0" w:rsidRDefault="00EA09EB" w:rsidP="00EA09EB">
      <w:pPr>
        <w:rPr>
          <w:rtl/>
          <w:lang w:bidi="ar-LB"/>
        </w:rPr>
      </w:pPr>
      <w:r w:rsidRPr="00A32FC0">
        <w:rPr>
          <w:rFonts w:hint="cs"/>
          <w:rtl/>
          <w:lang w:bidi="ar-LB"/>
        </w:rPr>
        <w:t>وكما أن هذين البيانين ينسجمان مع الولاية التعيينيّة للفقهاء فإنهما ينسجمان أيضاً مع الولاية الانتخابيّة للفقهاء، ومع وكالة الفقهاء من قِبَل الشارع، ومع حكومة الفقهاء بإذن الشارع العامّ (من دون الولاية التعيينيّة). وبعبارة أخرى: إن هذين البيانين ـ من ناحية الولاية والتعيين ـ أعمّ من المدّعى. ولا يمكن أن نرى هنا أيّ تلازم بين الفقاهة وبين الولاية والتعيين.</w:t>
      </w:r>
    </w:p>
    <w:p w:rsidR="00EA09EB" w:rsidRPr="00EA09EB" w:rsidRDefault="00EA09EB" w:rsidP="007A340E">
      <w:pPr>
        <w:ind w:firstLine="283"/>
        <w:rPr>
          <w:rtl/>
        </w:rPr>
      </w:pPr>
      <w:r w:rsidRPr="007A340E">
        <w:rPr>
          <w:rFonts w:hint="cs"/>
          <w:b/>
          <w:bCs/>
          <w:rtl/>
        </w:rPr>
        <w:t>ثانياً</w:t>
      </w:r>
      <w:r w:rsidRPr="00EA09EB">
        <w:rPr>
          <w:rFonts w:hint="cs"/>
          <w:rtl/>
        </w:rPr>
        <w:t xml:space="preserve">: إنّ البيان الثاني من هذا الدليل العقليّ يثبت لنا «الانتساب» إلى الشارع فقط، دون التعيين من قِبَل الشارع. والانتساب إلى الشارع أمرٌ متَّفقٌ عليه من قِبَل جميع الفقهاء، حتّى القائلين بنظريّة المشروعيّة الإلهيّة </w:t>
      </w:r>
      <w:r w:rsidRPr="00EA09EB">
        <w:rPr>
          <w:rtl/>
        </w:rPr>
        <w:t>ـ</w:t>
      </w:r>
      <w:r w:rsidRPr="00EA09EB">
        <w:rPr>
          <w:rFonts w:hint="cs"/>
          <w:rtl/>
        </w:rPr>
        <w:t xml:space="preserve"> البشريّة، والمنتقدين لولاية الفقيه، والذي يثبته هذا الدليل العقلي، أي «الانتساب»، ليس محلَّ خلاف، ومحلُّ الخلاف هو في «التعيين»، الذي عجز هذا الدليل عن إثباته.</w:t>
      </w:r>
    </w:p>
    <w:p w:rsidR="00EA09EB" w:rsidRPr="00EA09EB" w:rsidRDefault="00EA09EB" w:rsidP="007A340E">
      <w:pPr>
        <w:ind w:firstLine="283"/>
        <w:rPr>
          <w:rtl/>
        </w:rPr>
      </w:pPr>
      <w:r w:rsidRPr="007A340E">
        <w:rPr>
          <w:rFonts w:hint="cs"/>
          <w:b/>
          <w:bCs/>
          <w:rtl/>
        </w:rPr>
        <w:t>ثالثاً</w:t>
      </w:r>
      <w:r w:rsidRPr="00EA09EB">
        <w:rPr>
          <w:rFonts w:hint="cs"/>
          <w:rtl/>
        </w:rPr>
        <w:t>: على فرض صحّة هذا الدليل العقليّ بكلا بيانيه فإنّ العقل يحكم ـ فقط ـ بضرورة اطلاع الحاكم الديني على أحكام الشرع، وامتثاله لها، أما أن يكون هذا الاطلاع على نحو الاجتهاد أو لا فهذا ما لا يمكن للعقل البتّ فيه، ولا بُدَّ من الرجوع إلى دليل نقليّ. ولهذا فإنّ كلا البيانين عاجز عن إثبات شرط الفقاهة والاجتهاد.</w:t>
      </w:r>
    </w:p>
    <w:p w:rsidR="00EA09EB" w:rsidRPr="00EA09EB" w:rsidRDefault="00EA09EB" w:rsidP="007A340E">
      <w:pPr>
        <w:ind w:firstLine="283"/>
        <w:rPr>
          <w:rtl/>
        </w:rPr>
      </w:pPr>
      <w:r w:rsidRPr="007A340E">
        <w:rPr>
          <w:rFonts w:hint="cs"/>
          <w:b/>
          <w:bCs/>
          <w:rtl/>
        </w:rPr>
        <w:t>رابعاً</w:t>
      </w:r>
      <w:r w:rsidRPr="00EA09EB">
        <w:rPr>
          <w:rFonts w:hint="cs"/>
          <w:rtl/>
        </w:rPr>
        <w:t xml:space="preserve">: إنّ تساوي الفقاهة والقيادة السياسيّة ليس أمراً بديهيّاً، بل يحتاج إلى دليل. والأمر الواضح في الحكومة الإسلاميّة هو ارتباط الفقه والحقوق الدينيّة بالتدبير السياسيّ وإدارة المجتمع، إلاّ أنّه </w:t>
      </w:r>
      <w:r w:rsidRPr="00EA09EB">
        <w:rPr>
          <w:rtl/>
        </w:rPr>
        <w:t>ـ</w:t>
      </w:r>
      <w:r w:rsidRPr="00EA09EB">
        <w:rPr>
          <w:rFonts w:hint="cs"/>
          <w:rtl/>
        </w:rPr>
        <w:t xml:space="preserve"> كما مرّ سابقاً </w:t>
      </w:r>
      <w:r w:rsidRPr="00EA09EB">
        <w:rPr>
          <w:rtl/>
        </w:rPr>
        <w:t>ـ</w:t>
      </w:r>
      <w:r w:rsidRPr="00EA09EB">
        <w:rPr>
          <w:rFonts w:hint="cs"/>
          <w:rtl/>
        </w:rPr>
        <w:t xml:space="preserve"> يمكن للحاكم الاستفادة من استشارة الفقهاء لمراعاة الحقوق الدينيّة والضوابط الفقهيّة، أو أن يكون الحكم أصلاً تحت إشراف الفقهاء. وأمّا بالنسبة إلى العلاقة بين الفقه والسياسة فهذا ما سوف نبحث فيه بشكل مفصَّل في الأجزاء اللاحقة لهذا الكتاب. وعلى أيّ حال فإنّ هذا الدليل، ببيانَيْه، قاصرٌ عن إثبات الولاية التعيينية للفقيه.</w:t>
      </w:r>
    </w:p>
    <w:p w:rsidR="00EA09EB" w:rsidRPr="00A32FC0" w:rsidRDefault="00EA09EB" w:rsidP="007A340E">
      <w:pPr>
        <w:rPr>
          <w:rtl/>
          <w:lang w:bidi="ar-LB"/>
        </w:rPr>
      </w:pPr>
      <w:r w:rsidRPr="00A32FC0">
        <w:rPr>
          <w:rFonts w:hint="cs"/>
          <w:rtl/>
          <w:lang w:bidi="ar-LB"/>
        </w:rPr>
        <w:t>وحاصل البحث أنّه ليس هناك أيُّ دليل عقليّ معتبر على الولاية التعيينيّة للفقيه.</w:t>
      </w:r>
    </w:p>
    <w:p w:rsidR="00EA09EB" w:rsidRPr="00A32FC0" w:rsidRDefault="00EA09EB" w:rsidP="00EA09EB">
      <w:pPr>
        <w:rPr>
          <w:rtl/>
          <w:lang w:bidi="ar-LB"/>
        </w:rPr>
      </w:pPr>
      <w:r w:rsidRPr="00A32FC0">
        <w:rPr>
          <w:rFonts w:hint="cs"/>
          <w:rtl/>
          <w:lang w:bidi="ar-LB"/>
        </w:rPr>
        <w:t xml:space="preserve">والنتيجة أنّه ليس هناك مستَنَد عقليّ أو نقليّ صحيحٌ للولاية الشرعيّة للفقيه على الناس. لذلك تبقى المسألة تحت أصل عدم الولاية، أي لا ولاية شرعيّة للفقهاء على الناس، وبعبارة أخرى: ليس </w:t>
      </w:r>
      <w:r w:rsidRPr="00A32FC0">
        <w:rPr>
          <w:rFonts w:hint="cs"/>
          <w:rtl/>
        </w:rPr>
        <w:t>«</w:t>
      </w:r>
      <w:r w:rsidRPr="00A32FC0">
        <w:rPr>
          <w:rFonts w:hint="cs"/>
          <w:rtl/>
          <w:lang w:bidi="ar-LB"/>
        </w:rPr>
        <w:t>للحكومة الولائيّة</w:t>
      </w:r>
      <w:r w:rsidRPr="00A32FC0">
        <w:rPr>
          <w:rFonts w:hint="cs"/>
          <w:rtl/>
        </w:rPr>
        <w:t>»</w:t>
      </w:r>
      <w:r w:rsidRPr="00A32FC0">
        <w:rPr>
          <w:rFonts w:hint="cs"/>
          <w:rtl/>
          <w:lang w:bidi="ar-LB"/>
        </w:rPr>
        <w:t xml:space="preserve"> دليل شرعيّ صحيح.</w:t>
      </w:r>
    </w:p>
    <w:p w:rsidR="00EA09EB" w:rsidRPr="00A32FC0" w:rsidRDefault="00EA09EB" w:rsidP="00EA09EB">
      <w:pPr>
        <w:rPr>
          <w:rtl/>
          <w:lang w:bidi="ar-LB"/>
        </w:rPr>
      </w:pPr>
      <w:r w:rsidRPr="00A32FC0">
        <w:rPr>
          <w:rFonts w:hint="cs"/>
          <w:rtl/>
          <w:lang w:bidi="ar-LB"/>
        </w:rPr>
        <w:t xml:space="preserve">كان موضوع بحثنا في هذا الكتاب هو </w:t>
      </w:r>
      <w:r w:rsidRPr="00A32FC0">
        <w:rPr>
          <w:rFonts w:hint="cs"/>
          <w:rtl/>
        </w:rPr>
        <w:t>«</w:t>
      </w:r>
      <w:r w:rsidRPr="00A32FC0">
        <w:rPr>
          <w:rFonts w:hint="cs"/>
          <w:rtl/>
          <w:lang w:bidi="ar-LB"/>
        </w:rPr>
        <w:t>الولاية الشرعيّة</w:t>
      </w:r>
      <w:r w:rsidRPr="00A32FC0">
        <w:rPr>
          <w:rFonts w:hint="cs"/>
          <w:rtl/>
        </w:rPr>
        <w:t>»</w:t>
      </w:r>
      <w:r w:rsidRPr="00A32FC0">
        <w:rPr>
          <w:rFonts w:hint="cs"/>
          <w:rtl/>
          <w:lang w:bidi="ar-LB"/>
        </w:rPr>
        <w:t xml:space="preserve"> للفقيه على الناس. وإنْ كنّا قد أشرنا هنا بشكلٍ إجماليٍّ إلى </w:t>
      </w:r>
      <w:r w:rsidRPr="00A32FC0">
        <w:rPr>
          <w:rFonts w:hint="cs"/>
          <w:rtl/>
        </w:rPr>
        <w:t>«</w:t>
      </w:r>
      <w:r w:rsidRPr="00A32FC0">
        <w:rPr>
          <w:rFonts w:hint="cs"/>
          <w:rtl/>
          <w:lang w:bidi="ar-LB"/>
        </w:rPr>
        <w:t>زعامة الفقيه</w:t>
      </w:r>
      <w:r w:rsidRPr="00A32FC0">
        <w:rPr>
          <w:rFonts w:hint="cs"/>
          <w:rtl/>
        </w:rPr>
        <w:t>»</w:t>
      </w:r>
      <w:r w:rsidRPr="00A32FC0">
        <w:rPr>
          <w:rFonts w:hint="cs"/>
          <w:rtl/>
          <w:lang w:bidi="ar-LB"/>
        </w:rPr>
        <w:t xml:space="preserve"> والإدارة الفقهيّة للمجتمع، إلاّ أننا سوف نقوم بالبحث في هذا الموضوع بشكلٍ مستقلٍّ؛ لأهميته. </w:t>
      </w:r>
    </w:p>
    <w:p w:rsidR="00EA09EB" w:rsidRPr="00A32FC0" w:rsidRDefault="00EA09EB" w:rsidP="00EA09EB">
      <w:pPr>
        <w:rPr>
          <w:rtl/>
          <w:lang w:bidi="ar-LB"/>
        </w:rPr>
      </w:pPr>
      <w:r w:rsidRPr="00A32FC0">
        <w:rPr>
          <w:rFonts w:hint="cs"/>
          <w:rtl/>
          <w:lang w:bidi="ar-LB"/>
        </w:rPr>
        <w:t xml:space="preserve">بالإضافة إلى أن القول بأنّ </w:t>
      </w:r>
      <w:r w:rsidRPr="00A32FC0">
        <w:rPr>
          <w:rFonts w:hint="cs"/>
          <w:rtl/>
        </w:rPr>
        <w:t>«</w:t>
      </w:r>
      <w:r w:rsidRPr="00A32FC0">
        <w:rPr>
          <w:rFonts w:hint="cs"/>
          <w:rtl/>
          <w:lang w:bidi="ar-LB"/>
        </w:rPr>
        <w:t>تعيين</w:t>
      </w:r>
      <w:r w:rsidRPr="00A32FC0">
        <w:rPr>
          <w:rFonts w:hint="cs"/>
          <w:rtl/>
        </w:rPr>
        <w:t>»</w:t>
      </w:r>
      <w:r w:rsidRPr="00A32FC0">
        <w:rPr>
          <w:rFonts w:hint="cs"/>
          <w:rtl/>
          <w:lang w:bidi="ar-LB"/>
        </w:rPr>
        <w:t xml:space="preserve"> الفقيه للولاية يعني </w:t>
      </w:r>
      <w:r w:rsidRPr="00A32FC0">
        <w:rPr>
          <w:rFonts w:hint="cs"/>
          <w:rtl/>
        </w:rPr>
        <w:t>«</w:t>
      </w:r>
      <w:r w:rsidRPr="00A32FC0">
        <w:rPr>
          <w:rFonts w:hint="cs"/>
          <w:rtl/>
          <w:lang w:bidi="ar-LB"/>
        </w:rPr>
        <w:t>الحكومة التعيينيّة</w:t>
      </w:r>
      <w:r w:rsidRPr="00A32FC0">
        <w:rPr>
          <w:rFonts w:hint="cs"/>
          <w:rtl/>
        </w:rPr>
        <w:t>»</w:t>
      </w:r>
      <w:r w:rsidRPr="00A32FC0">
        <w:rPr>
          <w:rFonts w:hint="cs"/>
          <w:rtl/>
          <w:lang w:bidi="ar-LB"/>
        </w:rPr>
        <w:t xml:space="preserve">، وأنّ </w:t>
      </w:r>
      <w:r w:rsidRPr="00A32FC0">
        <w:rPr>
          <w:rFonts w:hint="cs"/>
          <w:rtl/>
        </w:rPr>
        <w:t>«</w:t>
      </w:r>
      <w:r w:rsidRPr="00A32FC0">
        <w:rPr>
          <w:rFonts w:hint="cs"/>
          <w:rtl/>
          <w:lang w:bidi="ar-LB"/>
        </w:rPr>
        <w:t>إطلاق</w:t>
      </w:r>
      <w:r w:rsidRPr="00A32FC0">
        <w:rPr>
          <w:rFonts w:hint="cs"/>
          <w:rtl/>
        </w:rPr>
        <w:t>»</w:t>
      </w:r>
      <w:r w:rsidRPr="00A32FC0">
        <w:rPr>
          <w:rFonts w:hint="cs"/>
          <w:rtl/>
          <w:lang w:bidi="ar-LB"/>
        </w:rPr>
        <w:t xml:space="preserve"> الولاية يعني </w:t>
      </w:r>
      <w:r w:rsidRPr="00A32FC0">
        <w:rPr>
          <w:rFonts w:hint="cs"/>
          <w:rtl/>
        </w:rPr>
        <w:t>«</w:t>
      </w:r>
      <w:r w:rsidRPr="00A32FC0">
        <w:rPr>
          <w:rFonts w:hint="cs"/>
          <w:rtl/>
          <w:lang w:bidi="ar-LB"/>
        </w:rPr>
        <w:t>الحكومة المطلقة</w:t>
      </w:r>
      <w:r w:rsidRPr="00A32FC0">
        <w:rPr>
          <w:rFonts w:hint="cs"/>
          <w:rtl/>
        </w:rPr>
        <w:t>»</w:t>
      </w:r>
      <w:r w:rsidRPr="00A32FC0">
        <w:rPr>
          <w:rFonts w:hint="cs"/>
          <w:rtl/>
          <w:lang w:bidi="ar-LB"/>
        </w:rPr>
        <w:t xml:space="preserve">، يحتاج إلى بحث مستقلّ أيضاً، وهو ما سوف نقوم به في الأجزاء اللاحقة من هذا الكتاب. </w:t>
      </w:r>
    </w:p>
    <w:p w:rsidR="00EA09EB" w:rsidRPr="00A32FC0" w:rsidRDefault="00EA09EB" w:rsidP="00EA09EB">
      <w:pPr>
        <w:rPr>
          <w:rtl/>
          <w:lang w:bidi="ar-LB"/>
        </w:rPr>
      </w:pPr>
      <w:r w:rsidRPr="00A32FC0">
        <w:rPr>
          <w:rFonts w:hint="cs"/>
          <w:rtl/>
          <w:lang w:bidi="ar-LB"/>
        </w:rPr>
        <w:t xml:space="preserve">لقد تعرَّضنا هنا للولاية الشرعيّة للفقيه، من الزاويتين التصوُّرية والتصديقيّة، أمّا البحث في الجذور والملازمات والأحكام والنتائج للولاية الشرعيّة للفقيه على الناس فستكون أيضاً محلّ بحث في الأجزاء اللاحقة، حيث إن الأبحاث العلميّة، وخاصّة فلسفتنا السياسيّة التي ما زالت في طور التأسيس، لا يمكن أن تتطوَّر وتصل إلى مرحلة الرشد إلاّ عبر النقد البنّاء. وأغتنم الفرصة هنا لأطلب إلى جميع المفكِّرين والأساتذة والمحقِّقين المعنيّين بهذا الموضوع أن يزوّدونا بآرائهم ومقترحاتهم وملاحظاتهم؛ للارتقاء بالفكر السياسيّ للجمهوريّة الإسلاميّة، ممّا سوف يؤدّي إلى تحصين الفكر السياسيّ الإسلاميّ وترشيده. </w:t>
      </w:r>
    </w:p>
    <w:p w:rsidR="00EA09EB" w:rsidRDefault="00EA09EB" w:rsidP="00EA09EB">
      <w:pPr>
        <w:rPr>
          <w:rtl/>
          <w:lang w:bidi="ar-LB"/>
        </w:rPr>
      </w:pPr>
      <w:r w:rsidRPr="00A32FC0">
        <w:rPr>
          <w:rFonts w:hint="cs"/>
          <w:rtl/>
          <w:lang w:bidi="ar-LB"/>
        </w:rPr>
        <w:t>والحمد لله، والصلاة والسلام على رسول الله</w:t>
      </w:r>
      <w:r w:rsidRPr="00A32FC0">
        <w:rPr>
          <w:rFonts w:hint="cs"/>
          <w:rtl/>
        </w:rPr>
        <w:sym w:font="Roumouz" w:char="F02D"/>
      </w:r>
      <w:r w:rsidRPr="00A32FC0">
        <w:rPr>
          <w:rFonts w:hint="cs"/>
          <w:rtl/>
          <w:lang w:bidi="ar-LB"/>
        </w:rPr>
        <w:t>، وعلى آله الأطهار</w:t>
      </w:r>
      <w:r w:rsidR="007A340E">
        <w:rPr>
          <w:rFonts w:hint="cs"/>
          <w:rtl/>
        </w:rPr>
        <w:t>^</w:t>
      </w:r>
      <w:r w:rsidRPr="00A32FC0">
        <w:rPr>
          <w:rFonts w:hint="cs"/>
          <w:rtl/>
          <w:lang w:bidi="ar-LB"/>
        </w:rPr>
        <w:t>، والسلام على عباده الصالحين.</w:t>
      </w:r>
    </w:p>
    <w:p w:rsidR="00EA09EB" w:rsidRDefault="00EA09EB" w:rsidP="00EA09EB">
      <w:pPr>
        <w:rPr>
          <w:rtl/>
          <w:lang w:bidi="ar-LB"/>
        </w:rPr>
      </w:pPr>
    </w:p>
    <w:p w:rsidR="00CE7A94" w:rsidRDefault="00CE7A94" w:rsidP="00EA09EB">
      <w:pPr>
        <w:rPr>
          <w:rtl/>
          <w:lang w:bidi="ar-LB"/>
        </w:rPr>
      </w:pPr>
    </w:p>
    <w:p w:rsidR="00CE7A94" w:rsidRDefault="00CE7A94" w:rsidP="00EA09EB">
      <w:pPr>
        <w:rPr>
          <w:rtl/>
          <w:lang w:bidi="ar-LB"/>
        </w:rPr>
      </w:pPr>
    </w:p>
    <w:p w:rsidR="00EA09EB" w:rsidRDefault="00EA09EB" w:rsidP="00CE7A94">
      <w:pPr>
        <w:jc w:val="center"/>
        <w:rPr>
          <w:rtl/>
          <w:lang w:bidi="ar-LB"/>
        </w:rPr>
      </w:pPr>
      <w:r w:rsidRPr="00A32FC0">
        <w:rPr>
          <w:rFonts w:hint="cs"/>
          <w:rtl/>
          <w:lang w:bidi="ar-LB"/>
        </w:rPr>
        <w:t>فقد تمّت ترجمة هذا الكتاب، حامداً مصلِّياً في منتصف شهر ربيع الأوّل سنة 1425هـ في مدينة قم «عشّ آل محمّد</w:t>
      </w:r>
      <w:r w:rsidRPr="00A32FC0">
        <w:rPr>
          <w:rFonts w:hint="cs"/>
          <w:rtl/>
        </w:rPr>
        <w:sym w:font="Roumouz" w:char="F02D"/>
      </w:r>
      <w:r w:rsidRPr="00A32FC0">
        <w:rPr>
          <w:rFonts w:hint="cs"/>
          <w:rtl/>
        </w:rPr>
        <w:t>»</w:t>
      </w:r>
      <w:r w:rsidRPr="00A32FC0">
        <w:rPr>
          <w:rFonts w:hint="cs"/>
          <w:rtl/>
          <w:lang w:bidi="ar-LB"/>
        </w:rPr>
        <w:t>.</w:t>
      </w:r>
    </w:p>
    <w:p w:rsidR="00EA09EB" w:rsidRDefault="00EA09EB" w:rsidP="00EA09EB">
      <w:pPr>
        <w:rPr>
          <w:rtl/>
        </w:rPr>
      </w:pPr>
      <w:r>
        <w:rPr>
          <w:rtl/>
          <w:lang w:bidi="ar-LB"/>
        </w:rPr>
        <w:br w:type="page"/>
      </w:r>
    </w:p>
    <w:p w:rsidR="007A340E" w:rsidRDefault="007A340E" w:rsidP="007A340E">
      <w:pPr>
        <w:rPr>
          <w:rtl/>
        </w:rPr>
        <w:sectPr w:rsidR="007A340E" w:rsidSect="009003FC">
          <w:headerReference w:type="even" r:id="rId74"/>
          <w:headerReference w:type="default" r:id="rId75"/>
          <w:footnotePr>
            <w:numRestart w:val="eachPage"/>
          </w:footnotePr>
          <w:type w:val="oddPage"/>
          <w:pgSz w:w="11907" w:h="16840" w:code="9"/>
          <w:pgMar w:top="2835" w:right="2552" w:bottom="3232" w:left="2552" w:header="2268" w:footer="1106" w:gutter="0"/>
          <w:cols w:space="720"/>
          <w:titlePg/>
          <w:docGrid w:linePitch="360"/>
        </w:sectPr>
      </w:pPr>
    </w:p>
    <w:p w:rsidR="005A6827" w:rsidRDefault="005A6827" w:rsidP="005A6827">
      <w:pPr>
        <w:pStyle w:val="Heading2"/>
        <w:bidi w:val="0"/>
        <w:jc w:val="center"/>
        <w:rPr>
          <w:rStyle w:val="Emphasis"/>
          <w:rFonts w:ascii="Georgia" w:hAnsi="Georgia"/>
          <w:b/>
          <w:i w:val="0"/>
          <w:sz w:val="21"/>
          <w:szCs w:val="21"/>
          <w:bdr w:val="none" w:sz="0" w:space="0" w:color="auto" w:frame="1"/>
        </w:rPr>
      </w:pPr>
      <w:bookmarkStart w:id="62" w:name="_Toc413658844"/>
      <w:r>
        <w:rPr>
          <w:rStyle w:val="Emphasis"/>
          <w:rFonts w:ascii="Georgia" w:hAnsi="Georgia"/>
          <w:b/>
          <w:i w:val="0"/>
          <w:sz w:val="21"/>
          <w:szCs w:val="21"/>
          <w:bdr w:val="none" w:sz="0" w:space="0" w:color="auto" w:frame="1"/>
        </w:rPr>
        <w:t>Summary</w:t>
      </w:r>
      <w:bookmarkEnd w:id="62"/>
    </w:p>
    <w:p w:rsidR="005A6827" w:rsidRDefault="005A6827" w:rsidP="005A6827">
      <w:pPr>
        <w:pStyle w:val="NormalWeb"/>
        <w:spacing w:before="0" w:beforeAutospacing="0" w:after="0" w:afterAutospacing="0" w:line="360" w:lineRule="atLeast"/>
        <w:textAlignment w:val="baseline"/>
        <w:rPr>
          <w:rStyle w:val="Emphasis"/>
          <w:rFonts w:ascii="Georgia" w:hAnsi="Georgia"/>
          <w:sz w:val="21"/>
          <w:szCs w:val="21"/>
          <w:bdr w:val="none" w:sz="0" w:space="0" w:color="auto" w:frame="1"/>
        </w:rPr>
      </w:pPr>
    </w:p>
    <w:p w:rsidR="005A6827" w:rsidRDefault="005A6827" w:rsidP="005A6827">
      <w:pPr>
        <w:pStyle w:val="NormalWeb"/>
        <w:spacing w:before="0" w:beforeAutospacing="0" w:after="0" w:afterAutospacing="0" w:line="360" w:lineRule="atLeast"/>
        <w:textAlignment w:val="baseline"/>
      </w:pPr>
      <w:r>
        <w:rPr>
          <w:rStyle w:val="Emphasis"/>
          <w:rFonts w:ascii="Georgia" w:hAnsi="Georgia"/>
          <w:sz w:val="21"/>
          <w:szCs w:val="21"/>
          <w:bdr w:val="none" w:sz="0" w:space="0" w:color="auto" w:frame="1"/>
        </w:rPr>
        <w:t>Mohsen Kadivar</w:t>
      </w:r>
    </w:p>
    <w:p w:rsidR="005A6827" w:rsidRDefault="005A6827" w:rsidP="005A6827">
      <w:pPr>
        <w:pStyle w:val="NormalWeb"/>
        <w:spacing w:before="0" w:beforeAutospacing="0" w:after="0" w:afterAutospacing="0" w:line="360" w:lineRule="atLeast"/>
        <w:textAlignment w:val="baseline"/>
        <w:rPr>
          <w:rFonts w:ascii="Georgia" w:hAnsi="Georgia"/>
          <w:i/>
          <w:iCs/>
          <w:sz w:val="21"/>
          <w:szCs w:val="21"/>
        </w:rPr>
      </w:pPr>
      <w:r>
        <w:rPr>
          <w:rStyle w:val="Strong"/>
          <w:rFonts w:ascii="Georgia" w:hAnsi="Georgia"/>
          <w:i/>
          <w:iCs/>
          <w:sz w:val="21"/>
          <w:szCs w:val="21"/>
          <w:bdr w:val="none" w:sz="0" w:space="0" w:color="auto" w:frame="1"/>
        </w:rPr>
        <w:t>Theocratic State</w:t>
      </w:r>
      <w:r>
        <w:rPr>
          <w:rFonts w:ascii="Georgia" w:hAnsi="Georgia"/>
          <w:b/>
          <w:bCs/>
          <w:i/>
          <w:iCs/>
          <w:sz w:val="21"/>
          <w:szCs w:val="21"/>
          <w:bdr w:val="none" w:sz="0" w:space="0" w:color="auto" w:frame="1"/>
        </w:rPr>
        <w:br/>
      </w:r>
      <w:r>
        <w:rPr>
          <w:rStyle w:val="Strong"/>
          <w:rFonts w:ascii="Georgia" w:hAnsi="Georgia"/>
          <w:i/>
          <w:iCs/>
          <w:sz w:val="21"/>
          <w:szCs w:val="21"/>
          <w:bdr w:val="none" w:sz="0" w:space="0" w:color="auto" w:frame="1"/>
        </w:rPr>
        <w:t>Political Thought in Islam Series 2</w:t>
      </w:r>
      <w:r>
        <w:rPr>
          <w:rFonts w:ascii="Georgia" w:hAnsi="Georgia"/>
          <w:b/>
          <w:bCs/>
          <w:i/>
          <w:iCs/>
          <w:sz w:val="21"/>
          <w:szCs w:val="21"/>
          <w:bdr w:val="none" w:sz="0" w:space="0" w:color="auto" w:frame="1"/>
        </w:rPr>
        <w:br/>
      </w:r>
      <w:r>
        <w:rPr>
          <w:rFonts w:ascii="Georgia" w:hAnsi="Georgia"/>
          <w:i/>
          <w:iCs/>
          <w:sz w:val="21"/>
          <w:szCs w:val="21"/>
        </w:rPr>
        <w:t>(Hukumati Wila’i: Andishey-i Siyassi dar Islam 2)</w:t>
      </w:r>
    </w:p>
    <w:p w:rsidR="005A6827" w:rsidRDefault="005A6827" w:rsidP="005A6827">
      <w:pPr>
        <w:pStyle w:val="NormalWeb"/>
        <w:spacing w:before="0" w:beforeAutospacing="0" w:after="0" w:afterAutospacing="0" w:line="360" w:lineRule="atLeast"/>
        <w:textAlignment w:val="baseline"/>
        <w:rPr>
          <w:rFonts w:ascii="Georgia" w:hAnsi="Georgia"/>
          <w:i/>
          <w:iCs/>
          <w:sz w:val="21"/>
          <w:szCs w:val="21"/>
        </w:rPr>
      </w:pPr>
      <w:r>
        <w:rPr>
          <w:rStyle w:val="Emphasis"/>
          <w:rFonts w:ascii="Georgia" w:hAnsi="Georgia"/>
          <w:sz w:val="21"/>
          <w:szCs w:val="21"/>
          <w:bdr w:val="none" w:sz="0" w:space="0" w:color="auto" w:frame="1"/>
        </w:rPr>
        <w:t>Tehran: Nashr-i Nay, 1999, Second edition: 5rd printing 2008</w:t>
      </w:r>
      <w:r>
        <w:rPr>
          <w:rFonts w:ascii="Georgia" w:hAnsi="Georgia"/>
          <w:i/>
          <w:iCs/>
          <w:sz w:val="21"/>
          <w:szCs w:val="21"/>
          <w:bdr w:val="none" w:sz="0" w:space="0" w:color="auto" w:frame="1"/>
        </w:rPr>
        <w:br/>
      </w:r>
      <w:r>
        <w:rPr>
          <w:rStyle w:val="Emphasis"/>
          <w:rFonts w:ascii="Georgia" w:hAnsi="Georgia"/>
          <w:sz w:val="21"/>
          <w:szCs w:val="21"/>
          <w:bdr w:val="none" w:sz="0" w:space="0" w:color="auto" w:frame="1"/>
        </w:rPr>
        <w:t> 431 Pages</w:t>
      </w:r>
      <w:r>
        <w:rPr>
          <w:rFonts w:ascii="Georgia" w:hAnsi="Georgia"/>
          <w:i/>
          <w:iCs/>
          <w:sz w:val="21"/>
          <w:szCs w:val="21"/>
          <w:bdr w:val="none" w:sz="0" w:space="0" w:color="auto" w:frame="1"/>
        </w:rPr>
        <w:br/>
      </w:r>
      <w:r>
        <w:rPr>
          <w:rStyle w:val="Emphasis"/>
          <w:rFonts w:ascii="Georgia" w:hAnsi="Georgia"/>
          <w:sz w:val="21"/>
          <w:szCs w:val="21"/>
          <w:bdr w:val="none" w:sz="0" w:space="0" w:color="auto" w:frame="1"/>
        </w:rPr>
        <w:t>ISBN 964-312-403-7</w:t>
      </w:r>
    </w:p>
    <w:p w:rsidR="005A6827" w:rsidRDefault="005A6827" w:rsidP="005A6827">
      <w:pPr>
        <w:pStyle w:val="NormalWeb"/>
        <w:spacing w:before="0" w:beforeAutospacing="0" w:after="0" w:afterAutospacing="0"/>
        <w:jc w:val="both"/>
        <w:textAlignment w:val="baseline"/>
        <w:rPr>
          <w:rStyle w:val="Emphasis"/>
          <w:bdr w:val="none" w:sz="0" w:space="0" w:color="auto" w:frame="1"/>
        </w:rPr>
      </w:pPr>
    </w:p>
    <w:p w:rsidR="005A6827" w:rsidRDefault="005A6827" w:rsidP="005A6827">
      <w:pPr>
        <w:pStyle w:val="NormalWeb"/>
        <w:spacing w:before="0" w:beforeAutospacing="0" w:after="0" w:afterAutospacing="0"/>
        <w:jc w:val="both"/>
        <w:textAlignment w:val="baseline"/>
      </w:pPr>
      <w:r>
        <w:rPr>
          <w:rStyle w:val="Emphasis"/>
          <w:rFonts w:ascii="Georgia" w:hAnsi="Georgia"/>
          <w:sz w:val="21"/>
          <w:szCs w:val="21"/>
          <w:bdr w:val="none" w:sz="0" w:space="0" w:color="auto" w:frame="1"/>
        </w:rPr>
        <w:t>Wilayat</w:t>
      </w:r>
      <w:r>
        <w:rPr>
          <w:rStyle w:val="apple-converted-space"/>
          <w:rFonts w:ascii="Georgia" w:hAnsi="Georgia"/>
          <w:i/>
          <w:iCs/>
          <w:sz w:val="21"/>
          <w:szCs w:val="21"/>
          <w:bdr w:val="none" w:sz="0" w:space="0" w:color="auto" w:frame="1"/>
        </w:rPr>
        <w:t> </w:t>
      </w:r>
      <w:r>
        <w:rPr>
          <w:rFonts w:ascii="Georgia" w:hAnsi="Georgia"/>
          <w:sz w:val="21"/>
          <w:szCs w:val="21"/>
        </w:rPr>
        <w:t>is a key concept within the second stage of the development of Shiite political thought after the 12</w:t>
      </w:r>
      <w:r>
        <w:rPr>
          <w:rFonts w:ascii="Georgia" w:hAnsi="Georgia"/>
          <w:sz w:val="21"/>
          <w:szCs w:val="21"/>
          <w:bdr w:val="none" w:sz="0" w:space="0" w:color="auto" w:frame="1"/>
          <w:vertAlign w:val="superscript"/>
        </w:rPr>
        <w:t>th</w:t>
      </w:r>
      <w:r>
        <w:rPr>
          <w:rStyle w:val="apple-converted-space"/>
          <w:rFonts w:ascii="Georgia" w:hAnsi="Georgia"/>
          <w:sz w:val="21"/>
          <w:szCs w:val="21"/>
          <w:bdr w:val="none" w:sz="0" w:space="0" w:color="auto" w:frame="1"/>
        </w:rPr>
        <w:t> </w:t>
      </w:r>
      <w:r>
        <w:rPr>
          <w:rStyle w:val="apple-style-span"/>
          <w:rFonts w:ascii="Georgia" w:hAnsi="Georgia"/>
          <w:sz w:val="21"/>
          <w:szCs w:val="21"/>
          <w:bdr w:val="none" w:sz="0" w:space="0" w:color="auto" w:frame="1"/>
        </w:rPr>
        <w:t xml:space="preserve">Imam Mahdi. This notion was raised again after the Islamic Republic was established and has since grown increasingly. </w:t>
      </w:r>
      <w:r>
        <w:rPr>
          <w:rStyle w:val="Emphasis"/>
          <w:rFonts w:ascii="Georgia" w:hAnsi="Georgia"/>
          <w:sz w:val="21"/>
          <w:szCs w:val="21"/>
          <w:bdr w:val="none" w:sz="0" w:space="0" w:color="auto" w:frame="1"/>
        </w:rPr>
        <w:t>Wilayat</w:t>
      </w:r>
      <w:r>
        <w:rPr>
          <w:rStyle w:val="apple-converted-space"/>
          <w:rFonts w:ascii="Georgia" w:hAnsi="Georgia"/>
          <w:sz w:val="21"/>
          <w:szCs w:val="21"/>
          <w:bdr w:val="none" w:sz="0" w:space="0" w:color="auto" w:frame="1"/>
        </w:rPr>
        <w:t> </w:t>
      </w:r>
      <w:r>
        <w:rPr>
          <w:rStyle w:val="apple-style-span"/>
          <w:rFonts w:ascii="Georgia" w:hAnsi="Georgia"/>
          <w:sz w:val="21"/>
          <w:szCs w:val="21"/>
          <w:bdr w:val="none" w:sz="0" w:space="0" w:color="auto" w:frame="1"/>
        </w:rPr>
        <w:t>is one of the four bases of the official state theory of appointed and absolute</w:t>
      </w:r>
      <w:r>
        <w:rPr>
          <w:rStyle w:val="apple-converted-space"/>
          <w:rFonts w:ascii="Georgia" w:hAnsi="Georgia"/>
          <w:sz w:val="21"/>
          <w:szCs w:val="21"/>
          <w:bdr w:val="none" w:sz="0" w:space="0" w:color="auto" w:frame="1"/>
        </w:rPr>
        <w:t> </w:t>
      </w:r>
      <w:r>
        <w:rPr>
          <w:rStyle w:val="Emphasis"/>
          <w:rFonts w:ascii="Georgia" w:hAnsi="Georgia"/>
          <w:sz w:val="21"/>
          <w:szCs w:val="21"/>
          <w:bdr w:val="none" w:sz="0" w:space="0" w:color="auto" w:frame="1"/>
        </w:rPr>
        <w:t>wilayati faqih</w:t>
      </w:r>
      <w:r>
        <w:rPr>
          <w:rStyle w:val="apple-converted-space"/>
          <w:rFonts w:ascii="Georgia" w:hAnsi="Georgia"/>
          <w:sz w:val="21"/>
          <w:szCs w:val="21"/>
          <w:bdr w:val="none" w:sz="0" w:space="0" w:color="auto" w:frame="1"/>
        </w:rPr>
        <w:t> </w:t>
      </w:r>
      <w:r>
        <w:rPr>
          <w:rStyle w:val="apple-style-span"/>
          <w:rFonts w:ascii="Georgia" w:hAnsi="Georgia"/>
          <w:sz w:val="21"/>
          <w:szCs w:val="21"/>
          <w:bdr w:val="none" w:sz="0" w:space="0" w:color="auto" w:frame="1"/>
        </w:rPr>
        <w:t>and the other three views are based on direct divine legitimacy (theocracy).</w:t>
      </w:r>
      <w:r>
        <w:rPr>
          <w:rStyle w:val="apple-converted-space"/>
          <w:rFonts w:ascii="Georgia" w:hAnsi="Georgia"/>
          <w:sz w:val="21"/>
          <w:szCs w:val="21"/>
          <w:bdr w:val="none" w:sz="0" w:space="0" w:color="auto" w:frame="1"/>
        </w:rPr>
        <w:t> </w:t>
      </w:r>
      <w:r>
        <w:rPr>
          <w:rStyle w:val="Emphasis"/>
          <w:rFonts w:ascii="Georgia" w:hAnsi="Georgia"/>
          <w:sz w:val="21"/>
          <w:szCs w:val="21"/>
          <w:bdr w:val="none" w:sz="0" w:space="0" w:color="auto" w:frame="1"/>
        </w:rPr>
        <w:t>Wilayat</w:t>
      </w:r>
      <w:r>
        <w:rPr>
          <w:rStyle w:val="apple-converted-space"/>
          <w:rFonts w:ascii="Georgia" w:hAnsi="Georgia"/>
          <w:i/>
          <w:iCs/>
          <w:sz w:val="21"/>
          <w:szCs w:val="21"/>
          <w:bdr w:val="none" w:sz="0" w:space="0" w:color="auto" w:frame="1"/>
        </w:rPr>
        <w:t> </w:t>
      </w:r>
      <w:r>
        <w:rPr>
          <w:rStyle w:val="apple-style-span"/>
          <w:rFonts w:ascii="Georgia" w:hAnsi="Georgia"/>
          <w:sz w:val="21"/>
          <w:szCs w:val="21"/>
          <w:bdr w:val="none" w:sz="0" w:space="0" w:color="auto" w:frame="1"/>
        </w:rPr>
        <w:t>is a sort of relationship between the sovereign and the people.</w:t>
      </w:r>
      <w:r>
        <w:rPr>
          <w:rStyle w:val="apple-converted-space"/>
          <w:rFonts w:ascii="Georgia" w:hAnsi="Georgia"/>
          <w:sz w:val="21"/>
          <w:szCs w:val="21"/>
          <w:bdr w:val="none" w:sz="0" w:space="0" w:color="auto" w:frame="1"/>
        </w:rPr>
        <w:t> </w:t>
      </w:r>
      <w:r>
        <w:rPr>
          <w:rStyle w:val="Emphasis"/>
          <w:rFonts w:ascii="Georgia" w:hAnsi="Georgia"/>
          <w:sz w:val="21"/>
          <w:szCs w:val="21"/>
          <w:bdr w:val="none" w:sz="0" w:space="0" w:color="auto" w:frame="1"/>
        </w:rPr>
        <w:t xml:space="preserve">Wilayat-Based State </w:t>
      </w:r>
      <w:r>
        <w:rPr>
          <w:rStyle w:val="apple-style-span"/>
          <w:rFonts w:ascii="Georgia" w:hAnsi="Georgia"/>
          <w:sz w:val="21"/>
          <w:szCs w:val="21"/>
          <w:bdr w:val="none" w:sz="0" w:space="0" w:color="auto" w:frame="1"/>
        </w:rPr>
        <w:t>aims at expounding the various hypothetical and verified dimensions of this sort of state and</w:t>
      </w:r>
      <w:r>
        <w:rPr>
          <w:rStyle w:val="apple-converted-space"/>
          <w:rFonts w:ascii="Georgia" w:hAnsi="Georgia"/>
          <w:sz w:val="21"/>
          <w:szCs w:val="21"/>
          <w:bdr w:val="none" w:sz="0" w:space="0" w:color="auto" w:frame="1"/>
        </w:rPr>
        <w:t> </w:t>
      </w:r>
      <w:r>
        <w:rPr>
          <w:rStyle w:val="Emphasis"/>
          <w:rFonts w:ascii="Georgia" w:hAnsi="Georgia"/>
          <w:sz w:val="21"/>
          <w:szCs w:val="21"/>
          <w:bdr w:val="none" w:sz="0" w:space="0" w:color="auto" w:frame="1"/>
        </w:rPr>
        <w:t>wilayati faqih</w:t>
      </w:r>
      <w:r>
        <w:rPr>
          <w:rStyle w:val="apple-converted-space"/>
          <w:rFonts w:ascii="Georgia" w:hAnsi="Georgia"/>
          <w:sz w:val="21"/>
          <w:szCs w:val="21"/>
          <w:bdr w:val="none" w:sz="0" w:space="0" w:color="auto" w:frame="1"/>
        </w:rPr>
        <w:t> </w:t>
      </w:r>
      <w:r>
        <w:rPr>
          <w:rStyle w:val="apple-style-span"/>
          <w:rFonts w:ascii="Georgia" w:hAnsi="Georgia"/>
          <w:sz w:val="21"/>
          <w:szCs w:val="21"/>
          <w:bdr w:val="none" w:sz="0" w:space="0" w:color="auto" w:frame="1"/>
        </w:rPr>
        <w:t>based on firsthand authentic sources through an analytical-critical approach.</w:t>
      </w:r>
    </w:p>
    <w:p w:rsidR="005A6827" w:rsidRDefault="005A6827" w:rsidP="005A6827">
      <w:pPr>
        <w:pStyle w:val="NormalWeb"/>
        <w:spacing w:before="0" w:beforeAutospacing="0" w:after="0" w:afterAutospacing="0"/>
        <w:jc w:val="both"/>
        <w:textAlignment w:val="baseline"/>
        <w:rPr>
          <w:rFonts w:ascii="Georgia" w:hAnsi="Georgia"/>
          <w:sz w:val="21"/>
          <w:szCs w:val="21"/>
        </w:rPr>
      </w:pPr>
      <w:r>
        <w:rPr>
          <w:rFonts w:ascii="Georgia" w:hAnsi="Georgia"/>
          <w:sz w:val="21"/>
          <w:szCs w:val="21"/>
        </w:rPr>
        <w:t>The first section of the book reviews the hypothetical principles of</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Fonts w:ascii="Georgia" w:hAnsi="Georgia"/>
          <w:sz w:val="21"/>
          <w:szCs w:val="21"/>
        </w:rPr>
        <w:t>. The writer first explains the lexical meaning of the word and next he provides an in-depth description of the three kinds of</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Fonts w:ascii="Georgia" w:hAnsi="Georgia"/>
          <w:sz w:val="21"/>
          <w:szCs w:val="21"/>
        </w:rPr>
        <w:t>, i.e. mystical, theological, and the one based on</w:t>
      </w:r>
      <w:r>
        <w:rPr>
          <w:rStyle w:val="apple-converted-space"/>
          <w:rFonts w:ascii="Georgia" w:hAnsi="Georgia"/>
          <w:sz w:val="21"/>
          <w:szCs w:val="21"/>
        </w:rPr>
        <w:t> </w:t>
      </w:r>
      <w:r>
        <w:rPr>
          <w:rStyle w:val="Emphasis"/>
          <w:rFonts w:ascii="Georgia" w:hAnsi="Georgia"/>
          <w:sz w:val="21"/>
          <w:szCs w:val="21"/>
          <w:bdr w:val="none" w:sz="0" w:space="0" w:color="auto" w:frame="1"/>
        </w:rPr>
        <w:t>fiqh</w:t>
      </w:r>
      <w:r>
        <w:rPr>
          <w:rFonts w:ascii="Georgia" w:hAnsi="Georgia"/>
          <w:sz w:val="21"/>
          <w:szCs w:val="21"/>
        </w:rPr>
        <w:t xml:space="preserve">. He then explores the roots of </w:t>
      </w:r>
      <w:r>
        <w:rPr>
          <w:rStyle w:val="Emphasis"/>
          <w:rFonts w:ascii="Georgia" w:hAnsi="Georgia"/>
          <w:sz w:val="21"/>
          <w:szCs w:val="21"/>
          <w:bdr w:val="none" w:sz="0" w:space="0" w:color="auto" w:frame="1"/>
        </w:rPr>
        <w:t>wilayat</w:t>
      </w:r>
      <w:r>
        <w:rPr>
          <w:rStyle w:val="apple-converted-space"/>
          <w:rFonts w:ascii="Georgia" w:hAnsi="Georgia"/>
          <w:i/>
          <w:iCs/>
          <w:sz w:val="21"/>
          <w:szCs w:val="21"/>
          <w:bdr w:val="none" w:sz="0" w:space="0" w:color="auto" w:frame="1"/>
        </w:rPr>
        <w:t> </w:t>
      </w:r>
      <w:r>
        <w:rPr>
          <w:rFonts w:ascii="Georgia" w:hAnsi="Georgia"/>
          <w:sz w:val="21"/>
          <w:szCs w:val="21"/>
        </w:rPr>
        <w:t>in the Qur’an and tradition and concludes that</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Style w:val="apple-converted-space"/>
          <w:rFonts w:ascii="Georgia" w:hAnsi="Georgia"/>
          <w:sz w:val="21"/>
          <w:szCs w:val="21"/>
        </w:rPr>
        <w:t> </w:t>
      </w:r>
      <w:r>
        <w:rPr>
          <w:rFonts w:ascii="Georgia" w:hAnsi="Georgia"/>
          <w:sz w:val="21"/>
          <w:szCs w:val="21"/>
        </w:rPr>
        <w:t>in the eyes of</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Fonts w:ascii="Georgia" w:hAnsi="Georgia"/>
          <w:sz w:val="21"/>
          <w:szCs w:val="21"/>
        </w:rPr>
        <w:t>-based</w:t>
      </w:r>
      <w:r>
        <w:rPr>
          <w:rStyle w:val="apple-converted-space"/>
          <w:rFonts w:ascii="Georgia" w:hAnsi="Georgia"/>
          <w:i/>
          <w:iCs/>
          <w:sz w:val="21"/>
          <w:szCs w:val="21"/>
          <w:bdr w:val="none" w:sz="0" w:space="0" w:color="auto" w:frame="1"/>
        </w:rPr>
        <w:t> </w:t>
      </w:r>
      <w:r>
        <w:rPr>
          <w:rFonts w:ascii="Georgia" w:hAnsi="Georgia"/>
          <w:sz w:val="21"/>
          <w:szCs w:val="21"/>
        </w:rPr>
        <w:t>state is synonymous with</w:t>
      </w:r>
      <w:r>
        <w:rPr>
          <w:rStyle w:val="apple-converted-space"/>
          <w:rFonts w:ascii="Georgia" w:hAnsi="Georgia"/>
          <w:sz w:val="21"/>
          <w:szCs w:val="21"/>
        </w:rPr>
        <w:t> </w:t>
      </w:r>
      <w:r>
        <w:rPr>
          <w:rStyle w:val="Emphasis"/>
          <w:rFonts w:ascii="Georgia" w:hAnsi="Georgia"/>
          <w:sz w:val="21"/>
          <w:szCs w:val="21"/>
          <w:bdr w:val="none" w:sz="0" w:space="0" w:color="auto" w:frame="1"/>
        </w:rPr>
        <w:t>sharia wilayat</w:t>
      </w:r>
      <w:r>
        <w:rPr>
          <w:rStyle w:val="apple-converted-space"/>
          <w:rFonts w:ascii="Georgia" w:hAnsi="Georgia"/>
          <w:sz w:val="21"/>
          <w:szCs w:val="21"/>
        </w:rPr>
        <w:t> </w:t>
      </w:r>
      <w:r>
        <w:rPr>
          <w:rFonts w:ascii="Georgia" w:hAnsi="Georgia"/>
          <w:sz w:val="21"/>
          <w:szCs w:val="21"/>
        </w:rPr>
        <w:t>which, in turn, is prioritizing, appointing, invading, and the general issues. The bases and tools of</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Style w:val="apple-converted-space"/>
          <w:rFonts w:ascii="Georgia" w:hAnsi="Georgia"/>
          <w:i/>
          <w:iCs/>
          <w:sz w:val="21"/>
          <w:szCs w:val="21"/>
          <w:bdr w:val="none" w:sz="0" w:space="0" w:color="auto" w:frame="1"/>
        </w:rPr>
        <w:t> </w:t>
      </w:r>
      <w:r>
        <w:rPr>
          <w:rFonts w:ascii="Georgia" w:hAnsi="Georgia"/>
          <w:sz w:val="21"/>
          <w:szCs w:val="21"/>
        </w:rPr>
        <w:t xml:space="preserve">may be achieved through comparing different kinds of </w:t>
      </w:r>
      <w:r>
        <w:rPr>
          <w:rStyle w:val="Emphasis"/>
          <w:rFonts w:ascii="Georgia" w:hAnsi="Georgia"/>
          <w:sz w:val="21"/>
          <w:szCs w:val="21"/>
          <w:bdr w:val="none" w:sz="0" w:space="0" w:color="auto" w:frame="1"/>
        </w:rPr>
        <w:t>sharia wilayat</w:t>
      </w:r>
      <w:r>
        <w:rPr>
          <w:rFonts w:ascii="Georgia" w:hAnsi="Georgia"/>
          <w:sz w:val="21"/>
          <w:szCs w:val="21"/>
        </w:rPr>
        <w:t>. In</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Style w:val="Emphasis"/>
          <w:rFonts w:ascii="Georgia" w:hAnsi="Georgia"/>
          <w:sz w:val="21"/>
          <w:szCs w:val="21"/>
          <w:bdr w:val="none" w:sz="0" w:space="0" w:color="auto" w:frame="1"/>
        </w:rPr>
        <w:softHyphen/>
        <w:t>-</w:t>
      </w:r>
      <w:r>
        <w:rPr>
          <w:rFonts w:ascii="Georgia" w:hAnsi="Georgia"/>
          <w:sz w:val="21"/>
          <w:szCs w:val="21"/>
        </w:rPr>
        <w:t xml:space="preserve">based states, the legislator is sacred, equitable </w:t>
      </w:r>
      <w:r>
        <w:rPr>
          <w:rStyle w:val="Emphasis"/>
          <w:rFonts w:ascii="Georgia" w:hAnsi="Georgia"/>
          <w:sz w:val="21"/>
          <w:szCs w:val="21"/>
          <w:bdr w:val="none" w:sz="0" w:space="0" w:color="auto" w:frame="1"/>
        </w:rPr>
        <w:t>faqihs</w:t>
      </w:r>
      <w:r>
        <w:rPr>
          <w:rStyle w:val="apple-converted-space"/>
          <w:rFonts w:ascii="Georgia" w:hAnsi="Georgia"/>
          <w:sz w:val="21"/>
          <w:szCs w:val="21"/>
        </w:rPr>
        <w:t> </w:t>
      </w:r>
      <w:r>
        <w:rPr>
          <w:rFonts w:ascii="Georgia" w:hAnsi="Georgia"/>
          <w:sz w:val="21"/>
          <w:szCs w:val="21"/>
        </w:rPr>
        <w:t>are the guardians, the masses are ruled by the</w:t>
      </w:r>
      <w:r>
        <w:rPr>
          <w:rStyle w:val="apple-converted-space"/>
          <w:rFonts w:ascii="Georgia" w:hAnsi="Georgia"/>
          <w:sz w:val="21"/>
          <w:szCs w:val="21"/>
        </w:rPr>
        <w:t> </w:t>
      </w:r>
      <w:r>
        <w:rPr>
          <w:rStyle w:val="Emphasis"/>
          <w:rFonts w:ascii="Georgia" w:hAnsi="Georgia"/>
          <w:sz w:val="21"/>
          <w:szCs w:val="21"/>
          <w:bdr w:val="none" w:sz="0" w:space="0" w:color="auto" w:frame="1"/>
        </w:rPr>
        <w:t>faqihs</w:t>
      </w:r>
      <w:r>
        <w:rPr>
          <w:rFonts w:ascii="Georgia" w:hAnsi="Georgia"/>
          <w:sz w:val="21"/>
          <w:szCs w:val="21"/>
        </w:rPr>
        <w:t>, and the domain of</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Style w:val="apple-converted-space"/>
          <w:rFonts w:ascii="Georgia" w:hAnsi="Georgia"/>
          <w:sz w:val="21"/>
          <w:szCs w:val="21"/>
        </w:rPr>
        <w:t> </w:t>
      </w:r>
      <w:r>
        <w:rPr>
          <w:rFonts w:ascii="Georgia" w:hAnsi="Georgia"/>
          <w:sz w:val="21"/>
          <w:szCs w:val="21"/>
        </w:rPr>
        <w:t>is the general affairs of the society in which inequality has been established since</w:t>
      </w:r>
      <w:r>
        <w:rPr>
          <w:rStyle w:val="apple-converted-space"/>
          <w:rFonts w:ascii="Georgia" w:hAnsi="Georgia"/>
          <w:sz w:val="21"/>
          <w:szCs w:val="21"/>
        </w:rPr>
        <w:t> </w:t>
      </w:r>
      <w:r>
        <w:rPr>
          <w:rStyle w:val="Emphasis"/>
          <w:rFonts w:ascii="Georgia" w:hAnsi="Georgia"/>
          <w:sz w:val="21"/>
          <w:szCs w:val="21"/>
          <w:bdr w:val="none" w:sz="0" w:space="0" w:color="auto" w:frame="1"/>
        </w:rPr>
        <w:t>faqihs</w:t>
      </w:r>
      <w:r>
        <w:rPr>
          <w:rStyle w:val="apple-converted-space"/>
          <w:rFonts w:ascii="Georgia" w:hAnsi="Georgia"/>
          <w:sz w:val="21"/>
          <w:szCs w:val="21"/>
        </w:rPr>
        <w:t> </w:t>
      </w:r>
      <w:r>
        <w:rPr>
          <w:rFonts w:ascii="Georgia" w:hAnsi="Georgia"/>
          <w:sz w:val="21"/>
          <w:szCs w:val="21"/>
        </w:rPr>
        <w:t>enjoy shar’i capability and advantage in political administration while the public do not have majority in all social, political, and general issues especially in the large-scale policymaking of the society. They require guardianship in this sense and have no role in appointing and dismissing the</w:t>
      </w:r>
      <w:r>
        <w:rPr>
          <w:rStyle w:val="apple-converted-space"/>
          <w:rFonts w:ascii="Georgia" w:hAnsi="Georgia"/>
          <w:sz w:val="21"/>
          <w:szCs w:val="21"/>
        </w:rPr>
        <w:t> </w:t>
      </w:r>
      <w:r>
        <w:rPr>
          <w:rStyle w:val="Emphasis"/>
          <w:rFonts w:ascii="Georgia" w:hAnsi="Georgia"/>
          <w:sz w:val="21"/>
          <w:szCs w:val="21"/>
          <w:bdr w:val="none" w:sz="0" w:space="0" w:color="auto" w:frame="1"/>
        </w:rPr>
        <w:t xml:space="preserve">jurist ruler </w:t>
      </w:r>
      <w:r>
        <w:rPr>
          <w:rFonts w:ascii="Georgia" w:hAnsi="Georgia"/>
          <w:sz w:val="21"/>
          <w:szCs w:val="21"/>
        </w:rPr>
        <w:t>and have no role in his</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Fonts w:ascii="Georgia" w:hAnsi="Georgia"/>
          <w:sz w:val="21"/>
          <w:szCs w:val="21"/>
        </w:rPr>
        <w:t>. The ultimate criterion for decision-making within the public domain is the view of</w:t>
      </w:r>
      <w:r>
        <w:rPr>
          <w:rStyle w:val="apple-converted-space"/>
          <w:rFonts w:ascii="Georgia" w:hAnsi="Georgia"/>
          <w:sz w:val="21"/>
          <w:szCs w:val="21"/>
        </w:rPr>
        <w:t> </w:t>
      </w:r>
      <w:r>
        <w:rPr>
          <w:rStyle w:val="Emphasis"/>
          <w:rFonts w:ascii="Georgia" w:hAnsi="Georgia"/>
          <w:sz w:val="21"/>
          <w:szCs w:val="21"/>
          <w:bdr w:val="none" w:sz="0" w:space="0" w:color="auto" w:frame="1"/>
        </w:rPr>
        <w:t xml:space="preserve">jurist ruler </w:t>
      </w:r>
      <w:r>
        <w:rPr>
          <w:rFonts w:ascii="Georgia" w:hAnsi="Georgia"/>
          <w:sz w:val="21"/>
          <w:szCs w:val="21"/>
        </w:rPr>
        <w:t>since he is the guardian of the people and not their representative. Hence, he is not obliged to observe the people’s will in the administration of the society just as an representative/attorney does in relation with his client. Any kind of intervention on the side of the people is legitimate only when the</w:t>
      </w:r>
      <w:r>
        <w:rPr>
          <w:rStyle w:val="apple-converted-space"/>
          <w:rFonts w:ascii="Georgia" w:hAnsi="Georgia"/>
          <w:sz w:val="21"/>
          <w:szCs w:val="21"/>
        </w:rPr>
        <w:t> </w:t>
      </w:r>
      <w:r>
        <w:rPr>
          <w:rStyle w:val="Emphasis"/>
          <w:rFonts w:ascii="Georgia" w:hAnsi="Georgia"/>
          <w:i w:val="0"/>
          <w:sz w:val="21"/>
          <w:szCs w:val="21"/>
          <w:bdr w:val="none" w:sz="0" w:space="0" w:color="auto" w:frame="1"/>
        </w:rPr>
        <w:t>jurist ruler</w:t>
      </w:r>
      <w:r>
        <w:rPr>
          <w:rStyle w:val="Emphasis"/>
          <w:rFonts w:ascii="Georgia" w:hAnsi="Georgia"/>
          <w:sz w:val="21"/>
          <w:szCs w:val="21"/>
          <w:bdr w:val="none" w:sz="0" w:space="0" w:color="auto" w:frame="1"/>
        </w:rPr>
        <w:t xml:space="preserve"> </w:t>
      </w:r>
      <w:r>
        <w:rPr>
          <w:rFonts w:ascii="Georgia" w:hAnsi="Georgia"/>
          <w:sz w:val="21"/>
          <w:szCs w:val="21"/>
        </w:rPr>
        <w:t>has already given his approval or that he will subsequently give his endorsement. The legitimacy of all public institutions arises from their appointment by the</w:t>
      </w:r>
      <w:r>
        <w:rPr>
          <w:rStyle w:val="apple-converted-space"/>
          <w:rFonts w:ascii="Georgia" w:hAnsi="Georgia"/>
          <w:sz w:val="21"/>
          <w:szCs w:val="21"/>
        </w:rPr>
        <w:t> </w:t>
      </w:r>
      <w:r>
        <w:rPr>
          <w:rStyle w:val="Emphasis"/>
          <w:rFonts w:ascii="Georgia" w:hAnsi="Georgia"/>
          <w:i w:val="0"/>
          <w:sz w:val="21"/>
          <w:szCs w:val="21"/>
          <w:bdr w:val="none" w:sz="0" w:space="0" w:color="auto" w:frame="1"/>
        </w:rPr>
        <w:t xml:space="preserve">jurist ruler </w:t>
      </w:r>
      <w:r>
        <w:rPr>
          <w:rFonts w:ascii="Georgia" w:hAnsi="Georgia"/>
          <w:sz w:val="21"/>
          <w:szCs w:val="21"/>
        </w:rPr>
        <w:t>in two procedures: one in which that the officials of public institutions would be appointed by the</w:t>
      </w:r>
      <w:r>
        <w:rPr>
          <w:rStyle w:val="apple-converted-space"/>
          <w:rFonts w:ascii="Georgia" w:hAnsi="Georgia"/>
          <w:sz w:val="21"/>
          <w:szCs w:val="21"/>
        </w:rPr>
        <w:t> </w:t>
      </w:r>
      <w:r>
        <w:rPr>
          <w:rStyle w:val="Emphasis"/>
          <w:rFonts w:ascii="Georgia" w:hAnsi="Georgia"/>
          <w:i w:val="0"/>
          <w:sz w:val="21"/>
          <w:szCs w:val="21"/>
          <w:bdr w:val="none" w:sz="0" w:space="0" w:color="auto" w:frame="1"/>
        </w:rPr>
        <w:t xml:space="preserve">jurist ruler </w:t>
      </w:r>
      <w:r>
        <w:rPr>
          <w:rFonts w:ascii="Georgia" w:hAnsi="Georgia"/>
          <w:sz w:val="21"/>
          <w:szCs w:val="21"/>
        </w:rPr>
        <w:t>and the other that the ultimate screening of the representatives of the</w:t>
      </w:r>
      <w:r>
        <w:rPr>
          <w:rStyle w:val="apple-converted-space"/>
          <w:rFonts w:ascii="Georgia" w:hAnsi="Georgia"/>
          <w:sz w:val="21"/>
          <w:szCs w:val="21"/>
        </w:rPr>
        <w:t> </w:t>
      </w:r>
      <w:r>
        <w:rPr>
          <w:rStyle w:val="Emphasis"/>
          <w:rFonts w:ascii="Georgia" w:hAnsi="Georgia"/>
          <w:i w:val="0"/>
          <w:sz w:val="21"/>
          <w:szCs w:val="21"/>
          <w:bdr w:val="none" w:sz="0" w:space="0" w:color="auto" w:frame="1"/>
        </w:rPr>
        <w:t xml:space="preserve">jurist ruler </w:t>
      </w:r>
      <w:r>
        <w:rPr>
          <w:rFonts w:ascii="Georgia" w:hAnsi="Georgia"/>
          <w:sz w:val="21"/>
          <w:szCs w:val="21"/>
        </w:rPr>
        <w:t>in all public institutions would be the precondition for those institutions’ legitimacy. The major Islamic duty of the people towards th</w:t>
      </w:r>
      <w:r>
        <w:rPr>
          <w:rFonts w:ascii="Georgia" w:hAnsi="Georgia"/>
          <w:i/>
          <w:sz w:val="21"/>
          <w:szCs w:val="21"/>
        </w:rPr>
        <w:t>e</w:t>
      </w:r>
      <w:r>
        <w:rPr>
          <w:rStyle w:val="apple-converted-space"/>
          <w:rFonts w:ascii="Georgia" w:hAnsi="Georgia"/>
          <w:i/>
          <w:sz w:val="21"/>
          <w:szCs w:val="21"/>
        </w:rPr>
        <w:t> </w:t>
      </w:r>
      <w:r>
        <w:rPr>
          <w:rStyle w:val="Emphasis"/>
          <w:rFonts w:ascii="Georgia" w:hAnsi="Georgia"/>
          <w:i w:val="0"/>
          <w:sz w:val="21"/>
          <w:szCs w:val="21"/>
          <w:bdr w:val="none" w:sz="0" w:space="0" w:color="auto" w:frame="1"/>
        </w:rPr>
        <w:t>jurist ruler</w:t>
      </w:r>
      <w:r>
        <w:rPr>
          <w:rStyle w:val="Emphasis"/>
          <w:rFonts w:ascii="Georgia" w:hAnsi="Georgia"/>
          <w:sz w:val="21"/>
          <w:szCs w:val="21"/>
          <w:bdr w:val="none" w:sz="0" w:space="0" w:color="auto" w:frame="1"/>
        </w:rPr>
        <w:t xml:space="preserve"> </w:t>
      </w:r>
      <w:r>
        <w:rPr>
          <w:rFonts w:ascii="Georgia" w:hAnsi="Georgia"/>
          <w:sz w:val="21"/>
          <w:szCs w:val="21"/>
        </w:rPr>
        <w:t>would be observing and heeding his orders.</w:t>
      </w:r>
      <w:r>
        <w:rPr>
          <w:rStyle w:val="apple-converted-space"/>
          <w:rFonts w:ascii="Georgia" w:hAnsi="Georgia"/>
          <w:sz w:val="21"/>
          <w:szCs w:val="21"/>
        </w:rPr>
        <w:t> </w:t>
      </w:r>
      <w:r>
        <w:rPr>
          <w:rStyle w:val="Emphasis"/>
          <w:rFonts w:ascii="Georgia" w:hAnsi="Georgia"/>
          <w:sz w:val="21"/>
          <w:szCs w:val="21"/>
          <w:bdr w:val="none" w:sz="0" w:space="0" w:color="auto" w:frame="1"/>
        </w:rPr>
        <w:t>Wilayati fagih</w:t>
      </w:r>
      <w:r>
        <w:rPr>
          <w:rStyle w:val="apple-converted-space"/>
          <w:rFonts w:ascii="Georgia" w:hAnsi="Georgia"/>
          <w:i/>
          <w:iCs/>
          <w:sz w:val="21"/>
          <w:szCs w:val="21"/>
          <w:bdr w:val="none" w:sz="0" w:space="0" w:color="auto" w:frame="1"/>
        </w:rPr>
        <w:t> </w:t>
      </w:r>
      <w:r>
        <w:rPr>
          <w:rFonts w:ascii="Georgia" w:hAnsi="Georgia"/>
          <w:sz w:val="21"/>
          <w:szCs w:val="21"/>
        </w:rPr>
        <w:t>is compelled upon the people and not selected by them; it is lifelong and not transient or periodic. This</w:t>
      </w:r>
      <w:r>
        <w:rPr>
          <w:rStyle w:val="apple-converted-space"/>
          <w:rFonts w:ascii="Georgia" w:hAnsi="Georgia"/>
          <w:sz w:val="21"/>
          <w:szCs w:val="21"/>
        </w:rPr>
        <w:t> </w:t>
      </w:r>
      <w:r>
        <w:rPr>
          <w:rStyle w:val="Emphasis"/>
          <w:rFonts w:ascii="Georgia" w:hAnsi="Georgia"/>
          <w:sz w:val="21"/>
          <w:szCs w:val="21"/>
          <w:bdr w:val="none" w:sz="0" w:space="0" w:color="auto" w:frame="1"/>
        </w:rPr>
        <w:t xml:space="preserve">wilayat </w:t>
      </w:r>
      <w:r>
        <w:rPr>
          <w:rFonts w:ascii="Georgia" w:hAnsi="Georgia"/>
          <w:sz w:val="21"/>
          <w:szCs w:val="21"/>
        </w:rPr>
        <w:t>encompasses all the Moslems of the world and is not confined to geographic borders.</w:t>
      </w:r>
      <w:r>
        <w:rPr>
          <w:rStyle w:val="apple-converted-space"/>
          <w:rFonts w:ascii="Georgia" w:hAnsi="Georgia"/>
          <w:sz w:val="21"/>
          <w:szCs w:val="21"/>
        </w:rPr>
        <w:t> </w:t>
      </w:r>
      <w:r>
        <w:rPr>
          <w:rStyle w:val="Emphasis"/>
          <w:rFonts w:ascii="Georgia" w:hAnsi="Georgia"/>
          <w:sz w:val="21"/>
          <w:szCs w:val="21"/>
          <w:bdr w:val="none" w:sz="0" w:space="0" w:color="auto" w:frame="1"/>
        </w:rPr>
        <w:t>Wilayati faqih</w:t>
      </w:r>
      <w:r>
        <w:rPr>
          <w:rStyle w:val="apple-converted-space"/>
          <w:rFonts w:ascii="Georgia" w:hAnsi="Georgia"/>
          <w:sz w:val="21"/>
          <w:szCs w:val="21"/>
        </w:rPr>
        <w:t> </w:t>
      </w:r>
      <w:r>
        <w:rPr>
          <w:rFonts w:ascii="Georgia" w:hAnsi="Georgia"/>
          <w:sz w:val="21"/>
          <w:szCs w:val="21"/>
        </w:rPr>
        <w:t>is not a contract in which certain conditions would necessarily oblige it within the constitution. All people’s issues within the public domain are subject to the</w:t>
      </w:r>
      <w:r>
        <w:rPr>
          <w:rStyle w:val="apple-converted-space"/>
          <w:rFonts w:ascii="Georgia" w:hAnsi="Georgia"/>
          <w:sz w:val="21"/>
          <w:szCs w:val="21"/>
        </w:rPr>
        <w:t> </w:t>
      </w:r>
      <w:r>
        <w:rPr>
          <w:rStyle w:val="Emphasis"/>
          <w:rFonts w:ascii="Georgia" w:hAnsi="Georgia"/>
          <w:sz w:val="21"/>
          <w:szCs w:val="21"/>
          <w:bdr w:val="none" w:sz="0" w:space="0" w:color="auto" w:frame="1"/>
        </w:rPr>
        <w:t>faqihs</w:t>
      </w:r>
      <w:r>
        <w:rPr>
          <w:rFonts w:ascii="Georgia" w:hAnsi="Georgia"/>
          <w:sz w:val="21"/>
          <w:szCs w:val="21"/>
        </w:rPr>
        <w:t xml:space="preserve">’ shar’i </w:t>
      </w:r>
      <w:r>
        <w:rPr>
          <w:rStyle w:val="Emphasis"/>
          <w:rFonts w:ascii="Georgia" w:hAnsi="Georgia"/>
          <w:sz w:val="21"/>
          <w:szCs w:val="21"/>
          <w:bdr w:val="none" w:sz="0" w:space="0" w:color="auto" w:frame="1"/>
        </w:rPr>
        <w:t>wilayat</w:t>
      </w:r>
      <w:r>
        <w:rPr>
          <w:rFonts w:ascii="Georgia" w:hAnsi="Georgia"/>
          <w:sz w:val="21"/>
          <w:szCs w:val="21"/>
        </w:rPr>
        <w:t>.</w:t>
      </w:r>
      <w:r>
        <w:rPr>
          <w:rStyle w:val="apple-converted-space"/>
          <w:rFonts w:ascii="Georgia" w:hAnsi="Georgia"/>
          <w:sz w:val="21"/>
          <w:szCs w:val="21"/>
        </w:rPr>
        <w:t> </w:t>
      </w:r>
      <w:r>
        <w:rPr>
          <w:rStyle w:val="Emphasis"/>
          <w:rFonts w:ascii="Georgia" w:hAnsi="Georgia"/>
          <w:i w:val="0"/>
          <w:sz w:val="21"/>
          <w:szCs w:val="21"/>
          <w:bdr w:val="none" w:sz="0" w:space="0" w:color="auto" w:frame="1"/>
        </w:rPr>
        <w:t>Jurist ruler</w:t>
      </w:r>
      <w:r>
        <w:rPr>
          <w:rStyle w:val="Emphasis"/>
          <w:rFonts w:ascii="Georgia" w:hAnsi="Georgia"/>
          <w:sz w:val="21"/>
          <w:szCs w:val="21"/>
          <w:bdr w:val="none" w:sz="0" w:space="0" w:color="auto" w:frame="1"/>
        </w:rPr>
        <w:t xml:space="preserve"> </w:t>
      </w:r>
      <w:r>
        <w:rPr>
          <w:rFonts w:ascii="Georgia" w:hAnsi="Georgia"/>
          <w:sz w:val="21"/>
          <w:szCs w:val="21"/>
        </w:rPr>
        <w:t>is appointed by God and therefore not electable by people and his</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Style w:val="apple-converted-space"/>
          <w:rFonts w:ascii="Georgia" w:hAnsi="Georgia"/>
          <w:sz w:val="21"/>
          <w:szCs w:val="21"/>
        </w:rPr>
        <w:t> </w:t>
      </w:r>
      <w:r>
        <w:rPr>
          <w:rFonts w:ascii="Georgia" w:hAnsi="Georgia"/>
          <w:sz w:val="21"/>
          <w:szCs w:val="21"/>
        </w:rPr>
        <w:t>is of a sacred nature.</w:t>
      </w:r>
    </w:p>
    <w:p w:rsidR="005A6827" w:rsidRDefault="005A6827" w:rsidP="005A6827">
      <w:pPr>
        <w:pStyle w:val="NormalWeb"/>
        <w:spacing w:before="0" w:beforeAutospacing="0" w:after="0" w:afterAutospacing="0"/>
        <w:jc w:val="both"/>
        <w:textAlignment w:val="baseline"/>
        <w:rPr>
          <w:rFonts w:ascii="Georgia" w:hAnsi="Georgia"/>
          <w:sz w:val="21"/>
          <w:szCs w:val="21"/>
        </w:rPr>
      </w:pPr>
      <w:r>
        <w:rPr>
          <w:rFonts w:ascii="Georgia" w:hAnsi="Georgia"/>
          <w:sz w:val="21"/>
          <w:szCs w:val="21"/>
        </w:rPr>
        <w:t>The writer continues by discussing how and when the concept of</w:t>
      </w:r>
      <w:r>
        <w:rPr>
          <w:rStyle w:val="apple-converted-space"/>
          <w:rFonts w:ascii="Georgia" w:hAnsi="Georgia"/>
          <w:sz w:val="21"/>
          <w:szCs w:val="21"/>
        </w:rPr>
        <w:t> </w:t>
      </w:r>
      <w:r>
        <w:rPr>
          <w:rStyle w:val="Emphasis"/>
          <w:rFonts w:ascii="Georgia" w:hAnsi="Georgia"/>
          <w:sz w:val="21"/>
          <w:szCs w:val="21"/>
          <w:bdr w:val="none" w:sz="0" w:space="0" w:color="auto" w:frame="1"/>
        </w:rPr>
        <w:t xml:space="preserve">wilayat </w:t>
      </w:r>
      <w:r>
        <w:rPr>
          <w:rFonts w:ascii="Georgia" w:hAnsi="Georgia"/>
          <w:sz w:val="21"/>
          <w:szCs w:val="21"/>
        </w:rPr>
        <w:t>entered the public domain of the society and concludes that the Islamic Republic as introduced by Ayatollah Khomeini and Murtada Mutahhari to the people who voted positively for it in the referendum of April 1979 was a state based upon Islamic regulations and the vote of the majority of the citizens, a republic like other republics around the globe. The role of the Islamic</w:t>
      </w:r>
      <w:r>
        <w:rPr>
          <w:rStyle w:val="apple-converted-space"/>
          <w:rFonts w:ascii="Georgia" w:hAnsi="Georgia"/>
          <w:sz w:val="21"/>
          <w:szCs w:val="21"/>
        </w:rPr>
        <w:t> </w:t>
      </w:r>
      <w:r>
        <w:rPr>
          <w:rStyle w:val="Emphasis"/>
          <w:rFonts w:ascii="Georgia" w:hAnsi="Georgia"/>
          <w:sz w:val="21"/>
          <w:szCs w:val="21"/>
          <w:bdr w:val="none" w:sz="0" w:space="0" w:color="auto" w:frame="1"/>
        </w:rPr>
        <w:t>ulama</w:t>
      </w:r>
      <w:r>
        <w:rPr>
          <w:rStyle w:val="apple-converted-space"/>
          <w:rFonts w:ascii="Georgia" w:hAnsi="Georgia"/>
          <w:sz w:val="21"/>
          <w:szCs w:val="21"/>
        </w:rPr>
        <w:t> </w:t>
      </w:r>
      <w:r>
        <w:rPr>
          <w:rFonts w:ascii="Georgia" w:hAnsi="Georgia"/>
          <w:sz w:val="21"/>
          <w:szCs w:val="21"/>
        </w:rPr>
        <w:t>would be to monitor the laws and the clergy would guide and direct the state. During the Islamic uprising, which led to the Revolution of 79, Ayatollah Khomeini not even once mentioned</w:t>
      </w:r>
      <w:r>
        <w:rPr>
          <w:rStyle w:val="apple-converted-space"/>
          <w:rFonts w:ascii="Georgia" w:hAnsi="Georgia"/>
          <w:sz w:val="21"/>
          <w:szCs w:val="21"/>
        </w:rPr>
        <w:t> </w:t>
      </w:r>
      <w:r>
        <w:rPr>
          <w:rStyle w:val="Emphasis"/>
          <w:rFonts w:ascii="Georgia" w:hAnsi="Georgia"/>
          <w:sz w:val="21"/>
          <w:szCs w:val="21"/>
          <w:bdr w:val="none" w:sz="0" w:space="0" w:color="auto" w:frame="1"/>
        </w:rPr>
        <w:t>wilayati faqih</w:t>
      </w:r>
      <w:r>
        <w:rPr>
          <w:rStyle w:val="apple-converted-space"/>
          <w:rFonts w:ascii="Georgia" w:hAnsi="Georgia"/>
          <w:sz w:val="21"/>
          <w:szCs w:val="21"/>
        </w:rPr>
        <w:t> </w:t>
      </w:r>
      <w:r>
        <w:rPr>
          <w:rFonts w:ascii="Georgia" w:hAnsi="Georgia"/>
          <w:sz w:val="21"/>
          <w:szCs w:val="21"/>
        </w:rPr>
        <w:t>in his speeches about the Islamic Republic. Thus,</w:t>
      </w:r>
      <w:r>
        <w:rPr>
          <w:rStyle w:val="apple-converted-space"/>
          <w:rFonts w:ascii="Georgia" w:hAnsi="Georgia"/>
          <w:sz w:val="21"/>
          <w:szCs w:val="21"/>
        </w:rPr>
        <w:t> </w:t>
      </w:r>
      <w:r>
        <w:rPr>
          <w:rStyle w:val="Emphasis"/>
          <w:rFonts w:ascii="Georgia" w:hAnsi="Georgia"/>
          <w:sz w:val="21"/>
          <w:szCs w:val="21"/>
          <w:bdr w:val="none" w:sz="0" w:space="0" w:color="auto" w:frame="1"/>
        </w:rPr>
        <w:t xml:space="preserve">wilayati faqih </w:t>
      </w:r>
      <w:r>
        <w:rPr>
          <w:rFonts w:ascii="Georgia" w:hAnsi="Georgia"/>
          <w:sz w:val="21"/>
          <w:szCs w:val="21"/>
        </w:rPr>
        <w:t>was not among the principles of the Islamic Republic and the people’s demands until late 1979.</w:t>
      </w:r>
    </w:p>
    <w:p w:rsidR="005A6827" w:rsidRDefault="005A6827" w:rsidP="005A6827">
      <w:pPr>
        <w:pStyle w:val="NormalWeb"/>
        <w:spacing w:before="0" w:beforeAutospacing="0" w:after="0" w:afterAutospacing="0"/>
        <w:jc w:val="both"/>
        <w:textAlignment w:val="baseline"/>
        <w:rPr>
          <w:rFonts w:ascii="Georgia" w:hAnsi="Georgia"/>
          <w:sz w:val="21"/>
          <w:szCs w:val="21"/>
        </w:rPr>
      </w:pPr>
      <w:r>
        <w:rPr>
          <w:rFonts w:ascii="Georgia" w:hAnsi="Georgia"/>
          <w:sz w:val="21"/>
          <w:szCs w:val="21"/>
        </w:rPr>
        <w:t xml:space="preserve">The last chapter of the first section discusses the relationship between </w:t>
      </w:r>
      <w:r>
        <w:rPr>
          <w:rStyle w:val="Emphasis"/>
          <w:rFonts w:ascii="Georgia" w:hAnsi="Georgia"/>
          <w:sz w:val="21"/>
          <w:szCs w:val="21"/>
          <w:bdr w:val="none" w:sz="0" w:space="0" w:color="auto" w:frame="1"/>
        </w:rPr>
        <w:t>wilayat</w:t>
      </w:r>
      <w:r>
        <w:rPr>
          <w:rStyle w:val="apple-converted-space"/>
          <w:rFonts w:ascii="Georgia" w:hAnsi="Georgia"/>
          <w:i/>
          <w:iCs/>
          <w:sz w:val="21"/>
          <w:szCs w:val="21"/>
          <w:bdr w:val="none" w:sz="0" w:space="0" w:color="auto" w:frame="1"/>
        </w:rPr>
        <w:t> </w:t>
      </w:r>
      <w:r>
        <w:rPr>
          <w:rFonts w:ascii="Georgia" w:hAnsi="Georgia"/>
          <w:sz w:val="21"/>
          <w:szCs w:val="21"/>
        </w:rPr>
        <w:t>and republicanism aiming for a response to the fundamental question regarding the compatibility of</w:t>
      </w:r>
      <w:r>
        <w:rPr>
          <w:rStyle w:val="apple-converted-space"/>
          <w:rFonts w:ascii="Georgia" w:hAnsi="Georgia"/>
          <w:sz w:val="21"/>
          <w:szCs w:val="21"/>
        </w:rPr>
        <w:t> </w:t>
      </w:r>
      <w:r>
        <w:rPr>
          <w:rStyle w:val="Emphasis"/>
          <w:rFonts w:ascii="Georgia" w:hAnsi="Georgia"/>
          <w:sz w:val="21"/>
          <w:szCs w:val="21"/>
          <w:bdr w:val="none" w:sz="0" w:space="0" w:color="auto" w:frame="1"/>
        </w:rPr>
        <w:t>wilayati faqih</w:t>
      </w:r>
      <w:r>
        <w:rPr>
          <w:rStyle w:val="apple-converted-space"/>
          <w:rFonts w:ascii="Georgia" w:hAnsi="Georgia"/>
          <w:sz w:val="21"/>
          <w:szCs w:val="21"/>
        </w:rPr>
        <w:t> </w:t>
      </w:r>
      <w:r>
        <w:rPr>
          <w:rFonts w:ascii="Georgia" w:hAnsi="Georgia"/>
          <w:sz w:val="21"/>
          <w:szCs w:val="21"/>
        </w:rPr>
        <w:t>and the Islamic Republic. The writer names the inherent properties of</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Style w:val="apple-converted-space"/>
          <w:rFonts w:ascii="Georgia" w:hAnsi="Georgia"/>
          <w:sz w:val="21"/>
          <w:szCs w:val="21"/>
        </w:rPr>
        <w:t> </w:t>
      </w:r>
      <w:r>
        <w:rPr>
          <w:rFonts w:ascii="Georgia" w:hAnsi="Georgia"/>
          <w:sz w:val="21"/>
          <w:szCs w:val="21"/>
        </w:rPr>
        <w:t>and republicanism and finds 10 points of conflict between the two. First, all people are considered equal within the public domain in a republic. Second, all citizens enjoy majority and rights within the public domain in a republic. Third, the head of a republic is people’s representative. Fourth, people elect the head of a republic. Fifth, the term of office for statespersons in a republic is transient and periodical. Sixth, the head of the republic is accountable to the people and subject to their supervision. Seventh, the authorities of the head of the republic are within the context of law and nobody is above the law. Eighth, being a</w:t>
      </w:r>
      <w:r>
        <w:rPr>
          <w:rStyle w:val="apple-converted-space"/>
          <w:rFonts w:ascii="Georgia" w:hAnsi="Georgia"/>
          <w:sz w:val="21"/>
          <w:szCs w:val="21"/>
        </w:rPr>
        <w:t> </w:t>
      </w:r>
      <w:r>
        <w:rPr>
          <w:rStyle w:val="Emphasis"/>
          <w:rFonts w:ascii="Georgia" w:hAnsi="Georgia"/>
          <w:sz w:val="21"/>
          <w:szCs w:val="21"/>
          <w:bdr w:val="none" w:sz="0" w:space="0" w:color="auto" w:frame="1"/>
        </w:rPr>
        <w:t>faqih</w:t>
      </w:r>
      <w:r>
        <w:rPr>
          <w:rStyle w:val="apple-converted-space"/>
          <w:rFonts w:ascii="Georgia" w:hAnsi="Georgia"/>
          <w:sz w:val="21"/>
          <w:szCs w:val="21"/>
        </w:rPr>
        <w:t> </w:t>
      </w:r>
      <w:r>
        <w:rPr>
          <w:rFonts w:ascii="Georgia" w:hAnsi="Georgia"/>
          <w:sz w:val="21"/>
          <w:szCs w:val="21"/>
        </w:rPr>
        <w:t>is not a prerequisite for the administration of the society in a republic. Ninth, a republic is a treaty or contract between the citizens and the head of the republic. Tenth, the collective wisdom of the citizens is the basis for the administration of the society and the head of the state is obliged to adapt himself/herself with the views of his/her clients, i.e. the citizens. A</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Style w:val="Emphasis"/>
          <w:rFonts w:ascii="Georgia" w:hAnsi="Georgia"/>
          <w:sz w:val="21"/>
          <w:szCs w:val="21"/>
          <w:bdr w:val="none" w:sz="0" w:space="0" w:color="auto" w:frame="1"/>
        </w:rPr>
        <w:softHyphen/>
        <w:t>-</w:t>
      </w:r>
      <w:r>
        <w:rPr>
          <w:rFonts w:ascii="Georgia" w:hAnsi="Georgia"/>
          <w:sz w:val="21"/>
          <w:szCs w:val="21"/>
        </w:rPr>
        <w:t>based state, on the contrary, is opposed to all the aforementioned ten criteria of a republic. These two models of state in actual practice, therefore, are more than simply incompatible; they are conflicting. There should either be real faith in absolute</w:t>
      </w:r>
      <w:r>
        <w:rPr>
          <w:rStyle w:val="apple-converted-space"/>
          <w:rFonts w:ascii="Georgia" w:hAnsi="Georgia"/>
          <w:sz w:val="21"/>
          <w:szCs w:val="21"/>
        </w:rPr>
        <w:t> </w:t>
      </w:r>
      <w:r>
        <w:rPr>
          <w:rStyle w:val="Emphasis"/>
          <w:rFonts w:ascii="Georgia" w:hAnsi="Georgia"/>
          <w:sz w:val="21"/>
          <w:szCs w:val="21"/>
          <w:bdr w:val="none" w:sz="0" w:space="0" w:color="auto" w:frame="1"/>
        </w:rPr>
        <w:t>wilayati faqih</w:t>
      </w:r>
      <w:r>
        <w:rPr>
          <w:rStyle w:val="apple-converted-space"/>
          <w:rFonts w:ascii="Georgia" w:hAnsi="Georgia"/>
          <w:sz w:val="21"/>
          <w:szCs w:val="21"/>
        </w:rPr>
        <w:t> </w:t>
      </w:r>
      <w:r>
        <w:rPr>
          <w:rFonts w:ascii="Georgia" w:hAnsi="Georgia"/>
          <w:sz w:val="21"/>
          <w:szCs w:val="21"/>
        </w:rPr>
        <w:t>appointed by God or true acceptance of electing the head of the state as the attorney and representative of the people. Combining these two models would necessarily lead to distortion of certain principles and fundaments within either</w:t>
      </w:r>
      <w:r>
        <w:rPr>
          <w:rStyle w:val="apple-converted-space"/>
          <w:rFonts w:ascii="Georgia" w:hAnsi="Georgia"/>
          <w:sz w:val="21"/>
          <w:szCs w:val="21"/>
        </w:rPr>
        <w:t> </w:t>
      </w:r>
      <w:r>
        <w:rPr>
          <w:rStyle w:val="Emphasis"/>
          <w:rFonts w:ascii="Georgia" w:hAnsi="Georgia"/>
          <w:sz w:val="21"/>
          <w:szCs w:val="21"/>
          <w:bdr w:val="none" w:sz="0" w:space="0" w:color="auto" w:frame="1"/>
        </w:rPr>
        <w:t>wilayati faqih</w:t>
      </w:r>
      <w:r>
        <w:rPr>
          <w:rStyle w:val="apple-converted-space"/>
          <w:rFonts w:ascii="Georgia" w:hAnsi="Georgia"/>
          <w:sz w:val="21"/>
          <w:szCs w:val="21"/>
        </w:rPr>
        <w:t> </w:t>
      </w:r>
      <w:r>
        <w:rPr>
          <w:rFonts w:ascii="Georgia" w:hAnsi="Georgia"/>
          <w:sz w:val="21"/>
          <w:szCs w:val="21"/>
        </w:rPr>
        <w:t>or republicanism. The writer reviews the three solutions put forward for combining a</w:t>
      </w:r>
      <w:r>
        <w:rPr>
          <w:rStyle w:val="apple-converted-space"/>
          <w:rFonts w:ascii="Georgia" w:hAnsi="Georgia"/>
          <w:sz w:val="21"/>
          <w:szCs w:val="21"/>
        </w:rPr>
        <w:t> </w:t>
      </w:r>
      <w:r>
        <w:rPr>
          <w:rStyle w:val="Emphasis"/>
          <w:rFonts w:ascii="Georgia" w:hAnsi="Georgia"/>
          <w:sz w:val="21"/>
          <w:szCs w:val="21"/>
          <w:bdr w:val="none" w:sz="0" w:space="0" w:color="auto" w:frame="1"/>
        </w:rPr>
        <w:t>wilayat</w:t>
      </w:r>
      <w:r>
        <w:rPr>
          <w:rFonts w:ascii="Georgia" w:hAnsi="Georgia"/>
          <w:sz w:val="21"/>
          <w:szCs w:val="21"/>
        </w:rPr>
        <w:t>-based state with a republic.</w:t>
      </w:r>
    </w:p>
    <w:p w:rsidR="005A6827" w:rsidRDefault="005A6827" w:rsidP="005A6827">
      <w:pPr>
        <w:pStyle w:val="NormalWeb"/>
        <w:spacing w:before="0" w:beforeAutospacing="0" w:after="0" w:afterAutospacing="0"/>
        <w:jc w:val="both"/>
        <w:textAlignment w:val="baseline"/>
        <w:rPr>
          <w:rFonts w:ascii="Georgia" w:hAnsi="Georgia"/>
          <w:sz w:val="21"/>
          <w:szCs w:val="21"/>
        </w:rPr>
      </w:pPr>
      <w:r>
        <w:rPr>
          <w:rFonts w:ascii="Georgia" w:hAnsi="Georgia"/>
          <w:sz w:val="21"/>
          <w:szCs w:val="21"/>
        </w:rPr>
        <w:t>The second section of</w:t>
      </w:r>
      <w:r>
        <w:rPr>
          <w:rStyle w:val="apple-converted-space"/>
          <w:rFonts w:ascii="Georgia" w:hAnsi="Georgia"/>
          <w:sz w:val="21"/>
          <w:szCs w:val="21"/>
        </w:rPr>
        <w:t> </w:t>
      </w:r>
      <w:r>
        <w:rPr>
          <w:rStyle w:val="Emphasis"/>
          <w:rFonts w:ascii="Georgia" w:hAnsi="Georgia"/>
          <w:sz w:val="21"/>
          <w:szCs w:val="21"/>
          <w:bdr w:val="none" w:sz="0" w:space="0" w:color="auto" w:frame="1"/>
        </w:rPr>
        <w:t>Wilayat-Based State</w:t>
      </w:r>
      <w:r>
        <w:rPr>
          <w:rStyle w:val="apple-converted-space"/>
          <w:rFonts w:ascii="Georgia" w:hAnsi="Georgia"/>
          <w:sz w:val="21"/>
          <w:szCs w:val="21"/>
        </w:rPr>
        <w:t> </w:t>
      </w:r>
      <w:r>
        <w:rPr>
          <w:rFonts w:ascii="Georgia" w:hAnsi="Georgia"/>
          <w:sz w:val="21"/>
          <w:szCs w:val="21"/>
        </w:rPr>
        <w:t>discusses the shar’i reasons underlying</w:t>
      </w:r>
      <w:r>
        <w:rPr>
          <w:rStyle w:val="apple-converted-space"/>
          <w:rFonts w:ascii="Georgia" w:hAnsi="Georgia"/>
          <w:sz w:val="21"/>
          <w:szCs w:val="21"/>
        </w:rPr>
        <w:t> </w:t>
      </w:r>
      <w:r>
        <w:rPr>
          <w:rStyle w:val="Emphasis"/>
          <w:rFonts w:ascii="Georgia" w:hAnsi="Georgia"/>
          <w:sz w:val="21"/>
          <w:szCs w:val="21"/>
          <w:bdr w:val="none" w:sz="0" w:space="0" w:color="auto" w:frame="1"/>
        </w:rPr>
        <w:t>wilayati faqih</w:t>
      </w:r>
      <w:r>
        <w:rPr>
          <w:rFonts w:ascii="Georgia" w:hAnsi="Georgia"/>
          <w:sz w:val="21"/>
          <w:szCs w:val="21"/>
        </w:rPr>
        <w:t>. To begin with, the writer emphasizes that</w:t>
      </w:r>
      <w:r>
        <w:rPr>
          <w:rStyle w:val="apple-converted-space"/>
          <w:rFonts w:ascii="Georgia" w:hAnsi="Georgia"/>
          <w:sz w:val="21"/>
          <w:szCs w:val="21"/>
        </w:rPr>
        <w:t> </w:t>
      </w:r>
      <w:r>
        <w:rPr>
          <w:rStyle w:val="Emphasis"/>
          <w:rFonts w:ascii="Georgia" w:hAnsi="Georgia"/>
          <w:sz w:val="21"/>
          <w:szCs w:val="21"/>
          <w:bdr w:val="none" w:sz="0" w:space="0" w:color="auto" w:frame="1"/>
        </w:rPr>
        <w:t>wilayati faqih</w:t>
      </w:r>
      <w:r>
        <w:rPr>
          <w:rStyle w:val="apple-converted-space"/>
          <w:rFonts w:ascii="Georgia" w:hAnsi="Georgia"/>
          <w:i/>
          <w:iCs/>
          <w:sz w:val="21"/>
          <w:szCs w:val="21"/>
          <w:bdr w:val="none" w:sz="0" w:space="0" w:color="auto" w:frame="1"/>
        </w:rPr>
        <w:t> </w:t>
      </w:r>
      <w:r>
        <w:rPr>
          <w:rFonts w:ascii="Georgia" w:hAnsi="Georgia"/>
          <w:sz w:val="21"/>
          <w:szCs w:val="21"/>
        </w:rPr>
        <w:t>is not an indispensable necessity of the Shiite faith; it is within the minor domain of this faith and to prove its validity, one would have to resort to the traditional four resources of</w:t>
      </w:r>
      <w:r>
        <w:rPr>
          <w:rStyle w:val="apple-converted-space"/>
          <w:rFonts w:ascii="Georgia" w:hAnsi="Georgia"/>
          <w:sz w:val="21"/>
          <w:szCs w:val="21"/>
        </w:rPr>
        <w:t> </w:t>
      </w:r>
      <w:r>
        <w:rPr>
          <w:rStyle w:val="Emphasis"/>
          <w:rFonts w:ascii="Georgia" w:hAnsi="Georgia"/>
          <w:sz w:val="21"/>
          <w:szCs w:val="21"/>
          <w:bdr w:val="none" w:sz="0" w:space="0" w:color="auto" w:frame="1"/>
        </w:rPr>
        <w:t>fiqh</w:t>
      </w:r>
      <w:r>
        <w:rPr>
          <w:rFonts w:ascii="Georgia" w:hAnsi="Georgia"/>
          <w:sz w:val="21"/>
          <w:szCs w:val="21"/>
        </w:rPr>
        <w:t xml:space="preserve">, i.e. the Qur’an, Tradition, consensus, and reason. The writer reviews all major arguments within the four resources and concludes that appointed and absolute </w:t>
      </w:r>
      <w:r>
        <w:rPr>
          <w:rStyle w:val="Emphasis"/>
          <w:rFonts w:ascii="Georgia" w:hAnsi="Georgia"/>
          <w:sz w:val="21"/>
          <w:szCs w:val="21"/>
          <w:bdr w:val="none" w:sz="0" w:space="0" w:color="auto" w:frame="1"/>
        </w:rPr>
        <w:t>wilayati faqih</w:t>
      </w:r>
      <w:r>
        <w:rPr>
          <w:rStyle w:val="apple-converted-space"/>
          <w:rFonts w:ascii="Georgia" w:hAnsi="Georgia"/>
          <w:sz w:val="21"/>
          <w:szCs w:val="21"/>
        </w:rPr>
        <w:t> </w:t>
      </w:r>
      <w:r>
        <w:rPr>
          <w:rFonts w:ascii="Georgia" w:hAnsi="Georgia"/>
          <w:sz w:val="21"/>
          <w:szCs w:val="21"/>
        </w:rPr>
        <w:t xml:space="preserve">is not validated by the Tradition and sayings of Prophet Mohammed and the 12 Shi’ite Imams. Furthermore, it has no Qur’anic documentation; it is not achievable through consensus, and lacks substantial rational arguments. Hence, he maintains that the </w:t>
      </w:r>
      <w:r>
        <w:rPr>
          <w:rFonts w:ascii="Georgia" w:hAnsi="Georgia"/>
          <w:i/>
          <w:sz w:val="21"/>
          <w:szCs w:val="21"/>
        </w:rPr>
        <w:t xml:space="preserve">shar’i </w:t>
      </w:r>
      <w:r>
        <w:rPr>
          <w:rStyle w:val="Emphasis"/>
          <w:rFonts w:ascii="Georgia" w:hAnsi="Georgia"/>
          <w:sz w:val="21"/>
          <w:szCs w:val="21"/>
          <w:bdr w:val="none" w:sz="0" w:space="0" w:color="auto" w:frame="1"/>
        </w:rPr>
        <w:t>wilayat</w:t>
      </w:r>
      <w:r>
        <w:rPr>
          <w:rStyle w:val="apple-converted-space"/>
          <w:rFonts w:ascii="Georgia" w:hAnsi="Georgia"/>
          <w:i/>
          <w:iCs/>
          <w:sz w:val="21"/>
          <w:szCs w:val="21"/>
          <w:bdr w:val="none" w:sz="0" w:space="0" w:color="auto" w:frame="1"/>
        </w:rPr>
        <w:t> </w:t>
      </w:r>
      <w:r>
        <w:rPr>
          <w:rFonts w:ascii="Georgia" w:hAnsi="Georgia"/>
          <w:sz w:val="21"/>
          <w:szCs w:val="21"/>
        </w:rPr>
        <w:t>of a</w:t>
      </w:r>
      <w:r>
        <w:rPr>
          <w:rStyle w:val="apple-converted-space"/>
          <w:rFonts w:ascii="Georgia" w:hAnsi="Georgia"/>
          <w:sz w:val="21"/>
          <w:szCs w:val="21"/>
        </w:rPr>
        <w:t> </w:t>
      </w:r>
      <w:r>
        <w:rPr>
          <w:rStyle w:val="Emphasis"/>
          <w:rFonts w:ascii="Georgia" w:hAnsi="Georgia"/>
          <w:sz w:val="21"/>
          <w:szCs w:val="21"/>
          <w:bdr w:val="none" w:sz="0" w:space="0" w:color="auto" w:frame="1"/>
        </w:rPr>
        <w:t>faqih</w:t>
      </w:r>
      <w:r>
        <w:rPr>
          <w:rStyle w:val="apple-converted-space"/>
          <w:rFonts w:ascii="Georgia" w:hAnsi="Georgia"/>
          <w:sz w:val="21"/>
          <w:szCs w:val="21"/>
        </w:rPr>
        <w:t> </w:t>
      </w:r>
      <w:r>
        <w:rPr>
          <w:rFonts w:ascii="Georgia" w:hAnsi="Georgia"/>
          <w:sz w:val="21"/>
          <w:szCs w:val="21"/>
        </w:rPr>
        <w:t xml:space="preserve">is not based on reason or sayings of the Prophet and Imams. Public domain, consequently, remains beyond the realm of </w:t>
      </w:r>
      <w:r>
        <w:rPr>
          <w:rStyle w:val="Emphasis"/>
          <w:rFonts w:ascii="Georgia" w:hAnsi="Georgia"/>
          <w:sz w:val="21"/>
          <w:szCs w:val="21"/>
          <w:bdr w:val="none" w:sz="0" w:space="0" w:color="auto" w:frame="1"/>
        </w:rPr>
        <w:t>wilayat</w:t>
      </w:r>
      <w:r>
        <w:rPr>
          <w:rFonts w:ascii="Georgia" w:hAnsi="Georgia"/>
          <w:sz w:val="21"/>
          <w:szCs w:val="21"/>
        </w:rPr>
        <w:t>, that is,</w:t>
      </w:r>
      <w:r>
        <w:rPr>
          <w:rStyle w:val="apple-converted-space"/>
          <w:rFonts w:ascii="Georgia" w:hAnsi="Georgia"/>
          <w:sz w:val="21"/>
          <w:szCs w:val="21"/>
        </w:rPr>
        <w:t> </w:t>
      </w:r>
      <w:r>
        <w:rPr>
          <w:rStyle w:val="Emphasis"/>
          <w:rFonts w:ascii="Georgia" w:hAnsi="Georgia"/>
          <w:sz w:val="21"/>
          <w:szCs w:val="21"/>
          <w:bdr w:val="none" w:sz="0" w:space="0" w:color="auto" w:frame="1"/>
        </w:rPr>
        <w:t>faqihs</w:t>
      </w:r>
      <w:r>
        <w:rPr>
          <w:rStyle w:val="apple-converted-space"/>
          <w:rFonts w:ascii="Georgia" w:hAnsi="Georgia"/>
          <w:sz w:val="21"/>
          <w:szCs w:val="21"/>
        </w:rPr>
        <w:t> </w:t>
      </w:r>
      <w:r>
        <w:rPr>
          <w:rFonts w:ascii="Georgia" w:hAnsi="Georgia"/>
          <w:sz w:val="21"/>
          <w:szCs w:val="21"/>
        </w:rPr>
        <w:t xml:space="preserve">do not have </w:t>
      </w:r>
      <w:r>
        <w:rPr>
          <w:rFonts w:ascii="Georgia" w:hAnsi="Georgia"/>
          <w:i/>
          <w:sz w:val="21"/>
          <w:szCs w:val="21"/>
        </w:rPr>
        <w:t>shar’i</w:t>
      </w:r>
      <w:r>
        <w:rPr>
          <w:rStyle w:val="apple-converted-space"/>
          <w:rFonts w:ascii="Georgia" w:hAnsi="Georgia"/>
          <w:i/>
          <w:sz w:val="21"/>
          <w:szCs w:val="21"/>
        </w:rPr>
        <w:t> </w:t>
      </w:r>
      <w:r>
        <w:rPr>
          <w:rStyle w:val="Emphasis"/>
          <w:rFonts w:ascii="Georgia" w:hAnsi="Georgia"/>
          <w:sz w:val="21"/>
          <w:szCs w:val="21"/>
          <w:bdr w:val="none" w:sz="0" w:space="0" w:color="auto" w:frame="1"/>
        </w:rPr>
        <w:t>wilayat</w:t>
      </w:r>
      <w:r>
        <w:rPr>
          <w:rStyle w:val="apple-converted-space"/>
          <w:rFonts w:ascii="Georgia" w:hAnsi="Georgia"/>
          <w:i/>
          <w:iCs/>
          <w:sz w:val="21"/>
          <w:szCs w:val="21"/>
          <w:bdr w:val="none" w:sz="0" w:space="0" w:color="auto" w:frame="1"/>
        </w:rPr>
        <w:t> </w:t>
      </w:r>
      <w:r>
        <w:rPr>
          <w:rFonts w:ascii="Georgia" w:hAnsi="Georgia"/>
          <w:sz w:val="21"/>
          <w:szCs w:val="21"/>
        </w:rPr>
        <w:t>on people.</w:t>
      </w:r>
    </w:p>
    <w:p w:rsidR="005A6827" w:rsidRDefault="005A6827" w:rsidP="005A6827">
      <w:pPr>
        <w:bidi w:val="0"/>
        <w:rPr>
          <w:rtl/>
        </w:rPr>
      </w:pPr>
      <w:r>
        <w:rPr>
          <w:rStyle w:val="Emphasis"/>
          <w:rFonts w:ascii="Georgia" w:hAnsi="Georgia"/>
          <w:sz w:val="21"/>
          <w:szCs w:val="21"/>
          <w:bdr w:val="none" w:sz="0" w:space="0" w:color="auto" w:frame="1"/>
        </w:rPr>
        <w:t>Wilayat-Based State</w:t>
      </w:r>
      <w:r>
        <w:rPr>
          <w:rStyle w:val="apple-converted-space"/>
          <w:rFonts w:ascii="Georgia" w:hAnsi="Georgia"/>
          <w:i/>
          <w:iCs/>
          <w:sz w:val="21"/>
          <w:szCs w:val="21"/>
          <w:bdr w:val="none" w:sz="0" w:space="0" w:color="auto" w:frame="1"/>
        </w:rPr>
        <w:t> </w:t>
      </w:r>
      <w:r>
        <w:rPr>
          <w:rFonts w:ascii="Georgia" w:hAnsi="Georgia"/>
          <w:sz w:val="21"/>
          <w:szCs w:val="21"/>
        </w:rPr>
        <w:t>has been subject to much controversy.</w:t>
      </w:r>
    </w:p>
    <w:p w:rsidR="005A6827" w:rsidRDefault="005A6827">
      <w:pPr>
        <w:widowControl/>
        <w:bidi w:val="0"/>
        <w:spacing w:after="200" w:line="276" w:lineRule="auto"/>
        <w:ind w:firstLine="0"/>
        <w:jc w:val="left"/>
        <w:rPr>
          <w:rtl/>
        </w:rPr>
      </w:pPr>
      <w:r>
        <w:rPr>
          <w:rtl/>
        </w:rPr>
        <w:br w:type="page"/>
      </w:r>
    </w:p>
    <w:p w:rsidR="005A6827" w:rsidRDefault="005A6827" w:rsidP="007A340E">
      <w:pPr>
        <w:rPr>
          <w:rtl/>
        </w:rPr>
        <w:sectPr w:rsidR="005A6827" w:rsidSect="009003FC">
          <w:headerReference w:type="even" r:id="rId76"/>
          <w:headerReference w:type="default" r:id="rId77"/>
          <w:headerReference w:type="first" r:id="rId78"/>
          <w:footnotePr>
            <w:numRestart w:val="eachPage"/>
          </w:footnotePr>
          <w:type w:val="oddPage"/>
          <w:pgSz w:w="11907" w:h="16840" w:code="9"/>
          <w:pgMar w:top="2835" w:right="2552" w:bottom="3232" w:left="2552" w:header="2268" w:footer="1106" w:gutter="0"/>
          <w:cols w:space="720"/>
          <w:titlePg/>
          <w:docGrid w:linePitch="360"/>
        </w:sectPr>
      </w:pPr>
    </w:p>
    <w:p w:rsidR="005A6827" w:rsidRDefault="005A6827" w:rsidP="005A6827">
      <w:bookmarkStart w:id="63" w:name="_Toc408662111"/>
    </w:p>
    <w:p w:rsidR="005A6827" w:rsidRDefault="005A6827" w:rsidP="005A6827"/>
    <w:p w:rsidR="005A6827" w:rsidRDefault="005A6827" w:rsidP="005A6827"/>
    <w:p w:rsidR="005A6827" w:rsidRDefault="005A6827" w:rsidP="005A6827"/>
    <w:p w:rsidR="005A6827" w:rsidRDefault="005A6827" w:rsidP="005A6827"/>
    <w:p w:rsidR="005A6827" w:rsidRDefault="005A6827" w:rsidP="005A6827"/>
    <w:p w:rsidR="005A6827" w:rsidRDefault="005A6827" w:rsidP="005A6827">
      <w:pPr>
        <w:rPr>
          <w:rtl/>
        </w:rPr>
      </w:pPr>
    </w:p>
    <w:p w:rsidR="005A6827" w:rsidRPr="00810B7A" w:rsidRDefault="005A6827" w:rsidP="005A6827">
      <w:pPr>
        <w:pStyle w:val="Heading2"/>
        <w:jc w:val="center"/>
        <w:rPr>
          <w:sz w:val="50"/>
          <w:szCs w:val="62"/>
          <w:rtl/>
        </w:rPr>
      </w:pPr>
      <w:bookmarkStart w:id="64" w:name="_Toc413658845"/>
      <w:r w:rsidRPr="00810B7A">
        <w:rPr>
          <w:rFonts w:hint="cs"/>
          <w:sz w:val="50"/>
          <w:szCs w:val="62"/>
          <w:rtl/>
        </w:rPr>
        <w:t>الفهارس</w:t>
      </w:r>
      <w:bookmarkEnd w:id="64"/>
      <w:r w:rsidRPr="00810B7A">
        <w:rPr>
          <w:rFonts w:hint="cs"/>
          <w:sz w:val="50"/>
          <w:szCs w:val="62"/>
          <w:rtl/>
        </w:rPr>
        <w:t xml:space="preserve"> </w:t>
      </w:r>
    </w:p>
    <w:p w:rsidR="005A6827" w:rsidRDefault="005A6827" w:rsidP="005A6827">
      <w:pPr>
        <w:widowControl/>
        <w:bidi w:val="0"/>
        <w:spacing w:after="200" w:line="276" w:lineRule="auto"/>
        <w:ind w:firstLine="0"/>
        <w:jc w:val="left"/>
        <w:rPr>
          <w:rtl/>
        </w:rPr>
      </w:pPr>
      <w:r>
        <w:rPr>
          <w:rtl/>
        </w:rPr>
        <w:br w:type="page"/>
      </w:r>
    </w:p>
    <w:bookmarkEnd w:id="63"/>
    <w:p w:rsidR="005A6827" w:rsidRDefault="005A6827" w:rsidP="005A6827">
      <w:pPr>
        <w:rPr>
          <w:rtl/>
        </w:rPr>
        <w:sectPr w:rsidR="005A6827" w:rsidSect="009003FC">
          <w:footnotePr>
            <w:numRestart w:val="eachPage"/>
          </w:footnotePr>
          <w:type w:val="oddPage"/>
          <w:pgSz w:w="11907" w:h="16840" w:code="9"/>
          <w:pgMar w:top="2835" w:right="2552" w:bottom="3232" w:left="2552" w:header="2268" w:footer="1106" w:gutter="0"/>
          <w:cols w:space="720"/>
          <w:titlePg/>
          <w:docGrid w:linePitch="360"/>
        </w:sectPr>
      </w:pPr>
    </w:p>
    <w:p w:rsidR="00EA09EB" w:rsidRPr="00DF7274" w:rsidRDefault="00EA09EB" w:rsidP="005E2A7F">
      <w:pPr>
        <w:pStyle w:val="Heading2"/>
        <w:jc w:val="center"/>
        <w:rPr>
          <w:rFonts w:ascii="CourierNewPSMT" w:hAnsi="CourierNewPSMT" w:cs="Abz-1 (Lotus)"/>
          <w:sz w:val="32"/>
          <w:szCs w:val="32"/>
        </w:rPr>
      </w:pPr>
      <w:bookmarkStart w:id="65" w:name="_Toc413658846"/>
      <w:r w:rsidRPr="005A6827">
        <w:rPr>
          <w:rFonts w:hint="eastAsia"/>
          <w:rtl/>
        </w:rPr>
        <w:t>فه</w:t>
      </w:r>
      <w:r w:rsidRPr="005A6827">
        <w:rPr>
          <w:rFonts w:hint="cs"/>
          <w:rtl/>
        </w:rPr>
        <w:t>رس</w:t>
      </w:r>
      <w:r w:rsidRPr="007A340E">
        <w:rPr>
          <w:rtl/>
        </w:rPr>
        <w:t xml:space="preserve"> </w:t>
      </w:r>
      <w:r w:rsidRPr="007A340E">
        <w:rPr>
          <w:rFonts w:hint="eastAsia"/>
          <w:rtl/>
        </w:rPr>
        <w:t>المصادر</w:t>
      </w:r>
      <w:bookmarkEnd w:id="65"/>
    </w:p>
    <w:p w:rsidR="00EA09EB" w:rsidRPr="00BB1703" w:rsidRDefault="00EA09EB" w:rsidP="007A340E">
      <w:pPr>
        <w:autoSpaceDE w:val="0"/>
        <w:autoSpaceDN w:val="0"/>
        <w:adjustRightInd w:val="0"/>
        <w:ind w:firstLine="283"/>
        <w:rPr>
          <w:rFonts w:ascii="CourierNewPSMT" w:hAnsi="CourierNewPSMT" w:cs="Abz-1 (Lotus)"/>
          <w:sz w:val="32"/>
          <w:szCs w:val="32"/>
        </w:rPr>
      </w:pPr>
      <w:r w:rsidRPr="00BB1703">
        <w:rPr>
          <w:rFonts w:ascii="Helvetica" w:hAnsi="Helvetica" w:cs="Abz-1 (Lotus)"/>
          <w:sz w:val="32"/>
          <w:szCs w:val="32"/>
          <w:rtl/>
        </w:rPr>
        <w:t xml:space="preserve"> </w:t>
      </w:r>
    </w:p>
    <w:p w:rsidR="00EA09EB" w:rsidRPr="00DF7274" w:rsidRDefault="00EA09EB" w:rsidP="00EA09EB">
      <w:pPr>
        <w:autoSpaceDE w:val="0"/>
        <w:autoSpaceDN w:val="0"/>
        <w:adjustRightInd w:val="0"/>
        <w:rPr>
          <w:rFonts w:ascii="CourierNewPSMT" w:hAnsi="CourierNewPSMT" w:cs="Abz-1 (Lotus)"/>
          <w:b/>
          <w:bCs/>
          <w:sz w:val="32"/>
          <w:szCs w:val="32"/>
        </w:rPr>
      </w:pPr>
      <w:r w:rsidRPr="007A340E">
        <w:rPr>
          <w:rFonts w:hint="cs"/>
          <w:b/>
          <w:bCs/>
          <w:rtl/>
        </w:rPr>
        <w:t>أـ</w:t>
      </w:r>
      <w:r w:rsidRPr="00DF7274">
        <w:rPr>
          <w:rFonts w:ascii="Helvetica" w:hAnsi="Helvetica" w:cs="Abz-1 (Lotus)"/>
          <w:b/>
          <w:bCs/>
          <w:sz w:val="32"/>
          <w:szCs w:val="32"/>
          <w:rtl/>
        </w:rPr>
        <w:t xml:space="preserve"> </w:t>
      </w:r>
      <w:r w:rsidRPr="007A340E">
        <w:rPr>
          <w:rFonts w:hint="eastAsia"/>
          <w:b/>
          <w:bCs/>
          <w:rtl/>
        </w:rPr>
        <w:t>الكتب</w:t>
      </w:r>
      <w:r w:rsidRPr="007A340E">
        <w:rPr>
          <w:b/>
          <w:bCs/>
          <w:rtl/>
        </w:rPr>
        <w:t xml:space="preserve"> </w:t>
      </w:r>
      <w:r w:rsidRPr="007A340E">
        <w:rPr>
          <w:rFonts w:hint="eastAsia"/>
          <w:b/>
          <w:bCs/>
          <w:rtl/>
        </w:rPr>
        <w:t>العربية</w:t>
      </w:r>
      <w:r w:rsidRPr="00DF7274">
        <w:rPr>
          <w:rFonts w:ascii="Helvetica" w:hAnsi="Helvetica" w:cs="Abz-1 (Lotus)"/>
          <w:b/>
          <w:bCs/>
          <w:sz w:val="32"/>
          <w:szCs w:val="32"/>
          <w:rtl/>
        </w:rPr>
        <w:t>‏</w:t>
      </w:r>
    </w:p>
    <w:p w:rsidR="00EA09EB" w:rsidRPr="00BB1703" w:rsidRDefault="00EA09EB" w:rsidP="007A340E">
      <w:pPr>
        <w:autoSpaceDE w:val="0"/>
        <w:autoSpaceDN w:val="0"/>
        <w:adjustRightInd w:val="0"/>
        <w:ind w:firstLine="283"/>
        <w:rPr>
          <w:rFonts w:ascii="CourierNewPSMT" w:hAnsi="CourierNewPSMT" w:cs="Abz-1 (Lotus)"/>
          <w:sz w:val="32"/>
          <w:szCs w:val="32"/>
        </w:rPr>
      </w:pPr>
      <w:r w:rsidRPr="00BB1703">
        <w:rPr>
          <w:rFonts w:ascii="Helvetica" w:hAnsi="Helvetica" w:cs="Abz-1 (Lotus)"/>
          <w:sz w:val="32"/>
          <w:szCs w:val="32"/>
          <w:rtl/>
        </w:rPr>
        <w:t xml:space="preserve"> </w:t>
      </w:r>
    </w:p>
    <w:p w:rsidR="00EA09EB" w:rsidRPr="00B5080E" w:rsidRDefault="00EA09EB" w:rsidP="00B5080E">
      <w:r w:rsidRPr="00B5080E">
        <w:rPr>
          <w:rFonts w:hint="cs"/>
          <w:rtl/>
        </w:rPr>
        <w:t xml:space="preserve">ـ </w:t>
      </w:r>
      <w:r w:rsidRPr="00B5080E">
        <w:rPr>
          <w:rFonts w:hint="eastAsia"/>
          <w:rtl/>
        </w:rPr>
        <w:t>قرآن</w:t>
      </w:r>
      <w:r w:rsidRPr="00B5080E">
        <w:rPr>
          <w:rtl/>
        </w:rPr>
        <w:t xml:space="preserve"> </w:t>
      </w:r>
      <w:r w:rsidRPr="00B5080E">
        <w:rPr>
          <w:rFonts w:hint="eastAsia"/>
          <w:rtl/>
        </w:rPr>
        <w:t>كريم</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محمّد</w:t>
      </w:r>
      <w:r w:rsidRPr="00B5080E">
        <w:rPr>
          <w:rtl/>
        </w:rPr>
        <w:t xml:space="preserve"> </w:t>
      </w:r>
      <w:r w:rsidRPr="00B5080E">
        <w:rPr>
          <w:rFonts w:hint="eastAsia"/>
          <w:rtl/>
        </w:rPr>
        <w:t>آل</w:t>
      </w:r>
      <w:r w:rsidRPr="00B5080E">
        <w:rPr>
          <w:rtl/>
        </w:rPr>
        <w:t xml:space="preserve"> </w:t>
      </w:r>
      <w:r w:rsidRPr="00B5080E">
        <w:rPr>
          <w:rFonts w:hint="eastAsia"/>
          <w:rtl/>
        </w:rPr>
        <w:t>بحرالعلوم،</w:t>
      </w:r>
      <w:r w:rsidRPr="00B5080E">
        <w:rPr>
          <w:rtl/>
        </w:rPr>
        <w:t xml:space="preserve"> </w:t>
      </w:r>
      <w:r w:rsidRPr="00B5080E">
        <w:rPr>
          <w:rFonts w:hint="eastAsia"/>
          <w:rtl/>
        </w:rPr>
        <w:t>بلغة</w:t>
      </w:r>
      <w:r w:rsidRPr="00B5080E">
        <w:rPr>
          <w:rFonts w:hint="cs"/>
          <w:rtl/>
        </w:rPr>
        <w:t xml:space="preserve"> </w:t>
      </w:r>
      <w:r w:rsidRPr="00B5080E">
        <w:rPr>
          <w:rFonts w:hint="eastAsia"/>
          <w:rtl/>
        </w:rPr>
        <w:t>الفقيه،</w:t>
      </w:r>
      <w:r w:rsidRPr="00B5080E">
        <w:rPr>
          <w:rtl/>
        </w:rPr>
        <w:t xml:space="preserve"> </w:t>
      </w:r>
      <w:r w:rsidRPr="00B5080E">
        <w:rPr>
          <w:rFonts w:hint="eastAsia"/>
          <w:rtl/>
        </w:rPr>
        <w:t>رسالة</w:t>
      </w:r>
      <w:r w:rsidRPr="00B5080E">
        <w:rPr>
          <w:rtl/>
        </w:rPr>
        <w:t xml:space="preserve"> </w:t>
      </w:r>
      <w:r w:rsidRPr="00B5080E">
        <w:rPr>
          <w:rFonts w:hint="eastAsia"/>
          <w:rtl/>
        </w:rPr>
        <w:t>ف</w:t>
      </w:r>
      <w:r w:rsidRPr="00B5080E">
        <w:rPr>
          <w:rFonts w:hint="cs"/>
          <w:rtl/>
        </w:rPr>
        <w:t>ي</w:t>
      </w:r>
      <w:r w:rsidRPr="00B5080E">
        <w:rPr>
          <w:rtl/>
        </w:rPr>
        <w:t>‏</w:t>
      </w:r>
      <w:r w:rsidRPr="00B5080E">
        <w:rPr>
          <w:rFonts w:hint="eastAsia"/>
          <w:rtl/>
        </w:rPr>
        <w:t>الولايات،</w:t>
      </w:r>
      <w:r w:rsidRPr="00B5080E">
        <w:rPr>
          <w:rtl/>
        </w:rPr>
        <w:t xml:space="preserve"> (</w:t>
      </w:r>
      <w:r w:rsidRPr="00B5080E">
        <w:rPr>
          <w:rFonts w:hint="eastAsia"/>
          <w:rtl/>
        </w:rPr>
        <w:t>طهران،</w:t>
      </w:r>
      <w:r w:rsidRPr="00B5080E">
        <w:rPr>
          <w:rtl/>
        </w:rPr>
        <w:t xml:space="preserve"> 1403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حسين</w:t>
      </w:r>
      <w:r w:rsidRPr="00B5080E">
        <w:rPr>
          <w:rtl/>
        </w:rPr>
        <w:t xml:space="preserve"> </w:t>
      </w:r>
      <w:r w:rsidRPr="00B5080E">
        <w:rPr>
          <w:rFonts w:hint="eastAsia"/>
          <w:rtl/>
        </w:rPr>
        <w:t>آل</w:t>
      </w:r>
      <w:r w:rsidRPr="00B5080E">
        <w:rPr>
          <w:rtl/>
        </w:rPr>
        <w:t xml:space="preserve"> </w:t>
      </w:r>
      <w:r w:rsidRPr="00B5080E">
        <w:rPr>
          <w:rFonts w:hint="eastAsia"/>
          <w:rtl/>
        </w:rPr>
        <w:t>كاشف</w:t>
      </w:r>
      <w:r w:rsidRPr="00B5080E">
        <w:rPr>
          <w:rFonts w:hint="cs"/>
          <w:rtl/>
        </w:rPr>
        <w:t xml:space="preserve"> </w:t>
      </w:r>
      <w:r w:rsidRPr="00B5080E">
        <w:rPr>
          <w:rtl/>
        </w:rPr>
        <w:t>‏</w:t>
      </w:r>
      <w:r w:rsidRPr="00B5080E">
        <w:rPr>
          <w:rFonts w:hint="eastAsia"/>
          <w:rtl/>
        </w:rPr>
        <w:t>الغطاء،</w:t>
      </w:r>
      <w:r w:rsidRPr="00B5080E">
        <w:rPr>
          <w:rtl/>
        </w:rPr>
        <w:t xml:space="preserve"> </w:t>
      </w:r>
      <w:r w:rsidRPr="00B5080E">
        <w:rPr>
          <w:rFonts w:hint="eastAsia"/>
          <w:rtl/>
        </w:rPr>
        <w:t>الفردوس</w:t>
      </w:r>
      <w:r w:rsidRPr="00B5080E">
        <w:rPr>
          <w:rtl/>
        </w:rPr>
        <w:t xml:space="preserve"> </w:t>
      </w:r>
      <w:r w:rsidRPr="00B5080E">
        <w:rPr>
          <w:rFonts w:hint="eastAsia"/>
          <w:rtl/>
        </w:rPr>
        <w:t>ال</w:t>
      </w:r>
      <w:r w:rsidRPr="00B5080E">
        <w:rPr>
          <w:rFonts w:hint="cs"/>
          <w:rtl/>
        </w:rPr>
        <w:t>أ</w:t>
      </w:r>
      <w:r w:rsidRPr="00B5080E">
        <w:rPr>
          <w:rFonts w:hint="eastAsia"/>
          <w:rtl/>
        </w:rPr>
        <w:t>على،</w:t>
      </w:r>
      <w:r w:rsidRPr="00B5080E">
        <w:rPr>
          <w:rtl/>
        </w:rPr>
        <w:t xml:space="preserve"> </w:t>
      </w:r>
      <w:r w:rsidRPr="00B5080E">
        <w:rPr>
          <w:rFonts w:hint="eastAsia"/>
          <w:rtl/>
        </w:rPr>
        <w:t>الطبعة</w:t>
      </w:r>
      <w:r w:rsidRPr="00B5080E">
        <w:rPr>
          <w:rtl/>
        </w:rPr>
        <w:t xml:space="preserve"> </w:t>
      </w:r>
      <w:r w:rsidRPr="00B5080E">
        <w:rPr>
          <w:rFonts w:hint="eastAsia"/>
          <w:rtl/>
        </w:rPr>
        <w:t>الثالثة،</w:t>
      </w:r>
      <w:r w:rsidRPr="00B5080E">
        <w:rPr>
          <w:rtl/>
        </w:rPr>
        <w:t xml:space="preserve"> (</w:t>
      </w:r>
      <w:r w:rsidRPr="00B5080E">
        <w:rPr>
          <w:rFonts w:hint="eastAsia"/>
          <w:rtl/>
        </w:rPr>
        <w:t>قم،</w:t>
      </w:r>
      <w:r w:rsidRPr="00B5080E">
        <w:rPr>
          <w:rtl/>
        </w:rPr>
        <w:t xml:space="preserve"> 1402).</w:t>
      </w:r>
    </w:p>
    <w:p w:rsidR="00EA09EB" w:rsidRPr="00B5080E" w:rsidRDefault="00EA09EB" w:rsidP="00B5080E">
      <w:r w:rsidRPr="00B5080E">
        <w:rPr>
          <w:rFonts w:hint="cs"/>
          <w:rtl/>
        </w:rPr>
        <w:t xml:space="preserve">ـ </w:t>
      </w:r>
      <w:r w:rsidRPr="00B5080E">
        <w:rPr>
          <w:rFonts w:hint="eastAsia"/>
          <w:rtl/>
        </w:rPr>
        <w:t>عبدالواحد</w:t>
      </w:r>
      <w:r w:rsidRPr="00B5080E">
        <w:rPr>
          <w:rFonts w:hint="cs"/>
          <w:rtl/>
        </w:rPr>
        <w:t xml:space="preserve"> </w:t>
      </w:r>
      <w:r w:rsidRPr="00B5080E">
        <w:rPr>
          <w:rFonts w:hint="eastAsia"/>
          <w:rtl/>
        </w:rPr>
        <w:t>بن</w:t>
      </w:r>
      <w:r w:rsidRPr="00B5080E">
        <w:rPr>
          <w:rtl/>
        </w:rPr>
        <w:t xml:space="preserve"> </w:t>
      </w:r>
      <w:r w:rsidRPr="00B5080E">
        <w:rPr>
          <w:rFonts w:hint="eastAsia"/>
          <w:rtl/>
        </w:rPr>
        <w:t>محمّد</w:t>
      </w:r>
      <w:r w:rsidRPr="00B5080E">
        <w:rPr>
          <w:rtl/>
        </w:rPr>
        <w:t xml:space="preserve"> </w:t>
      </w:r>
      <w:r w:rsidRPr="00B5080E">
        <w:rPr>
          <w:rFonts w:hint="eastAsia"/>
          <w:rtl/>
        </w:rPr>
        <w:t>تميمى</w:t>
      </w:r>
      <w:r w:rsidRPr="00B5080E">
        <w:rPr>
          <w:rtl/>
        </w:rPr>
        <w:t xml:space="preserve"> </w:t>
      </w:r>
      <w:r w:rsidRPr="00B5080E">
        <w:rPr>
          <w:rFonts w:hint="eastAsia"/>
          <w:rtl/>
        </w:rPr>
        <w:t>الآمدي،</w:t>
      </w:r>
      <w:r w:rsidRPr="00B5080E">
        <w:rPr>
          <w:rtl/>
        </w:rPr>
        <w:t xml:space="preserve"> </w:t>
      </w:r>
      <w:r w:rsidRPr="00B5080E">
        <w:rPr>
          <w:rFonts w:hint="eastAsia"/>
          <w:rtl/>
        </w:rPr>
        <w:t>غرر</w:t>
      </w:r>
      <w:r w:rsidRPr="00B5080E">
        <w:rPr>
          <w:rtl/>
        </w:rPr>
        <w:t xml:space="preserve"> </w:t>
      </w:r>
      <w:r w:rsidRPr="00B5080E">
        <w:rPr>
          <w:rFonts w:hint="eastAsia"/>
          <w:rtl/>
        </w:rPr>
        <w:t>الحكم</w:t>
      </w:r>
      <w:r w:rsidRPr="00B5080E">
        <w:rPr>
          <w:rtl/>
        </w:rPr>
        <w:t xml:space="preserve"> </w:t>
      </w:r>
      <w:r w:rsidRPr="00B5080E">
        <w:rPr>
          <w:rFonts w:hint="eastAsia"/>
          <w:rtl/>
        </w:rPr>
        <w:t>ودرر</w:t>
      </w:r>
      <w:r w:rsidRPr="00B5080E">
        <w:rPr>
          <w:rtl/>
        </w:rPr>
        <w:t xml:space="preserve"> </w:t>
      </w:r>
      <w:r w:rsidRPr="00B5080E">
        <w:rPr>
          <w:rFonts w:hint="eastAsia"/>
          <w:rtl/>
        </w:rPr>
        <w:t>الكلم</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حيدر</w:t>
      </w:r>
      <w:r w:rsidRPr="00B5080E">
        <w:rPr>
          <w:rtl/>
        </w:rPr>
        <w:t xml:space="preserve"> </w:t>
      </w:r>
      <w:r w:rsidRPr="00B5080E">
        <w:rPr>
          <w:rFonts w:hint="eastAsia"/>
          <w:rtl/>
        </w:rPr>
        <w:t>الآمل</w:t>
      </w:r>
      <w:r w:rsidRPr="00B5080E">
        <w:rPr>
          <w:rFonts w:hint="cs"/>
          <w:rtl/>
        </w:rPr>
        <w:t>ي</w:t>
      </w:r>
      <w:r w:rsidRPr="00B5080E">
        <w:rPr>
          <w:rFonts w:hint="eastAsia"/>
          <w:rtl/>
        </w:rPr>
        <w:t>،</w:t>
      </w:r>
      <w:r w:rsidRPr="00B5080E">
        <w:rPr>
          <w:rtl/>
        </w:rPr>
        <w:t xml:space="preserve"> </w:t>
      </w:r>
      <w:r w:rsidRPr="00B5080E">
        <w:rPr>
          <w:rFonts w:hint="eastAsia"/>
          <w:rtl/>
        </w:rPr>
        <w:t>نص</w:t>
      </w:r>
      <w:r w:rsidRPr="00B5080E">
        <w:rPr>
          <w:rFonts w:hint="cs"/>
          <w:rtl/>
        </w:rPr>
        <w:t xml:space="preserve"> </w:t>
      </w:r>
      <w:r w:rsidRPr="00B5080E">
        <w:rPr>
          <w:rtl/>
        </w:rPr>
        <w:t>‏</w:t>
      </w:r>
      <w:r w:rsidRPr="00B5080E">
        <w:rPr>
          <w:rFonts w:hint="eastAsia"/>
          <w:rtl/>
        </w:rPr>
        <w:t>النصوص</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فصوص</w:t>
      </w:r>
      <w:r w:rsidRPr="00B5080E">
        <w:rPr>
          <w:rFonts w:hint="cs"/>
          <w:rtl/>
        </w:rPr>
        <w:t xml:space="preserve"> </w:t>
      </w:r>
      <w:r w:rsidRPr="00B5080E">
        <w:rPr>
          <w:rtl/>
        </w:rPr>
        <w:t>‏</w:t>
      </w:r>
      <w:r w:rsidRPr="00B5080E">
        <w:rPr>
          <w:rFonts w:hint="eastAsia"/>
          <w:rtl/>
        </w:rPr>
        <w:t>الحكم،</w:t>
      </w:r>
      <w:r w:rsidRPr="00B5080E">
        <w:rPr>
          <w:rtl/>
        </w:rPr>
        <w:t xml:space="preserve"> </w:t>
      </w:r>
      <w:r w:rsidRPr="00B5080E">
        <w:rPr>
          <w:rFonts w:hint="eastAsia"/>
          <w:rtl/>
        </w:rPr>
        <w:t>المجلد</w:t>
      </w:r>
      <w:r w:rsidRPr="00B5080E">
        <w:rPr>
          <w:rtl/>
        </w:rPr>
        <w:t xml:space="preserve"> </w:t>
      </w:r>
      <w:r w:rsidRPr="00B5080E">
        <w:rPr>
          <w:rFonts w:hint="eastAsia"/>
          <w:rtl/>
        </w:rPr>
        <w:t>الأول</w:t>
      </w:r>
      <w:r w:rsidRPr="00B5080E">
        <w:rPr>
          <w:rtl/>
        </w:rPr>
        <w:t xml:space="preserve">: </w:t>
      </w:r>
      <w:r w:rsidRPr="00B5080E">
        <w:rPr>
          <w:rFonts w:hint="eastAsia"/>
          <w:rtl/>
        </w:rPr>
        <w:t>المقدمات،</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هنرى</w:t>
      </w:r>
      <w:r w:rsidRPr="00B5080E">
        <w:rPr>
          <w:rtl/>
        </w:rPr>
        <w:t xml:space="preserve"> </w:t>
      </w:r>
      <w:r w:rsidRPr="00B5080E">
        <w:rPr>
          <w:rFonts w:hint="eastAsia"/>
          <w:rtl/>
        </w:rPr>
        <w:t>ك</w:t>
      </w:r>
      <w:r w:rsidRPr="00B5080E">
        <w:rPr>
          <w:rFonts w:hint="cs"/>
          <w:rtl/>
        </w:rPr>
        <w:t>و</w:t>
      </w:r>
      <w:r w:rsidRPr="00B5080E">
        <w:rPr>
          <w:rFonts w:hint="eastAsia"/>
          <w:rtl/>
        </w:rPr>
        <w:t>رب</w:t>
      </w:r>
      <w:r w:rsidRPr="00B5080E">
        <w:rPr>
          <w:rFonts w:hint="cs"/>
          <w:rtl/>
        </w:rPr>
        <w:t>ا</w:t>
      </w:r>
      <w:r w:rsidRPr="00B5080E">
        <w:rPr>
          <w:rFonts w:hint="eastAsia"/>
          <w:rtl/>
        </w:rPr>
        <w:t>ن</w:t>
      </w:r>
      <w:r w:rsidRPr="00B5080E">
        <w:rPr>
          <w:rtl/>
        </w:rPr>
        <w:t xml:space="preserve"> </w:t>
      </w:r>
      <w:r w:rsidRPr="00B5080E">
        <w:rPr>
          <w:rFonts w:hint="eastAsia"/>
          <w:rtl/>
        </w:rPr>
        <w:t>وعثمان</w:t>
      </w:r>
      <w:r w:rsidRPr="00B5080E">
        <w:rPr>
          <w:rtl/>
        </w:rPr>
        <w:t xml:space="preserve"> </w:t>
      </w:r>
      <w:r w:rsidRPr="00B5080E">
        <w:rPr>
          <w:rFonts w:hint="cs"/>
          <w:rtl/>
        </w:rPr>
        <w:t>إ</w:t>
      </w:r>
      <w:r w:rsidRPr="00B5080E">
        <w:rPr>
          <w:rFonts w:hint="eastAsia"/>
          <w:rtl/>
        </w:rPr>
        <w:t>سماعيل</w:t>
      </w:r>
      <w:r w:rsidRPr="00B5080E">
        <w:rPr>
          <w:rtl/>
        </w:rPr>
        <w:t xml:space="preserve"> </w:t>
      </w:r>
      <w:r w:rsidRPr="00B5080E">
        <w:rPr>
          <w:rFonts w:hint="eastAsia"/>
          <w:rtl/>
        </w:rPr>
        <w:t>يحيى،</w:t>
      </w:r>
      <w:r w:rsidRPr="00B5080E">
        <w:rPr>
          <w:rtl/>
        </w:rPr>
        <w:t xml:space="preserve"> </w:t>
      </w:r>
      <w:r w:rsidRPr="00B5080E">
        <w:rPr>
          <w:rFonts w:hint="eastAsia"/>
          <w:rtl/>
        </w:rPr>
        <w:t>الطبعة</w:t>
      </w:r>
      <w:r w:rsidRPr="00B5080E">
        <w:rPr>
          <w:rtl/>
        </w:rPr>
        <w:t xml:space="preserve"> </w:t>
      </w:r>
      <w:r w:rsidRPr="00B5080E">
        <w:rPr>
          <w:rFonts w:hint="eastAsia"/>
          <w:rtl/>
        </w:rPr>
        <w:t>الثالثة،</w:t>
      </w:r>
      <w:r w:rsidRPr="00B5080E">
        <w:rPr>
          <w:rtl/>
        </w:rPr>
        <w:t xml:space="preserve"> (</w:t>
      </w:r>
      <w:r w:rsidRPr="00B5080E">
        <w:rPr>
          <w:rFonts w:hint="eastAsia"/>
          <w:rtl/>
        </w:rPr>
        <w:t>طهران</w:t>
      </w:r>
      <w:r w:rsidRPr="00B5080E">
        <w:rPr>
          <w:rFonts w:hint="cs"/>
          <w:rtl/>
        </w:rPr>
        <w:t>،</w:t>
      </w:r>
      <w:r w:rsidRPr="00B5080E">
        <w:rPr>
          <w:rtl/>
        </w:rPr>
        <w:t xml:space="preserve"> 1367</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تق</w:t>
      </w:r>
      <w:r w:rsidRPr="00B5080E">
        <w:rPr>
          <w:rFonts w:hint="cs"/>
          <w:rtl/>
        </w:rPr>
        <w:t>ي</w:t>
      </w:r>
      <w:r w:rsidRPr="00B5080E">
        <w:rPr>
          <w:rtl/>
        </w:rPr>
        <w:t xml:space="preserve"> </w:t>
      </w:r>
      <w:r w:rsidRPr="00B5080E">
        <w:rPr>
          <w:rFonts w:hint="eastAsia"/>
          <w:rtl/>
        </w:rPr>
        <w:t>الآمل</w:t>
      </w:r>
      <w:r w:rsidRPr="00B5080E">
        <w:rPr>
          <w:rFonts w:hint="cs"/>
          <w:rtl/>
        </w:rPr>
        <w:t>ي</w:t>
      </w:r>
      <w:r w:rsidRPr="00B5080E">
        <w:rPr>
          <w:rFonts w:hint="eastAsia"/>
          <w:rtl/>
        </w:rPr>
        <w:t>،</w:t>
      </w:r>
      <w:r w:rsidRPr="00B5080E">
        <w:rPr>
          <w:rtl/>
        </w:rPr>
        <w:t xml:space="preserve"> </w:t>
      </w:r>
      <w:r w:rsidRPr="00B5080E">
        <w:rPr>
          <w:rFonts w:hint="eastAsia"/>
          <w:rtl/>
        </w:rPr>
        <w:t>المكاسب</w:t>
      </w:r>
      <w:r w:rsidRPr="00B5080E">
        <w:rPr>
          <w:rtl/>
        </w:rPr>
        <w:t xml:space="preserve"> </w:t>
      </w:r>
      <w:r w:rsidRPr="00B5080E">
        <w:rPr>
          <w:rFonts w:hint="eastAsia"/>
          <w:rtl/>
        </w:rPr>
        <w:t>والبيع</w:t>
      </w:r>
      <w:r w:rsidRPr="00B5080E">
        <w:rPr>
          <w:rtl/>
        </w:rPr>
        <w:t xml:space="preserve"> (</w:t>
      </w:r>
      <w:r w:rsidRPr="00B5080E">
        <w:rPr>
          <w:rFonts w:hint="eastAsia"/>
          <w:rtl/>
        </w:rPr>
        <w:t>تعليقة</w:t>
      </w:r>
      <w:r w:rsidRPr="00B5080E">
        <w:rPr>
          <w:rtl/>
        </w:rPr>
        <w:t xml:space="preserve"> </w:t>
      </w:r>
      <w:r w:rsidRPr="00B5080E">
        <w:rPr>
          <w:rFonts w:hint="eastAsia"/>
          <w:rtl/>
        </w:rPr>
        <w:t>على</w:t>
      </w:r>
      <w:r w:rsidRPr="00B5080E">
        <w:rPr>
          <w:rtl/>
        </w:rPr>
        <w:t xml:space="preserve"> </w:t>
      </w:r>
      <w:r w:rsidRPr="00B5080E">
        <w:rPr>
          <w:rFonts w:hint="eastAsia"/>
          <w:rtl/>
        </w:rPr>
        <w:t>مكاسب</w:t>
      </w:r>
      <w:r w:rsidRPr="00B5080E">
        <w:rPr>
          <w:rtl/>
        </w:rPr>
        <w:t xml:space="preserve"> </w:t>
      </w:r>
      <w:r w:rsidRPr="00B5080E">
        <w:rPr>
          <w:rFonts w:hint="eastAsia"/>
          <w:rtl/>
        </w:rPr>
        <w:t>الشيخ</w:t>
      </w:r>
      <w:r w:rsidRPr="00B5080E">
        <w:rPr>
          <w:rtl/>
        </w:rPr>
        <w:t xml:space="preserve"> </w:t>
      </w:r>
      <w:r w:rsidRPr="00B5080E">
        <w:rPr>
          <w:rFonts w:hint="eastAsia"/>
          <w:rtl/>
        </w:rPr>
        <w:t>الأنصاري</w:t>
      </w:r>
      <w:r w:rsidRPr="00B5080E">
        <w:rPr>
          <w:rtl/>
        </w:rPr>
        <w:t>)</w:t>
      </w:r>
      <w:r w:rsidRPr="00B5080E">
        <w:rPr>
          <w:rFonts w:hint="cs"/>
          <w:rtl/>
        </w:rPr>
        <w:t>،</w:t>
      </w:r>
      <w:r w:rsidRPr="00B5080E">
        <w:rPr>
          <w:rtl/>
        </w:rPr>
        <w:t xml:space="preserve">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الميرزا</w:t>
      </w:r>
      <w:r w:rsidRPr="00B5080E">
        <w:rPr>
          <w:rtl/>
        </w:rPr>
        <w:t xml:space="preserve"> </w:t>
      </w:r>
      <w:r w:rsidRPr="00B5080E">
        <w:rPr>
          <w:rFonts w:hint="eastAsia"/>
          <w:rtl/>
        </w:rPr>
        <w:t>محمّد</w:t>
      </w:r>
      <w:r w:rsidRPr="00B5080E">
        <w:rPr>
          <w:rFonts w:hint="cs"/>
          <w:rtl/>
        </w:rPr>
        <w:t xml:space="preserve"> </w:t>
      </w:r>
      <w:r w:rsidRPr="00B5080E">
        <w:rPr>
          <w:rFonts w:hint="eastAsia"/>
          <w:rtl/>
        </w:rPr>
        <w:t>حسين</w:t>
      </w:r>
      <w:r w:rsidRPr="00B5080E">
        <w:rPr>
          <w:rtl/>
        </w:rPr>
        <w:t xml:space="preserve"> </w:t>
      </w:r>
      <w:r w:rsidRPr="00B5080E">
        <w:rPr>
          <w:rFonts w:hint="eastAsia"/>
          <w:rtl/>
        </w:rPr>
        <w:t>الغروي</w:t>
      </w:r>
      <w:r w:rsidRPr="00B5080E">
        <w:rPr>
          <w:rtl/>
        </w:rPr>
        <w:t xml:space="preserve"> </w:t>
      </w:r>
      <w:r w:rsidRPr="00B5080E">
        <w:rPr>
          <w:rFonts w:hint="eastAsia"/>
          <w:rtl/>
        </w:rPr>
        <w:t>النائيني،</w:t>
      </w:r>
      <w:r w:rsidRPr="00B5080E">
        <w:rPr>
          <w:rtl/>
        </w:rPr>
        <w:t xml:space="preserve"> (</w:t>
      </w:r>
      <w:r w:rsidRPr="00B5080E">
        <w:rPr>
          <w:rFonts w:hint="eastAsia"/>
          <w:rtl/>
        </w:rPr>
        <w:t>طهران،</w:t>
      </w:r>
      <w:r w:rsidRPr="00B5080E">
        <w:rPr>
          <w:rtl/>
        </w:rPr>
        <w:t xml:space="preserve"> 1372</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ابن</w:t>
      </w:r>
      <w:r w:rsidRPr="00B5080E">
        <w:rPr>
          <w:rtl/>
        </w:rPr>
        <w:t xml:space="preserve"> </w:t>
      </w:r>
      <w:r w:rsidRPr="00B5080E">
        <w:rPr>
          <w:rFonts w:hint="cs"/>
          <w:rtl/>
        </w:rPr>
        <w:t>أ</w:t>
      </w:r>
      <w:r w:rsidRPr="00B5080E">
        <w:rPr>
          <w:rFonts w:hint="eastAsia"/>
          <w:rtl/>
        </w:rPr>
        <w:t>ب</w:t>
      </w:r>
      <w:r w:rsidRPr="00B5080E">
        <w:rPr>
          <w:rFonts w:hint="cs"/>
          <w:rtl/>
        </w:rPr>
        <w:t>ي</w:t>
      </w:r>
      <w:r w:rsidRPr="00B5080E">
        <w:rPr>
          <w:rtl/>
        </w:rPr>
        <w:t xml:space="preserve"> </w:t>
      </w:r>
      <w:r w:rsidRPr="00B5080E">
        <w:rPr>
          <w:rFonts w:hint="eastAsia"/>
          <w:rtl/>
        </w:rPr>
        <w:t>جمهور</w:t>
      </w:r>
      <w:r w:rsidRPr="00B5080E">
        <w:rPr>
          <w:rtl/>
        </w:rPr>
        <w:t xml:space="preserve"> </w:t>
      </w:r>
      <w:r w:rsidRPr="00B5080E">
        <w:rPr>
          <w:rFonts w:hint="eastAsia"/>
          <w:rtl/>
        </w:rPr>
        <w:t>الأحسائي،</w:t>
      </w:r>
      <w:r w:rsidRPr="00B5080E">
        <w:rPr>
          <w:rtl/>
        </w:rPr>
        <w:t xml:space="preserve"> </w:t>
      </w:r>
      <w:r w:rsidRPr="00B5080E">
        <w:rPr>
          <w:rFonts w:hint="eastAsia"/>
          <w:rtl/>
        </w:rPr>
        <w:t>عوال</w:t>
      </w:r>
      <w:r w:rsidRPr="00B5080E">
        <w:rPr>
          <w:rFonts w:hint="cs"/>
          <w:rtl/>
        </w:rPr>
        <w:t>ي</w:t>
      </w:r>
      <w:r w:rsidRPr="00B5080E">
        <w:rPr>
          <w:rtl/>
        </w:rPr>
        <w:t xml:space="preserve"> </w:t>
      </w:r>
      <w:r w:rsidRPr="00B5080E">
        <w:rPr>
          <w:rFonts w:hint="eastAsia"/>
          <w:rtl/>
        </w:rPr>
        <w:t>ال</w:t>
      </w:r>
      <w:r w:rsidRPr="00B5080E">
        <w:rPr>
          <w:rFonts w:hint="cs"/>
          <w:rtl/>
        </w:rPr>
        <w:t>لآلي</w:t>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الشيخ</w:t>
      </w:r>
      <w:r w:rsidRPr="00B5080E">
        <w:rPr>
          <w:rtl/>
        </w:rPr>
        <w:t xml:space="preserve"> </w:t>
      </w:r>
      <w:r w:rsidRPr="00B5080E">
        <w:rPr>
          <w:rFonts w:hint="eastAsia"/>
          <w:rtl/>
        </w:rPr>
        <w:t>مجتبى</w:t>
      </w:r>
      <w:r w:rsidRPr="00B5080E">
        <w:rPr>
          <w:rtl/>
        </w:rPr>
        <w:t xml:space="preserve"> </w:t>
      </w:r>
      <w:r w:rsidRPr="00B5080E">
        <w:rPr>
          <w:rFonts w:hint="eastAsia"/>
          <w:rtl/>
        </w:rPr>
        <w:t>العراقي،</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ابن</w:t>
      </w:r>
      <w:r w:rsidRPr="00B5080E">
        <w:rPr>
          <w:rtl/>
        </w:rPr>
        <w:t xml:space="preserve"> </w:t>
      </w:r>
      <w:r w:rsidRPr="00B5080E">
        <w:rPr>
          <w:rFonts w:hint="eastAsia"/>
          <w:rtl/>
        </w:rPr>
        <w:t>سينا</w:t>
      </w:r>
      <w:r w:rsidRPr="00B5080E">
        <w:rPr>
          <w:rtl/>
        </w:rPr>
        <w:t xml:space="preserve"> (</w:t>
      </w:r>
      <w:r w:rsidRPr="00B5080E">
        <w:rPr>
          <w:rFonts w:hint="eastAsia"/>
          <w:rtl/>
        </w:rPr>
        <w:t>حسين</w:t>
      </w:r>
      <w:r w:rsidRPr="00B5080E">
        <w:rPr>
          <w:rtl/>
        </w:rPr>
        <w:t xml:space="preserve"> </w:t>
      </w:r>
      <w:r w:rsidRPr="00B5080E">
        <w:rPr>
          <w:rFonts w:hint="eastAsia"/>
          <w:rtl/>
        </w:rPr>
        <w:t>بن</w:t>
      </w:r>
      <w:r w:rsidRPr="00B5080E">
        <w:rPr>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w:t>
      </w:r>
      <w:r w:rsidRPr="00B5080E">
        <w:rPr>
          <w:rFonts w:hint="eastAsia"/>
          <w:rtl/>
        </w:rPr>
        <w:t>،</w:t>
      </w:r>
      <w:r w:rsidRPr="00B5080E">
        <w:rPr>
          <w:rtl/>
        </w:rPr>
        <w:t xml:space="preserve"> </w:t>
      </w:r>
      <w:r w:rsidRPr="00B5080E">
        <w:rPr>
          <w:rFonts w:hint="eastAsia"/>
          <w:rtl/>
        </w:rPr>
        <w:t>الشفاء،</w:t>
      </w:r>
      <w:r w:rsidRPr="00B5080E">
        <w:rPr>
          <w:rtl/>
        </w:rPr>
        <w:t xml:space="preserve"> </w:t>
      </w:r>
      <w:r w:rsidRPr="00B5080E">
        <w:rPr>
          <w:rFonts w:hint="eastAsia"/>
          <w:rtl/>
        </w:rPr>
        <w:t>البرهان،</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العلا</w:t>
      </w:r>
      <w:r w:rsidRPr="00B5080E">
        <w:rPr>
          <w:rtl/>
        </w:rPr>
        <w:t xml:space="preserve"> </w:t>
      </w:r>
      <w:r w:rsidRPr="00B5080E">
        <w:rPr>
          <w:rFonts w:hint="eastAsia"/>
          <w:rtl/>
        </w:rPr>
        <w:t>عفيف</w:t>
      </w:r>
      <w:r w:rsidRPr="00B5080E">
        <w:rPr>
          <w:rFonts w:hint="cs"/>
          <w:rtl/>
        </w:rPr>
        <w:t>ي</w:t>
      </w:r>
      <w:r w:rsidRPr="00B5080E">
        <w:rPr>
          <w:rFonts w:hint="eastAsia"/>
          <w:rtl/>
        </w:rPr>
        <w:t>،</w:t>
      </w:r>
      <w:r w:rsidRPr="00B5080E">
        <w:rPr>
          <w:rtl/>
        </w:rPr>
        <w:t xml:space="preserve"> (</w:t>
      </w:r>
      <w:r w:rsidRPr="00B5080E">
        <w:rPr>
          <w:rFonts w:hint="eastAsia"/>
          <w:rtl/>
        </w:rPr>
        <w:t>القاهرة،</w:t>
      </w:r>
      <w:r w:rsidRPr="00B5080E">
        <w:rPr>
          <w:rtl/>
        </w:rPr>
        <w:t xml:space="preserve"> 1375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ابن</w:t>
      </w:r>
      <w:r w:rsidRPr="00B5080E">
        <w:rPr>
          <w:rtl/>
        </w:rPr>
        <w:t xml:space="preserve"> </w:t>
      </w:r>
      <w:r w:rsidRPr="00B5080E">
        <w:rPr>
          <w:rFonts w:hint="eastAsia"/>
          <w:rtl/>
        </w:rPr>
        <w:t>سينا</w:t>
      </w:r>
      <w:r w:rsidRPr="00B5080E">
        <w:rPr>
          <w:rtl/>
        </w:rPr>
        <w:t xml:space="preserve"> (</w:t>
      </w:r>
      <w:r w:rsidRPr="00B5080E">
        <w:rPr>
          <w:rFonts w:hint="eastAsia"/>
          <w:rtl/>
        </w:rPr>
        <w:t>حسين</w:t>
      </w:r>
      <w:r w:rsidRPr="00B5080E">
        <w:rPr>
          <w:rtl/>
        </w:rPr>
        <w:t xml:space="preserve"> </w:t>
      </w:r>
      <w:r w:rsidRPr="00B5080E">
        <w:rPr>
          <w:rFonts w:hint="eastAsia"/>
          <w:rtl/>
        </w:rPr>
        <w:t>بن</w:t>
      </w:r>
      <w:r w:rsidRPr="00B5080E">
        <w:rPr>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w:t>
      </w:r>
      <w:r w:rsidRPr="00B5080E">
        <w:rPr>
          <w:rFonts w:hint="eastAsia"/>
          <w:rtl/>
        </w:rPr>
        <w:t>،</w:t>
      </w:r>
      <w:r w:rsidRPr="00B5080E">
        <w:rPr>
          <w:rtl/>
        </w:rPr>
        <w:t xml:space="preserve"> </w:t>
      </w:r>
      <w:r w:rsidRPr="00B5080E">
        <w:rPr>
          <w:rFonts w:hint="eastAsia"/>
          <w:rtl/>
        </w:rPr>
        <w:t>الشفاء،</w:t>
      </w:r>
      <w:r w:rsidRPr="00B5080E">
        <w:rPr>
          <w:rtl/>
        </w:rPr>
        <w:t xml:space="preserve"> </w:t>
      </w:r>
      <w:r w:rsidRPr="00B5080E">
        <w:rPr>
          <w:rFonts w:hint="eastAsia"/>
          <w:rtl/>
        </w:rPr>
        <w:t>ال</w:t>
      </w:r>
      <w:r w:rsidRPr="00B5080E">
        <w:rPr>
          <w:rFonts w:hint="cs"/>
          <w:rtl/>
        </w:rPr>
        <w:t>إ</w:t>
      </w:r>
      <w:r w:rsidRPr="00B5080E">
        <w:rPr>
          <w:rFonts w:hint="eastAsia"/>
          <w:rtl/>
        </w:rPr>
        <w:t>لهيات،</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قنواتى</w:t>
      </w:r>
      <w:r w:rsidRPr="00B5080E">
        <w:rPr>
          <w:rtl/>
        </w:rPr>
        <w:t xml:space="preserve"> </w:t>
      </w:r>
      <w:r w:rsidRPr="00B5080E">
        <w:rPr>
          <w:rFonts w:hint="eastAsia"/>
          <w:rtl/>
        </w:rPr>
        <w:t>وسعيد</w:t>
      </w:r>
      <w:r w:rsidRPr="00B5080E">
        <w:rPr>
          <w:rtl/>
        </w:rPr>
        <w:t xml:space="preserve"> </w:t>
      </w:r>
      <w:r w:rsidRPr="00B5080E">
        <w:rPr>
          <w:rFonts w:hint="eastAsia"/>
          <w:rtl/>
        </w:rPr>
        <w:t>زائد،</w:t>
      </w:r>
      <w:r w:rsidRPr="00B5080E">
        <w:rPr>
          <w:rtl/>
        </w:rPr>
        <w:t xml:space="preserve"> (</w:t>
      </w:r>
      <w:r w:rsidRPr="00B5080E">
        <w:rPr>
          <w:rFonts w:hint="eastAsia"/>
          <w:rtl/>
        </w:rPr>
        <w:t>القاهرة،</w:t>
      </w:r>
      <w:r w:rsidRPr="00B5080E">
        <w:rPr>
          <w:rtl/>
        </w:rPr>
        <w:t xml:space="preserve"> 1380</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ابن</w:t>
      </w:r>
      <w:r w:rsidRPr="00B5080E">
        <w:rPr>
          <w:rtl/>
        </w:rPr>
        <w:t xml:space="preserve"> </w:t>
      </w:r>
      <w:r w:rsidRPr="00B5080E">
        <w:rPr>
          <w:rFonts w:hint="eastAsia"/>
          <w:rtl/>
        </w:rPr>
        <w:t>رشد</w:t>
      </w:r>
      <w:r w:rsidRPr="00B5080E">
        <w:rPr>
          <w:rtl/>
        </w:rPr>
        <w:t xml:space="preserve"> (</w:t>
      </w:r>
      <w:r w:rsidRPr="00B5080E">
        <w:rPr>
          <w:rFonts w:hint="cs"/>
          <w:rtl/>
        </w:rPr>
        <w:t>أب</w:t>
      </w:r>
      <w:r w:rsidRPr="00B5080E">
        <w:rPr>
          <w:rFonts w:hint="eastAsia"/>
          <w:rtl/>
        </w:rPr>
        <w:t>و</w:t>
      </w:r>
      <w:r w:rsidRPr="00B5080E">
        <w:rPr>
          <w:rFonts w:hint="cs"/>
          <w:rtl/>
        </w:rPr>
        <w:t xml:space="preserve"> </w:t>
      </w:r>
      <w:r w:rsidRPr="00B5080E">
        <w:rPr>
          <w:rFonts w:hint="eastAsia"/>
          <w:rtl/>
        </w:rPr>
        <w:t>الوليد</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أ</w:t>
      </w:r>
      <w:r w:rsidRPr="00B5080E">
        <w:rPr>
          <w:rFonts w:hint="eastAsia"/>
          <w:rtl/>
        </w:rPr>
        <w:t>حمد</w:t>
      </w:r>
      <w:r w:rsidRPr="00B5080E">
        <w:rPr>
          <w:rtl/>
        </w:rPr>
        <w:t>)</w:t>
      </w:r>
      <w:r w:rsidRPr="00B5080E">
        <w:rPr>
          <w:rFonts w:hint="eastAsia"/>
          <w:rtl/>
        </w:rPr>
        <w:t>،</w:t>
      </w:r>
      <w:r w:rsidRPr="00B5080E">
        <w:rPr>
          <w:rtl/>
        </w:rPr>
        <w:t xml:space="preserve"> </w:t>
      </w:r>
      <w:r w:rsidRPr="00B5080E">
        <w:rPr>
          <w:rFonts w:hint="eastAsia"/>
          <w:rtl/>
        </w:rPr>
        <w:t>فصل</w:t>
      </w:r>
      <w:r w:rsidRPr="00B5080E">
        <w:rPr>
          <w:rtl/>
        </w:rPr>
        <w:t xml:space="preserve"> </w:t>
      </w:r>
      <w:r w:rsidRPr="00B5080E">
        <w:rPr>
          <w:rFonts w:hint="eastAsia"/>
          <w:rtl/>
        </w:rPr>
        <w:t>المقال</w:t>
      </w:r>
      <w:r w:rsidRPr="00B5080E">
        <w:rPr>
          <w:rtl/>
        </w:rPr>
        <w:t xml:space="preserve"> </w:t>
      </w:r>
      <w:r w:rsidRPr="00B5080E">
        <w:rPr>
          <w:rFonts w:hint="eastAsia"/>
          <w:rtl/>
        </w:rPr>
        <w:t>وتقرير</w:t>
      </w:r>
      <w:r w:rsidRPr="00B5080E">
        <w:rPr>
          <w:rtl/>
        </w:rPr>
        <w:t xml:space="preserve"> </w:t>
      </w:r>
      <w:r w:rsidRPr="00B5080E">
        <w:rPr>
          <w:rFonts w:hint="eastAsia"/>
          <w:rtl/>
        </w:rPr>
        <w:t>ما</w:t>
      </w:r>
      <w:r w:rsidRPr="00B5080E">
        <w:rPr>
          <w:rtl/>
        </w:rPr>
        <w:t xml:space="preserve"> </w:t>
      </w:r>
      <w:r w:rsidRPr="00B5080E">
        <w:rPr>
          <w:rFonts w:hint="eastAsia"/>
          <w:rtl/>
        </w:rPr>
        <w:t>بين</w:t>
      </w:r>
      <w:r w:rsidRPr="00B5080E">
        <w:rPr>
          <w:rFonts w:hint="cs"/>
          <w:rtl/>
        </w:rPr>
        <w:t xml:space="preserve"> </w:t>
      </w:r>
      <w:r w:rsidRPr="00B5080E">
        <w:rPr>
          <w:rtl/>
        </w:rPr>
        <w:t>‏</w:t>
      </w:r>
      <w:r w:rsidRPr="00B5080E">
        <w:rPr>
          <w:rFonts w:hint="eastAsia"/>
          <w:rtl/>
        </w:rPr>
        <w:t>الشريعة</w:t>
      </w:r>
      <w:r w:rsidRPr="00B5080E">
        <w:rPr>
          <w:rtl/>
        </w:rPr>
        <w:t xml:space="preserve"> </w:t>
      </w:r>
      <w:r w:rsidRPr="00B5080E">
        <w:rPr>
          <w:rFonts w:hint="eastAsia"/>
          <w:rtl/>
        </w:rPr>
        <w:t>والحكمة</w:t>
      </w:r>
      <w:r w:rsidRPr="00B5080E">
        <w:rPr>
          <w:rtl/>
        </w:rPr>
        <w:t xml:space="preserve"> </w:t>
      </w:r>
      <w:r w:rsidRPr="00B5080E">
        <w:rPr>
          <w:rFonts w:hint="eastAsia"/>
          <w:rtl/>
        </w:rPr>
        <w:t>من</w:t>
      </w:r>
      <w:r w:rsidRPr="00B5080E">
        <w:rPr>
          <w:rtl/>
        </w:rPr>
        <w:t xml:space="preserve"> </w:t>
      </w:r>
      <w:r w:rsidRPr="00B5080E">
        <w:rPr>
          <w:rFonts w:hint="eastAsia"/>
          <w:rtl/>
        </w:rPr>
        <w:t>الاتصال،</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البيرنصر</w:t>
      </w:r>
      <w:r w:rsidRPr="00B5080E">
        <w:rPr>
          <w:rFonts w:hint="cs"/>
          <w:rtl/>
        </w:rPr>
        <w:t>ي</w:t>
      </w:r>
      <w:r w:rsidRPr="00B5080E">
        <w:rPr>
          <w:rtl/>
        </w:rPr>
        <w:t xml:space="preserve"> </w:t>
      </w:r>
      <w:r w:rsidRPr="00B5080E">
        <w:rPr>
          <w:rFonts w:hint="eastAsia"/>
          <w:rtl/>
        </w:rPr>
        <w:t>نادر،</w:t>
      </w:r>
      <w:r w:rsidRPr="00B5080E">
        <w:rPr>
          <w:rtl/>
        </w:rPr>
        <w:t xml:space="preserve"> </w:t>
      </w:r>
      <w:r w:rsidRPr="00B5080E">
        <w:rPr>
          <w:rFonts w:hint="eastAsia"/>
          <w:rtl/>
        </w:rPr>
        <w:t>الطبعة</w:t>
      </w:r>
      <w:r w:rsidRPr="00B5080E">
        <w:rPr>
          <w:rtl/>
        </w:rPr>
        <w:t xml:space="preserve"> </w:t>
      </w:r>
      <w:r w:rsidRPr="00B5080E">
        <w:rPr>
          <w:rFonts w:hint="eastAsia"/>
          <w:rtl/>
        </w:rPr>
        <w:t>السادسة،</w:t>
      </w:r>
      <w:r w:rsidRPr="00B5080E">
        <w:rPr>
          <w:rtl/>
        </w:rPr>
        <w:t xml:space="preserve"> (</w:t>
      </w:r>
      <w:r w:rsidRPr="00B5080E">
        <w:rPr>
          <w:rFonts w:hint="eastAsia"/>
          <w:rtl/>
        </w:rPr>
        <w:t>بيروت،</w:t>
      </w:r>
      <w:r w:rsidRPr="00B5080E">
        <w:rPr>
          <w:rtl/>
        </w:rPr>
        <w:t xml:space="preserve"> 1989</w:t>
      </w:r>
      <w:r w:rsidRPr="00B5080E">
        <w:rPr>
          <w:rFonts w:hint="cs"/>
          <w:rtl/>
        </w:rPr>
        <w:t>م</w:t>
      </w:r>
      <w:r w:rsidRPr="00B5080E">
        <w:rPr>
          <w:rtl/>
        </w:rPr>
        <w:t>).</w:t>
      </w:r>
    </w:p>
    <w:p w:rsidR="00EA09EB" w:rsidRPr="00B5080E" w:rsidRDefault="00EA09EB" w:rsidP="00B5080E">
      <w:r w:rsidRPr="00B5080E">
        <w:rPr>
          <w:rFonts w:hint="cs"/>
          <w:rtl/>
        </w:rPr>
        <w:t xml:space="preserve">ـ </w:t>
      </w:r>
      <w:r w:rsidRPr="00B5080E">
        <w:rPr>
          <w:rFonts w:hint="eastAsia"/>
          <w:rtl/>
        </w:rPr>
        <w:t>ابن</w:t>
      </w:r>
      <w:r w:rsidRPr="00B5080E">
        <w:rPr>
          <w:rtl/>
        </w:rPr>
        <w:t xml:space="preserve"> </w:t>
      </w:r>
      <w:r w:rsidRPr="00B5080E">
        <w:rPr>
          <w:rFonts w:hint="eastAsia"/>
          <w:rtl/>
        </w:rPr>
        <w:t>شعبة</w:t>
      </w:r>
      <w:r w:rsidRPr="00B5080E">
        <w:rPr>
          <w:rtl/>
        </w:rPr>
        <w:t xml:space="preserve"> </w:t>
      </w:r>
      <w:r w:rsidRPr="00B5080E">
        <w:rPr>
          <w:rFonts w:hint="eastAsia"/>
          <w:rtl/>
        </w:rPr>
        <w:t>الحران</w:t>
      </w:r>
      <w:r w:rsidRPr="00B5080E">
        <w:rPr>
          <w:rFonts w:hint="cs"/>
          <w:rtl/>
        </w:rPr>
        <w:t>ي</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محمد</w:t>
      </w:r>
      <w:r w:rsidRPr="00B5080E">
        <w:rPr>
          <w:rFonts w:hint="cs"/>
          <w:rtl/>
        </w:rPr>
        <w:t xml:space="preserve"> </w:t>
      </w:r>
      <w:r w:rsidRPr="00B5080E">
        <w:rPr>
          <w:rFonts w:hint="eastAsia"/>
          <w:rtl/>
        </w:rPr>
        <w:t>حسن</w:t>
      </w:r>
      <w:r w:rsidRPr="00B5080E">
        <w:rPr>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w:t>
      </w:r>
      <w:r w:rsidRPr="00B5080E">
        <w:rPr>
          <w:rFonts w:hint="eastAsia"/>
          <w:rtl/>
        </w:rPr>
        <w:t>،</w:t>
      </w:r>
      <w:r w:rsidRPr="00B5080E">
        <w:rPr>
          <w:rtl/>
        </w:rPr>
        <w:t xml:space="preserve"> </w:t>
      </w:r>
      <w:r w:rsidRPr="00B5080E">
        <w:rPr>
          <w:rFonts w:hint="eastAsia"/>
          <w:rtl/>
        </w:rPr>
        <w:t>تحف</w:t>
      </w:r>
      <w:r w:rsidRPr="00B5080E">
        <w:rPr>
          <w:rtl/>
        </w:rPr>
        <w:t xml:space="preserve"> </w:t>
      </w:r>
      <w:r w:rsidRPr="00B5080E">
        <w:rPr>
          <w:rFonts w:hint="eastAsia"/>
          <w:rtl/>
        </w:rPr>
        <w:t>العقول</w:t>
      </w:r>
      <w:r w:rsidRPr="00B5080E">
        <w:rPr>
          <w:rtl/>
        </w:rPr>
        <w:t xml:space="preserve"> </w:t>
      </w:r>
      <w:r w:rsidRPr="00B5080E">
        <w:rPr>
          <w:rFonts w:hint="eastAsia"/>
          <w:rtl/>
        </w:rPr>
        <w:t>عن</w:t>
      </w:r>
      <w:r w:rsidRPr="00B5080E">
        <w:rPr>
          <w:rtl/>
        </w:rPr>
        <w:t xml:space="preserve"> </w:t>
      </w:r>
      <w:r w:rsidRPr="00B5080E">
        <w:rPr>
          <w:rFonts w:hint="eastAsia"/>
          <w:rtl/>
        </w:rPr>
        <w:t>آل</w:t>
      </w:r>
      <w:r w:rsidRPr="00B5080E">
        <w:rPr>
          <w:rtl/>
        </w:rPr>
        <w:t xml:space="preserve"> </w:t>
      </w:r>
      <w:r w:rsidRPr="00B5080E">
        <w:rPr>
          <w:rFonts w:hint="eastAsia"/>
          <w:rtl/>
        </w:rPr>
        <w:t>الرسول</w:t>
      </w:r>
      <w:r w:rsidRPr="00B5080E">
        <w:rPr>
          <w:rFonts w:hint="cs"/>
          <w:rtl/>
        </w:rPr>
        <w:sym w:font="Roumouz" w:char="F02D"/>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عل</w:t>
      </w:r>
      <w:r w:rsidRPr="00B5080E">
        <w:rPr>
          <w:rFonts w:hint="cs"/>
          <w:rtl/>
        </w:rPr>
        <w:t>ي أ</w:t>
      </w:r>
      <w:r w:rsidRPr="00B5080E">
        <w:rPr>
          <w:rFonts w:hint="eastAsia"/>
          <w:rtl/>
        </w:rPr>
        <w:t>اكبر</w:t>
      </w:r>
      <w:r w:rsidRPr="00B5080E">
        <w:rPr>
          <w:rtl/>
        </w:rPr>
        <w:t xml:space="preserve"> </w:t>
      </w:r>
      <w:r w:rsidRPr="00B5080E">
        <w:rPr>
          <w:rFonts w:hint="eastAsia"/>
          <w:rtl/>
        </w:rPr>
        <w:t>غفاري،</w:t>
      </w:r>
      <w:r w:rsidRPr="00B5080E">
        <w:rPr>
          <w:rtl/>
        </w:rPr>
        <w:t xml:space="preserve"> </w:t>
      </w:r>
      <w:r w:rsidRPr="00B5080E">
        <w:rPr>
          <w:rFonts w:hint="eastAsia"/>
          <w:rtl/>
        </w:rPr>
        <w:t>الطبعة</w:t>
      </w:r>
      <w:r w:rsidRPr="00B5080E">
        <w:rPr>
          <w:rtl/>
        </w:rPr>
        <w:t xml:space="preserve"> </w:t>
      </w:r>
      <w:r w:rsidRPr="00B5080E">
        <w:rPr>
          <w:rFonts w:hint="eastAsia"/>
          <w:rtl/>
        </w:rPr>
        <w:t>السادسة،</w:t>
      </w:r>
      <w:r w:rsidRPr="00B5080E">
        <w:rPr>
          <w:rtl/>
        </w:rPr>
        <w:t xml:space="preserve"> (</w:t>
      </w:r>
      <w:r w:rsidRPr="00B5080E">
        <w:rPr>
          <w:rFonts w:hint="eastAsia"/>
          <w:rtl/>
        </w:rPr>
        <w:t>قم،</w:t>
      </w:r>
      <w:r w:rsidRPr="00B5080E">
        <w:rPr>
          <w:rtl/>
        </w:rPr>
        <w:t xml:space="preserve"> 1404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محي</w:t>
      </w:r>
      <w:r w:rsidRPr="00B5080E">
        <w:rPr>
          <w:rFonts w:hint="cs"/>
          <w:rtl/>
        </w:rPr>
        <w:t xml:space="preserve">ي </w:t>
      </w:r>
      <w:r w:rsidRPr="00B5080E">
        <w:rPr>
          <w:rtl/>
        </w:rPr>
        <w:t>‏</w:t>
      </w:r>
      <w:r w:rsidRPr="00B5080E">
        <w:rPr>
          <w:rFonts w:hint="eastAsia"/>
          <w:rtl/>
        </w:rPr>
        <w:t>الدين</w:t>
      </w:r>
      <w:r w:rsidRPr="00B5080E">
        <w:rPr>
          <w:rtl/>
        </w:rPr>
        <w:t xml:space="preserve"> </w:t>
      </w:r>
      <w:r w:rsidRPr="00B5080E">
        <w:rPr>
          <w:rFonts w:hint="eastAsia"/>
          <w:rtl/>
        </w:rPr>
        <w:t>بن</w:t>
      </w:r>
      <w:r w:rsidRPr="00B5080E">
        <w:rPr>
          <w:rtl/>
        </w:rPr>
        <w:t xml:space="preserve"> </w:t>
      </w:r>
      <w:r w:rsidRPr="00B5080E">
        <w:rPr>
          <w:rFonts w:hint="eastAsia"/>
          <w:rtl/>
        </w:rPr>
        <w:t>عرب</w:t>
      </w:r>
      <w:r w:rsidRPr="00B5080E">
        <w:rPr>
          <w:rFonts w:hint="cs"/>
          <w:rtl/>
        </w:rPr>
        <w:t>ي</w:t>
      </w:r>
      <w:r w:rsidRPr="00B5080E">
        <w:rPr>
          <w:rFonts w:hint="eastAsia"/>
          <w:rtl/>
        </w:rPr>
        <w:t>،</w:t>
      </w:r>
      <w:r w:rsidRPr="00B5080E">
        <w:rPr>
          <w:rtl/>
        </w:rPr>
        <w:t xml:space="preserve"> </w:t>
      </w:r>
      <w:r w:rsidRPr="00B5080E">
        <w:rPr>
          <w:rFonts w:hint="eastAsia"/>
          <w:rtl/>
        </w:rPr>
        <w:t>التجل</w:t>
      </w:r>
      <w:r w:rsidRPr="00B5080E">
        <w:rPr>
          <w:rFonts w:hint="cs"/>
          <w:rtl/>
        </w:rPr>
        <w:t>ّ</w:t>
      </w:r>
      <w:r w:rsidRPr="00B5080E">
        <w:rPr>
          <w:rFonts w:hint="eastAsia"/>
          <w:rtl/>
        </w:rPr>
        <w:t>يات</w:t>
      </w:r>
      <w:r w:rsidRPr="00B5080E">
        <w:rPr>
          <w:rtl/>
        </w:rPr>
        <w:t xml:space="preserve"> </w:t>
      </w:r>
      <w:r w:rsidRPr="00B5080E">
        <w:rPr>
          <w:rFonts w:hint="eastAsia"/>
          <w:rtl/>
        </w:rPr>
        <w:t>ال</w:t>
      </w:r>
      <w:r w:rsidRPr="00B5080E">
        <w:rPr>
          <w:rFonts w:hint="cs"/>
          <w:rtl/>
        </w:rPr>
        <w:t>إ</w:t>
      </w:r>
      <w:r w:rsidRPr="00B5080E">
        <w:rPr>
          <w:rFonts w:hint="eastAsia"/>
          <w:rtl/>
        </w:rPr>
        <w:t>لهية،</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عثمان</w:t>
      </w:r>
      <w:r w:rsidRPr="00B5080E">
        <w:rPr>
          <w:rtl/>
        </w:rPr>
        <w:t xml:space="preserve"> </w:t>
      </w:r>
      <w:r w:rsidRPr="00B5080E">
        <w:rPr>
          <w:rFonts w:hint="cs"/>
          <w:rtl/>
        </w:rPr>
        <w:t>إ</w:t>
      </w:r>
      <w:r w:rsidRPr="00B5080E">
        <w:rPr>
          <w:rFonts w:hint="eastAsia"/>
          <w:rtl/>
        </w:rPr>
        <w:t>سماعيل</w:t>
      </w:r>
      <w:r w:rsidRPr="00B5080E">
        <w:rPr>
          <w:rtl/>
        </w:rPr>
        <w:t xml:space="preserve"> </w:t>
      </w:r>
      <w:r w:rsidRPr="00B5080E">
        <w:rPr>
          <w:rFonts w:hint="eastAsia"/>
          <w:rtl/>
        </w:rPr>
        <w:t>يحيى،</w:t>
      </w:r>
      <w:r w:rsidRPr="00B5080E">
        <w:rPr>
          <w:rtl/>
        </w:rPr>
        <w:t xml:space="preserve"> (</w:t>
      </w:r>
      <w:r w:rsidRPr="00B5080E">
        <w:rPr>
          <w:rFonts w:hint="eastAsia"/>
          <w:rtl/>
        </w:rPr>
        <w:t>طهران،</w:t>
      </w:r>
      <w:r w:rsidRPr="00B5080E">
        <w:rPr>
          <w:rtl/>
        </w:rPr>
        <w:t xml:space="preserve"> 1408</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محي</w:t>
      </w:r>
      <w:r w:rsidRPr="00B5080E">
        <w:rPr>
          <w:rFonts w:hint="cs"/>
          <w:rtl/>
        </w:rPr>
        <w:t xml:space="preserve">ي </w:t>
      </w:r>
      <w:r w:rsidRPr="00B5080E">
        <w:rPr>
          <w:rtl/>
        </w:rPr>
        <w:t>‏</w:t>
      </w:r>
      <w:r w:rsidRPr="00B5080E">
        <w:rPr>
          <w:rFonts w:hint="eastAsia"/>
          <w:rtl/>
        </w:rPr>
        <w:t>الدين</w:t>
      </w:r>
      <w:r w:rsidRPr="00B5080E">
        <w:rPr>
          <w:rtl/>
        </w:rPr>
        <w:t xml:space="preserve"> </w:t>
      </w:r>
      <w:r w:rsidRPr="00B5080E">
        <w:rPr>
          <w:rFonts w:hint="eastAsia"/>
          <w:rtl/>
        </w:rPr>
        <w:t>بن</w:t>
      </w:r>
      <w:r w:rsidRPr="00B5080E">
        <w:rPr>
          <w:rtl/>
        </w:rPr>
        <w:t xml:space="preserve"> </w:t>
      </w:r>
      <w:r w:rsidRPr="00B5080E">
        <w:rPr>
          <w:rFonts w:hint="eastAsia"/>
          <w:rtl/>
        </w:rPr>
        <w:t>عرب</w:t>
      </w:r>
      <w:r w:rsidRPr="00B5080E">
        <w:rPr>
          <w:rFonts w:hint="cs"/>
          <w:rtl/>
        </w:rPr>
        <w:t>ي</w:t>
      </w:r>
      <w:r w:rsidRPr="00B5080E">
        <w:rPr>
          <w:rFonts w:hint="eastAsia"/>
          <w:rtl/>
        </w:rPr>
        <w:t>،</w:t>
      </w:r>
      <w:r w:rsidRPr="00B5080E">
        <w:rPr>
          <w:rtl/>
        </w:rPr>
        <w:t xml:space="preserve"> </w:t>
      </w:r>
      <w:r w:rsidRPr="00B5080E">
        <w:rPr>
          <w:rFonts w:hint="eastAsia"/>
          <w:rtl/>
        </w:rPr>
        <w:t>الفتوحات</w:t>
      </w:r>
      <w:r w:rsidRPr="00B5080E">
        <w:rPr>
          <w:rtl/>
        </w:rPr>
        <w:t xml:space="preserve"> </w:t>
      </w:r>
      <w:r w:rsidRPr="00B5080E">
        <w:rPr>
          <w:rFonts w:hint="eastAsia"/>
          <w:rtl/>
        </w:rPr>
        <w:t>المكيّة،</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عثمان</w:t>
      </w:r>
      <w:r w:rsidRPr="00B5080E">
        <w:rPr>
          <w:rtl/>
        </w:rPr>
        <w:t xml:space="preserve"> </w:t>
      </w:r>
      <w:r w:rsidRPr="00B5080E">
        <w:rPr>
          <w:rFonts w:hint="eastAsia"/>
          <w:rtl/>
        </w:rPr>
        <w:t>يحيى،</w:t>
      </w:r>
      <w:r w:rsidRPr="00B5080E">
        <w:rPr>
          <w:rtl/>
        </w:rPr>
        <w:t xml:space="preserve"> (</w:t>
      </w:r>
      <w:r w:rsidRPr="00B5080E">
        <w:rPr>
          <w:rFonts w:hint="eastAsia"/>
          <w:rtl/>
        </w:rPr>
        <w:t>القاهرة،</w:t>
      </w:r>
      <w:r w:rsidRPr="00B5080E">
        <w:rPr>
          <w:rtl/>
        </w:rPr>
        <w:t xml:space="preserve"> 1405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محي</w:t>
      </w:r>
      <w:r w:rsidRPr="00B5080E">
        <w:rPr>
          <w:rFonts w:hint="cs"/>
          <w:rtl/>
        </w:rPr>
        <w:t xml:space="preserve">ي </w:t>
      </w:r>
      <w:r w:rsidRPr="00B5080E">
        <w:rPr>
          <w:rtl/>
        </w:rPr>
        <w:t>‏</w:t>
      </w:r>
      <w:r w:rsidRPr="00B5080E">
        <w:rPr>
          <w:rFonts w:hint="eastAsia"/>
          <w:rtl/>
        </w:rPr>
        <w:t>الدين</w:t>
      </w:r>
      <w:r w:rsidRPr="00B5080E">
        <w:rPr>
          <w:rtl/>
        </w:rPr>
        <w:t xml:space="preserve"> </w:t>
      </w:r>
      <w:r w:rsidRPr="00B5080E">
        <w:rPr>
          <w:rFonts w:hint="eastAsia"/>
          <w:rtl/>
        </w:rPr>
        <w:t>بن</w:t>
      </w:r>
      <w:r w:rsidRPr="00B5080E">
        <w:rPr>
          <w:rtl/>
        </w:rPr>
        <w:t xml:space="preserve"> </w:t>
      </w:r>
      <w:r w:rsidRPr="00B5080E">
        <w:rPr>
          <w:rFonts w:hint="eastAsia"/>
          <w:rtl/>
        </w:rPr>
        <w:t>عرب</w:t>
      </w:r>
      <w:r w:rsidRPr="00B5080E">
        <w:rPr>
          <w:rFonts w:hint="cs"/>
          <w:rtl/>
        </w:rPr>
        <w:t>ي</w:t>
      </w:r>
      <w:r w:rsidRPr="00B5080E">
        <w:rPr>
          <w:rFonts w:hint="eastAsia"/>
          <w:rtl/>
        </w:rPr>
        <w:t>،</w:t>
      </w:r>
      <w:r w:rsidRPr="00B5080E">
        <w:rPr>
          <w:rtl/>
        </w:rPr>
        <w:t xml:space="preserve"> </w:t>
      </w:r>
      <w:r w:rsidRPr="00B5080E">
        <w:rPr>
          <w:rFonts w:hint="eastAsia"/>
          <w:rtl/>
        </w:rPr>
        <w:t>فصوص</w:t>
      </w:r>
      <w:r w:rsidRPr="00B5080E">
        <w:rPr>
          <w:rtl/>
        </w:rPr>
        <w:t xml:space="preserve"> </w:t>
      </w:r>
      <w:r w:rsidRPr="00B5080E">
        <w:rPr>
          <w:rFonts w:hint="eastAsia"/>
          <w:rtl/>
        </w:rPr>
        <w:t>الحكم،</w:t>
      </w:r>
      <w:r w:rsidRPr="00B5080E">
        <w:rPr>
          <w:rtl/>
        </w:rPr>
        <w:t xml:space="preserve"> </w:t>
      </w:r>
      <w:r w:rsidRPr="00B5080E">
        <w:rPr>
          <w:rFonts w:hint="eastAsia"/>
          <w:rtl/>
        </w:rPr>
        <w:t>تصحيح</w:t>
      </w:r>
      <w:r w:rsidRPr="00B5080E">
        <w:rPr>
          <w:rtl/>
        </w:rPr>
        <w:t xml:space="preserve"> </w:t>
      </w:r>
      <w:r w:rsidRPr="00B5080E">
        <w:rPr>
          <w:rFonts w:hint="eastAsia"/>
          <w:rtl/>
        </w:rPr>
        <w:t>وتعليق</w:t>
      </w:r>
      <w:r w:rsidRPr="00B5080E">
        <w:rPr>
          <w:rFonts w:hint="cs"/>
          <w:rtl/>
        </w:rPr>
        <w:t>:</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العلا</w:t>
      </w:r>
      <w:r w:rsidRPr="00B5080E">
        <w:rPr>
          <w:rtl/>
        </w:rPr>
        <w:t xml:space="preserve"> </w:t>
      </w:r>
      <w:r w:rsidRPr="00B5080E">
        <w:rPr>
          <w:rFonts w:hint="eastAsia"/>
          <w:rtl/>
        </w:rPr>
        <w:t>عفيف</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1366</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ابن</w:t>
      </w:r>
      <w:r w:rsidRPr="00B5080E">
        <w:rPr>
          <w:rtl/>
        </w:rPr>
        <w:t xml:space="preserve"> </w:t>
      </w:r>
      <w:r w:rsidRPr="00B5080E">
        <w:rPr>
          <w:rFonts w:hint="eastAsia"/>
          <w:rtl/>
        </w:rPr>
        <w:t>قولويه،</w:t>
      </w:r>
      <w:r w:rsidRPr="00B5080E">
        <w:rPr>
          <w:rtl/>
        </w:rPr>
        <w:t xml:space="preserve"> </w:t>
      </w:r>
      <w:r w:rsidRPr="00B5080E">
        <w:rPr>
          <w:rFonts w:hint="eastAsia"/>
          <w:rtl/>
        </w:rPr>
        <w:t>كامل</w:t>
      </w:r>
      <w:r w:rsidRPr="00B5080E">
        <w:rPr>
          <w:rtl/>
        </w:rPr>
        <w:t xml:space="preserve"> </w:t>
      </w:r>
      <w:r w:rsidRPr="00B5080E">
        <w:rPr>
          <w:rFonts w:hint="eastAsia"/>
          <w:rtl/>
        </w:rPr>
        <w:t>الزيارات</w:t>
      </w:r>
      <w:r w:rsidRPr="00B5080E">
        <w:rPr>
          <w:rtl/>
        </w:rPr>
        <w:t>.</w:t>
      </w:r>
    </w:p>
    <w:p w:rsidR="00EA09EB" w:rsidRPr="00B5080E" w:rsidRDefault="00EA09EB" w:rsidP="00B5080E">
      <w:r w:rsidRPr="00B5080E">
        <w:rPr>
          <w:rFonts w:hint="cs"/>
          <w:rtl/>
        </w:rPr>
        <w:t xml:space="preserve">ـ </w:t>
      </w:r>
      <w:r w:rsidRPr="00B5080E">
        <w:rPr>
          <w:rFonts w:hint="eastAsia"/>
          <w:rtl/>
        </w:rPr>
        <w:t>ابن</w:t>
      </w:r>
      <w:r w:rsidRPr="00B5080E">
        <w:rPr>
          <w:rtl/>
        </w:rPr>
        <w:t xml:space="preserve"> </w:t>
      </w:r>
      <w:r w:rsidRPr="00B5080E">
        <w:rPr>
          <w:rFonts w:hint="eastAsia"/>
          <w:rtl/>
        </w:rPr>
        <w:t>ماج</w:t>
      </w:r>
      <w:r w:rsidRPr="00B5080E">
        <w:rPr>
          <w:rFonts w:hint="cs"/>
          <w:rtl/>
        </w:rPr>
        <w:t>ه</w:t>
      </w:r>
      <w:r w:rsidRPr="00B5080E">
        <w:rPr>
          <w:rtl/>
        </w:rPr>
        <w:t xml:space="preserve"> (</w:t>
      </w:r>
      <w:r w:rsidRPr="00B5080E">
        <w:rPr>
          <w:rFonts w:hint="cs"/>
          <w:rtl/>
        </w:rPr>
        <w:t>أ</w:t>
      </w:r>
      <w:r w:rsidRPr="00B5080E">
        <w:rPr>
          <w:rFonts w:hint="eastAsia"/>
          <w:rtl/>
        </w:rPr>
        <w:t>بوعبد</w:t>
      </w:r>
      <w:r w:rsidRPr="00B5080E">
        <w:rPr>
          <w:rFonts w:hint="cs"/>
          <w:rtl/>
        </w:rPr>
        <w:t xml:space="preserve"> </w:t>
      </w:r>
      <w:r w:rsidRPr="00B5080E">
        <w:rPr>
          <w:rFonts w:hint="eastAsia"/>
          <w:rtl/>
        </w:rPr>
        <w:t>الله</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eastAsia"/>
          <w:rtl/>
        </w:rPr>
        <w:t>يزيد</w:t>
      </w:r>
      <w:r w:rsidRPr="00B5080E">
        <w:rPr>
          <w:rtl/>
        </w:rPr>
        <w:t>)</w:t>
      </w:r>
      <w:r w:rsidRPr="00B5080E">
        <w:rPr>
          <w:rFonts w:hint="eastAsia"/>
          <w:rtl/>
        </w:rPr>
        <w:t>،</w:t>
      </w:r>
      <w:r w:rsidRPr="00B5080E">
        <w:rPr>
          <w:rtl/>
        </w:rPr>
        <w:t xml:space="preserve"> </w:t>
      </w:r>
      <w:r w:rsidRPr="00B5080E">
        <w:rPr>
          <w:rFonts w:hint="eastAsia"/>
          <w:rtl/>
        </w:rPr>
        <w:t>سنن</w:t>
      </w:r>
      <w:r w:rsidRPr="00B5080E">
        <w:rPr>
          <w:rtl/>
        </w:rPr>
        <w:t xml:space="preserve"> </w:t>
      </w:r>
      <w:r w:rsidRPr="00B5080E">
        <w:rPr>
          <w:rFonts w:hint="eastAsia"/>
          <w:rtl/>
        </w:rPr>
        <w:t>ابن</w:t>
      </w:r>
      <w:r w:rsidRPr="00B5080E">
        <w:rPr>
          <w:rtl/>
        </w:rPr>
        <w:t xml:space="preserve"> </w:t>
      </w:r>
      <w:r w:rsidRPr="00B5080E">
        <w:rPr>
          <w:rFonts w:hint="eastAsia"/>
          <w:rtl/>
        </w:rPr>
        <w:t>ماجه،</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محمّد</w:t>
      </w:r>
      <w:r w:rsidRPr="00B5080E">
        <w:rPr>
          <w:rtl/>
        </w:rPr>
        <w:t xml:space="preserve"> </w:t>
      </w:r>
      <w:r w:rsidRPr="00B5080E">
        <w:rPr>
          <w:rFonts w:hint="eastAsia"/>
          <w:rtl/>
        </w:rPr>
        <w:t>فؤاد</w:t>
      </w:r>
      <w:r w:rsidRPr="00B5080E">
        <w:rPr>
          <w:rtl/>
        </w:rPr>
        <w:t xml:space="preserve"> </w:t>
      </w:r>
      <w:r w:rsidRPr="00B5080E">
        <w:rPr>
          <w:rFonts w:hint="eastAsia"/>
          <w:rtl/>
        </w:rPr>
        <w:t>عبد</w:t>
      </w:r>
      <w:r w:rsidRPr="00B5080E">
        <w:rPr>
          <w:rtl/>
        </w:rPr>
        <w:t xml:space="preserve"> </w:t>
      </w:r>
      <w:r w:rsidRPr="00B5080E">
        <w:rPr>
          <w:rFonts w:hint="eastAsia"/>
          <w:rtl/>
        </w:rPr>
        <w:t>الباقي،</w:t>
      </w:r>
      <w:r w:rsidRPr="00B5080E">
        <w:rPr>
          <w:rtl/>
        </w:rPr>
        <w:t xml:space="preserve"> 2 </w:t>
      </w:r>
      <w:r w:rsidRPr="00B5080E">
        <w:rPr>
          <w:rFonts w:hint="eastAsia"/>
          <w:rtl/>
        </w:rPr>
        <w:t>مجلد،</w:t>
      </w:r>
      <w:r w:rsidRPr="00B5080E">
        <w:rPr>
          <w:rtl/>
        </w:rPr>
        <w:t xml:space="preserve"> (</w:t>
      </w:r>
      <w:r w:rsidRPr="00B5080E">
        <w:rPr>
          <w:rFonts w:hint="eastAsia"/>
          <w:rtl/>
        </w:rPr>
        <w:t>بيروت</w:t>
      </w:r>
      <w:r w:rsidRPr="00B5080E">
        <w:rPr>
          <w:rtl/>
        </w:rPr>
        <w:t>).</w:t>
      </w:r>
    </w:p>
    <w:p w:rsidR="00EA09EB" w:rsidRPr="00B5080E" w:rsidRDefault="00EA09EB" w:rsidP="00B5080E">
      <w:r w:rsidRPr="00B5080E">
        <w:rPr>
          <w:rFonts w:hint="cs"/>
          <w:rtl/>
        </w:rPr>
        <w:t xml:space="preserve">ـ </w:t>
      </w:r>
      <w:r w:rsidRPr="00B5080E">
        <w:rPr>
          <w:rFonts w:hint="eastAsia"/>
          <w:rtl/>
        </w:rPr>
        <w:t>ابن</w:t>
      </w:r>
      <w:r w:rsidRPr="00B5080E">
        <w:rPr>
          <w:rtl/>
        </w:rPr>
        <w:t xml:space="preserve"> </w:t>
      </w:r>
      <w:r w:rsidRPr="00B5080E">
        <w:rPr>
          <w:rFonts w:hint="eastAsia"/>
          <w:rtl/>
        </w:rPr>
        <w:t>منظور</w:t>
      </w:r>
      <w:r w:rsidRPr="00B5080E">
        <w:rPr>
          <w:rtl/>
        </w:rPr>
        <w:t xml:space="preserve"> (</w:t>
      </w:r>
      <w:r w:rsidRPr="00B5080E">
        <w:rPr>
          <w:rFonts w:hint="eastAsia"/>
          <w:rtl/>
        </w:rPr>
        <w:t>جمال</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eastAsia"/>
          <w:rtl/>
        </w:rPr>
        <w:t>مكرم</w:t>
      </w:r>
      <w:r w:rsidRPr="00B5080E">
        <w:rPr>
          <w:rtl/>
        </w:rPr>
        <w:t>)</w:t>
      </w:r>
      <w:r w:rsidRPr="00B5080E">
        <w:rPr>
          <w:rFonts w:hint="eastAsia"/>
          <w:rtl/>
        </w:rPr>
        <w:t>،</w:t>
      </w:r>
      <w:r w:rsidRPr="00B5080E">
        <w:rPr>
          <w:rtl/>
        </w:rPr>
        <w:t xml:space="preserve"> </w:t>
      </w:r>
      <w:r w:rsidRPr="00B5080E">
        <w:rPr>
          <w:rFonts w:hint="eastAsia"/>
          <w:rtl/>
        </w:rPr>
        <w:t>لسان</w:t>
      </w:r>
      <w:r w:rsidRPr="00B5080E">
        <w:rPr>
          <w:rtl/>
        </w:rPr>
        <w:t xml:space="preserve"> </w:t>
      </w:r>
      <w:r w:rsidRPr="00B5080E">
        <w:rPr>
          <w:rFonts w:hint="eastAsia"/>
          <w:rtl/>
        </w:rPr>
        <w:t>العرب،</w:t>
      </w:r>
      <w:r w:rsidRPr="00B5080E">
        <w:rPr>
          <w:rtl/>
        </w:rPr>
        <w:t xml:space="preserve"> 15 </w:t>
      </w:r>
      <w:r w:rsidRPr="00B5080E">
        <w:rPr>
          <w:rFonts w:hint="eastAsia"/>
          <w:rtl/>
        </w:rPr>
        <w:t>مجلد،</w:t>
      </w:r>
      <w:r w:rsidRPr="00B5080E">
        <w:rPr>
          <w:rtl/>
        </w:rPr>
        <w:t xml:space="preserve"> (</w:t>
      </w:r>
      <w:r w:rsidRPr="00B5080E">
        <w:rPr>
          <w:rFonts w:hint="eastAsia"/>
          <w:rtl/>
        </w:rPr>
        <w:t>قم،</w:t>
      </w:r>
      <w:r w:rsidRPr="00B5080E">
        <w:rPr>
          <w:rtl/>
        </w:rPr>
        <w:t xml:space="preserve"> 1405</w:t>
      </w:r>
      <w:r w:rsidRPr="00B5080E">
        <w:rPr>
          <w:rFonts w:hint="cs"/>
          <w:rtl/>
        </w:rPr>
        <w:t>هـ</w:t>
      </w:r>
      <w:r w:rsidRPr="00B5080E">
        <w:rPr>
          <w:rtl/>
        </w:rPr>
        <w:t>).</w:t>
      </w:r>
    </w:p>
    <w:p w:rsidR="00EA09EB" w:rsidRPr="00B5080E" w:rsidRDefault="00EA09EB" w:rsidP="00B5080E">
      <w:r w:rsidRPr="00B5080E">
        <w:rPr>
          <w:rFonts w:hint="cs"/>
          <w:rtl/>
        </w:rPr>
        <w:t>ـ أ</w:t>
      </w:r>
      <w:r w:rsidRPr="00B5080E">
        <w:rPr>
          <w:rFonts w:hint="eastAsia"/>
          <w:rtl/>
        </w:rPr>
        <w:t>بو</w:t>
      </w:r>
      <w:r w:rsidRPr="00B5080E">
        <w:rPr>
          <w:rFonts w:hint="cs"/>
          <w:rtl/>
        </w:rPr>
        <w:t xml:space="preserve"> </w:t>
      </w:r>
      <w:r w:rsidRPr="00B5080E">
        <w:rPr>
          <w:rFonts w:hint="eastAsia"/>
          <w:rtl/>
        </w:rPr>
        <w:t>الحسين</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بن</w:t>
      </w:r>
      <w:r w:rsidRPr="00B5080E">
        <w:rPr>
          <w:rtl/>
        </w:rPr>
        <w:t xml:space="preserve"> </w:t>
      </w:r>
      <w:r w:rsidRPr="00B5080E">
        <w:rPr>
          <w:rFonts w:hint="eastAsia"/>
          <w:rtl/>
        </w:rPr>
        <w:t>فارس</w:t>
      </w:r>
      <w:r w:rsidRPr="00B5080E">
        <w:rPr>
          <w:rtl/>
        </w:rPr>
        <w:t xml:space="preserve"> </w:t>
      </w:r>
      <w:r w:rsidRPr="00B5080E">
        <w:rPr>
          <w:rFonts w:hint="eastAsia"/>
          <w:rtl/>
        </w:rPr>
        <w:t>بن</w:t>
      </w:r>
      <w:r w:rsidRPr="00B5080E">
        <w:rPr>
          <w:rtl/>
        </w:rPr>
        <w:t xml:space="preserve"> </w:t>
      </w:r>
      <w:r w:rsidRPr="00B5080E">
        <w:rPr>
          <w:rFonts w:hint="eastAsia"/>
          <w:rtl/>
        </w:rPr>
        <w:t>زكريا،</w:t>
      </w:r>
      <w:r w:rsidRPr="00B5080E">
        <w:rPr>
          <w:rtl/>
        </w:rPr>
        <w:t xml:space="preserve"> </w:t>
      </w:r>
      <w:r w:rsidRPr="00B5080E">
        <w:rPr>
          <w:rFonts w:hint="eastAsia"/>
          <w:rtl/>
        </w:rPr>
        <w:t>مقاييس</w:t>
      </w:r>
      <w:r w:rsidRPr="00B5080E">
        <w:rPr>
          <w:rtl/>
        </w:rPr>
        <w:t xml:space="preserve"> </w:t>
      </w:r>
      <w:r w:rsidRPr="00B5080E">
        <w:rPr>
          <w:rFonts w:hint="eastAsia"/>
          <w:rtl/>
        </w:rPr>
        <w:t>اللغة،</w:t>
      </w:r>
      <w:r w:rsidRPr="00B5080E">
        <w:rPr>
          <w:rtl/>
        </w:rPr>
        <w:t xml:space="preserve"> 6 </w:t>
      </w:r>
      <w:r w:rsidRPr="00B5080E">
        <w:rPr>
          <w:rFonts w:hint="eastAsia"/>
          <w:rtl/>
        </w:rPr>
        <w:t>مجلد،</w:t>
      </w:r>
      <w:r w:rsidRPr="00B5080E">
        <w:rPr>
          <w:rtl/>
        </w:rPr>
        <w:t xml:space="preserve"> (</w:t>
      </w:r>
      <w:r w:rsidRPr="00B5080E">
        <w:rPr>
          <w:rFonts w:hint="eastAsia"/>
          <w:rtl/>
        </w:rPr>
        <w:t>قم،</w:t>
      </w:r>
      <w:r w:rsidRPr="00B5080E">
        <w:rPr>
          <w:rtl/>
        </w:rPr>
        <w:t xml:space="preserve"> 1402</w:t>
      </w:r>
      <w:r w:rsidRPr="00B5080E">
        <w:rPr>
          <w:rFonts w:hint="cs"/>
          <w:rtl/>
        </w:rPr>
        <w:t>هـ</w:t>
      </w:r>
      <w:r w:rsidRPr="00B5080E">
        <w:rPr>
          <w:rtl/>
        </w:rPr>
        <w:t>)</w:t>
      </w:r>
      <w:r w:rsidRPr="00B5080E">
        <w:rPr>
          <w:rFonts w:hint="cs"/>
          <w:rtl/>
        </w:rPr>
        <w:t>.</w:t>
      </w:r>
    </w:p>
    <w:p w:rsidR="00EA09EB" w:rsidRPr="00B5080E" w:rsidRDefault="00EA09EB" w:rsidP="00B5080E">
      <w:r w:rsidRPr="00B5080E">
        <w:rPr>
          <w:rFonts w:hint="cs"/>
          <w:rtl/>
        </w:rPr>
        <w:t>ـ أ</w:t>
      </w:r>
      <w:r w:rsidRPr="00B5080E">
        <w:rPr>
          <w:rFonts w:hint="eastAsia"/>
          <w:rtl/>
        </w:rPr>
        <w:t>بو</w:t>
      </w:r>
      <w:r w:rsidRPr="00B5080E">
        <w:rPr>
          <w:rtl/>
        </w:rPr>
        <w:t xml:space="preserve"> </w:t>
      </w:r>
      <w:r w:rsidRPr="00B5080E">
        <w:rPr>
          <w:rFonts w:hint="eastAsia"/>
          <w:rtl/>
        </w:rPr>
        <w:t>داو</w:t>
      </w:r>
      <w:r w:rsidRPr="00B5080E">
        <w:rPr>
          <w:rFonts w:hint="cs"/>
          <w:rtl/>
        </w:rPr>
        <w:t>و</w:t>
      </w:r>
      <w:r w:rsidRPr="00B5080E">
        <w:rPr>
          <w:rFonts w:hint="eastAsia"/>
          <w:rtl/>
        </w:rPr>
        <w:t>د</w:t>
      </w:r>
      <w:r w:rsidRPr="00B5080E">
        <w:rPr>
          <w:rtl/>
        </w:rPr>
        <w:t xml:space="preserve"> (</w:t>
      </w:r>
      <w:r w:rsidRPr="00B5080E">
        <w:rPr>
          <w:rFonts w:hint="eastAsia"/>
          <w:rtl/>
        </w:rPr>
        <w:t>سليمان</w:t>
      </w:r>
      <w:r w:rsidRPr="00B5080E">
        <w:rPr>
          <w:rtl/>
        </w:rPr>
        <w:t xml:space="preserve"> </w:t>
      </w:r>
      <w:r w:rsidRPr="00B5080E">
        <w:rPr>
          <w:rFonts w:hint="eastAsia"/>
          <w:rtl/>
        </w:rPr>
        <w:t>بن</w:t>
      </w:r>
      <w:r w:rsidRPr="00B5080E">
        <w:rPr>
          <w:rtl/>
        </w:rPr>
        <w:t xml:space="preserve"> </w:t>
      </w:r>
      <w:r w:rsidRPr="00B5080E">
        <w:rPr>
          <w:rFonts w:hint="cs"/>
          <w:rtl/>
        </w:rPr>
        <w:t>أ</w:t>
      </w:r>
      <w:r w:rsidRPr="00B5080E">
        <w:rPr>
          <w:rFonts w:hint="eastAsia"/>
          <w:rtl/>
        </w:rPr>
        <w:t>شعث</w:t>
      </w:r>
      <w:r w:rsidRPr="00B5080E">
        <w:rPr>
          <w:rtl/>
        </w:rPr>
        <w:t>)</w:t>
      </w:r>
      <w:r w:rsidRPr="00B5080E">
        <w:rPr>
          <w:rFonts w:hint="eastAsia"/>
          <w:rtl/>
        </w:rPr>
        <w:t>،</w:t>
      </w:r>
      <w:r w:rsidRPr="00B5080E">
        <w:rPr>
          <w:rtl/>
        </w:rPr>
        <w:t xml:space="preserve"> </w:t>
      </w:r>
      <w:r w:rsidRPr="00B5080E">
        <w:rPr>
          <w:rFonts w:hint="eastAsia"/>
          <w:rtl/>
        </w:rPr>
        <w:t>سنن</w:t>
      </w:r>
      <w:r w:rsidRPr="00B5080E">
        <w:rPr>
          <w:rtl/>
        </w:rPr>
        <w:t xml:space="preserve"> </w:t>
      </w:r>
      <w:r w:rsidRPr="00B5080E">
        <w:rPr>
          <w:rFonts w:hint="cs"/>
          <w:rtl/>
        </w:rPr>
        <w:t>أ</w:t>
      </w:r>
      <w:r w:rsidRPr="00B5080E">
        <w:rPr>
          <w:rFonts w:hint="eastAsia"/>
          <w:rtl/>
        </w:rPr>
        <w:t>ب</w:t>
      </w:r>
      <w:r w:rsidRPr="00B5080E">
        <w:rPr>
          <w:rFonts w:hint="cs"/>
          <w:rtl/>
        </w:rPr>
        <w:t>ي</w:t>
      </w:r>
      <w:r w:rsidRPr="00B5080E">
        <w:rPr>
          <w:rtl/>
        </w:rPr>
        <w:t xml:space="preserve"> </w:t>
      </w:r>
      <w:r w:rsidRPr="00B5080E">
        <w:rPr>
          <w:rFonts w:hint="eastAsia"/>
          <w:rtl/>
        </w:rPr>
        <w:t>دا</w:t>
      </w:r>
      <w:r w:rsidRPr="00B5080E">
        <w:rPr>
          <w:rFonts w:hint="cs"/>
          <w:rtl/>
        </w:rPr>
        <w:t>وو</w:t>
      </w:r>
      <w:r w:rsidRPr="00B5080E">
        <w:rPr>
          <w:rFonts w:hint="eastAsia"/>
          <w:rtl/>
        </w:rPr>
        <w:t>د،</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محمّد</w:t>
      </w:r>
      <w:r w:rsidRPr="00B5080E">
        <w:rPr>
          <w:rtl/>
        </w:rPr>
        <w:t xml:space="preserve"> </w:t>
      </w:r>
      <w:r w:rsidRPr="00B5080E">
        <w:rPr>
          <w:rFonts w:hint="eastAsia"/>
          <w:rtl/>
        </w:rPr>
        <w:t>محي</w:t>
      </w:r>
      <w:r w:rsidRPr="00B5080E">
        <w:rPr>
          <w:rFonts w:hint="cs"/>
          <w:rtl/>
        </w:rPr>
        <w:t>ي</w:t>
      </w:r>
      <w:r w:rsidRPr="00B5080E">
        <w:rPr>
          <w:rtl/>
        </w:rPr>
        <w:t>‏</w:t>
      </w:r>
      <w:r w:rsidRPr="00B5080E">
        <w:rPr>
          <w:rFonts w:hint="cs"/>
          <w:rtl/>
        </w:rPr>
        <w:t xml:space="preserve"> </w:t>
      </w:r>
      <w:r w:rsidRPr="00B5080E">
        <w:rPr>
          <w:rFonts w:hint="eastAsia"/>
          <w:rtl/>
        </w:rPr>
        <w:t>الدين</w:t>
      </w:r>
      <w:r w:rsidRPr="00B5080E">
        <w:rPr>
          <w:rtl/>
        </w:rPr>
        <w:t xml:space="preserve"> </w:t>
      </w:r>
      <w:r w:rsidRPr="00B5080E">
        <w:rPr>
          <w:rFonts w:hint="eastAsia"/>
          <w:rtl/>
        </w:rPr>
        <w:t>عبد</w:t>
      </w:r>
      <w:r w:rsidRPr="00B5080E">
        <w:rPr>
          <w:rFonts w:hint="cs"/>
          <w:rtl/>
        </w:rPr>
        <w:t xml:space="preserve"> </w:t>
      </w:r>
      <w:r w:rsidRPr="00B5080E">
        <w:rPr>
          <w:rFonts w:hint="eastAsia"/>
          <w:rtl/>
        </w:rPr>
        <w:t>الحميد،</w:t>
      </w:r>
      <w:r w:rsidRPr="00B5080E">
        <w:rPr>
          <w:rtl/>
        </w:rPr>
        <w:t xml:space="preserve"> 4 </w:t>
      </w:r>
      <w:r w:rsidRPr="00B5080E">
        <w:rPr>
          <w:rFonts w:hint="cs"/>
          <w:rtl/>
        </w:rPr>
        <w:t>مجلد</w:t>
      </w:r>
      <w:r w:rsidRPr="00B5080E">
        <w:rPr>
          <w:rFonts w:hint="eastAsia"/>
          <w:rtl/>
        </w:rPr>
        <w:t>،</w:t>
      </w:r>
      <w:r w:rsidRPr="00B5080E">
        <w:rPr>
          <w:rtl/>
        </w:rPr>
        <w:t xml:space="preserve"> (</w:t>
      </w:r>
      <w:r w:rsidRPr="00B5080E">
        <w:rPr>
          <w:rFonts w:hint="eastAsia"/>
          <w:rtl/>
        </w:rPr>
        <w:t>بيروت</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الأراكي،</w:t>
      </w:r>
      <w:r w:rsidRPr="00B5080E">
        <w:rPr>
          <w:rtl/>
        </w:rPr>
        <w:t xml:space="preserve"> </w:t>
      </w:r>
      <w:r w:rsidRPr="00B5080E">
        <w:rPr>
          <w:rFonts w:hint="eastAsia"/>
          <w:rtl/>
        </w:rPr>
        <w:t>المكاسب</w:t>
      </w:r>
      <w:r w:rsidRPr="00B5080E">
        <w:rPr>
          <w:rtl/>
        </w:rPr>
        <w:t xml:space="preserve"> </w:t>
      </w:r>
      <w:r w:rsidRPr="00B5080E">
        <w:rPr>
          <w:rFonts w:hint="eastAsia"/>
          <w:rtl/>
        </w:rPr>
        <w:t>المحرّمة،</w:t>
      </w:r>
      <w:r w:rsidRPr="00B5080E">
        <w:rPr>
          <w:rtl/>
        </w:rPr>
        <w:t xml:space="preserve"> (</w:t>
      </w:r>
      <w:r w:rsidRPr="00B5080E">
        <w:rPr>
          <w:rFonts w:hint="eastAsia"/>
          <w:rtl/>
        </w:rPr>
        <w:t>قم،</w:t>
      </w:r>
      <w:r w:rsidRPr="00B5080E">
        <w:rPr>
          <w:rtl/>
        </w:rPr>
        <w:t xml:space="preserve"> 1413</w:t>
      </w:r>
      <w:r w:rsidRPr="00B5080E">
        <w:rPr>
          <w:rFonts w:hint="cs"/>
          <w:rtl/>
        </w:rPr>
        <w:t>هـ</w:t>
      </w:r>
      <w:r w:rsidRPr="00B5080E">
        <w:rPr>
          <w:rtl/>
        </w:rPr>
        <w:t>).</w:t>
      </w:r>
    </w:p>
    <w:p w:rsidR="00EA09EB" w:rsidRPr="00B5080E" w:rsidRDefault="00EA09EB" w:rsidP="00B5080E">
      <w:r w:rsidRPr="00B5080E">
        <w:rPr>
          <w:rtl/>
        </w:rPr>
        <w:t xml:space="preserve"> </w:t>
      </w:r>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الأراكي،</w:t>
      </w:r>
      <w:r w:rsidRPr="00B5080E">
        <w:rPr>
          <w:rtl/>
        </w:rPr>
        <w:t xml:space="preserve"> </w:t>
      </w:r>
      <w:r w:rsidRPr="00B5080E">
        <w:rPr>
          <w:rFonts w:hint="eastAsia"/>
          <w:rtl/>
        </w:rPr>
        <w:t>كتاب</w:t>
      </w:r>
      <w:r w:rsidRPr="00B5080E">
        <w:rPr>
          <w:rtl/>
        </w:rPr>
        <w:t xml:space="preserve"> </w:t>
      </w:r>
      <w:r w:rsidRPr="00B5080E">
        <w:rPr>
          <w:rFonts w:hint="eastAsia"/>
          <w:rtl/>
        </w:rPr>
        <w:t>البيع،</w:t>
      </w:r>
      <w:r w:rsidRPr="00B5080E">
        <w:rPr>
          <w:rtl/>
        </w:rPr>
        <w:t xml:space="preserve">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الشيخ</w:t>
      </w:r>
      <w:r w:rsidRPr="00B5080E">
        <w:rPr>
          <w:rtl/>
        </w:rPr>
        <w:t xml:space="preserve"> </w:t>
      </w:r>
      <w:r w:rsidRPr="00B5080E">
        <w:rPr>
          <w:rFonts w:hint="eastAsia"/>
          <w:rtl/>
        </w:rPr>
        <w:t>عبد</w:t>
      </w:r>
      <w:r w:rsidRPr="00B5080E">
        <w:rPr>
          <w:rFonts w:hint="cs"/>
          <w:rtl/>
        </w:rPr>
        <w:t xml:space="preserve"> </w:t>
      </w:r>
      <w:r w:rsidRPr="00B5080E">
        <w:rPr>
          <w:rFonts w:hint="eastAsia"/>
          <w:rtl/>
        </w:rPr>
        <w:t>الكريم</w:t>
      </w:r>
      <w:r w:rsidRPr="00B5080E">
        <w:rPr>
          <w:rtl/>
        </w:rPr>
        <w:t xml:space="preserve"> </w:t>
      </w:r>
      <w:r w:rsidRPr="00B5080E">
        <w:rPr>
          <w:rFonts w:hint="eastAsia"/>
          <w:rtl/>
        </w:rPr>
        <w:t>الحائري</w:t>
      </w:r>
      <w:r w:rsidRPr="00B5080E">
        <w:rPr>
          <w:rtl/>
        </w:rPr>
        <w:t xml:space="preserve"> </w:t>
      </w:r>
      <w:r w:rsidRPr="00B5080E">
        <w:rPr>
          <w:rFonts w:hint="eastAsia"/>
          <w:rtl/>
        </w:rPr>
        <w:t>اليزدي،</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 xml:space="preserve"> 1415</w:t>
      </w:r>
      <w:r w:rsidRPr="00B5080E">
        <w:rPr>
          <w:rFonts w:hint="cs"/>
          <w:rtl/>
        </w:rPr>
        <w:t>هـ</w:t>
      </w:r>
      <w:r w:rsidRPr="00B5080E">
        <w:rPr>
          <w:rtl/>
        </w:rPr>
        <w:t>).</w:t>
      </w:r>
    </w:p>
    <w:p w:rsidR="00EA09EB" w:rsidRPr="00B5080E" w:rsidRDefault="00EA09EB" w:rsidP="00B5080E">
      <w:r w:rsidRPr="00B5080E">
        <w:rPr>
          <w:rFonts w:hint="cs"/>
          <w:rtl/>
        </w:rPr>
        <w:t>ـ الإ</w:t>
      </w:r>
      <w:r w:rsidRPr="00B5080E">
        <w:rPr>
          <w:rFonts w:hint="eastAsia"/>
          <w:rtl/>
        </w:rPr>
        <w:t>ربل</w:t>
      </w:r>
      <w:r w:rsidRPr="00B5080E">
        <w:rPr>
          <w:rFonts w:hint="cs"/>
          <w:rtl/>
        </w:rPr>
        <w:t>ي</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الحسن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بن</w:t>
      </w:r>
      <w:r w:rsidRPr="00B5080E">
        <w:rPr>
          <w:rtl/>
        </w:rPr>
        <w:t xml:space="preserve"> </w:t>
      </w:r>
      <w:r w:rsidRPr="00B5080E">
        <w:rPr>
          <w:rFonts w:hint="eastAsia"/>
          <w:rtl/>
        </w:rPr>
        <w:t>عيسى</w:t>
      </w:r>
      <w:r w:rsidRPr="00B5080E">
        <w:rPr>
          <w:rtl/>
        </w:rPr>
        <w:t>)</w:t>
      </w:r>
      <w:r w:rsidRPr="00B5080E">
        <w:rPr>
          <w:rFonts w:hint="eastAsia"/>
          <w:rtl/>
        </w:rPr>
        <w:t>،</w:t>
      </w:r>
      <w:r w:rsidRPr="00B5080E">
        <w:rPr>
          <w:rtl/>
        </w:rPr>
        <w:t xml:space="preserve"> </w:t>
      </w:r>
      <w:r w:rsidRPr="00B5080E">
        <w:rPr>
          <w:rFonts w:hint="eastAsia"/>
          <w:rtl/>
        </w:rPr>
        <w:t>كشف</w:t>
      </w:r>
      <w:r w:rsidRPr="00B5080E">
        <w:rPr>
          <w:rtl/>
        </w:rPr>
        <w:t xml:space="preserve"> </w:t>
      </w:r>
      <w:r w:rsidRPr="00B5080E">
        <w:rPr>
          <w:rFonts w:hint="eastAsia"/>
          <w:rtl/>
        </w:rPr>
        <w:t>الغمة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معرفة</w:t>
      </w:r>
      <w:r w:rsidRPr="00B5080E">
        <w:rPr>
          <w:rtl/>
        </w:rPr>
        <w:t xml:space="preserve"> </w:t>
      </w:r>
      <w:r w:rsidRPr="00B5080E">
        <w:rPr>
          <w:rFonts w:hint="eastAsia"/>
          <w:rtl/>
        </w:rPr>
        <w:t>ال</w:t>
      </w:r>
      <w:r w:rsidRPr="00B5080E">
        <w:rPr>
          <w:rFonts w:hint="cs"/>
          <w:rtl/>
        </w:rPr>
        <w:t>أ</w:t>
      </w:r>
      <w:r w:rsidRPr="00B5080E">
        <w:rPr>
          <w:rFonts w:hint="eastAsia"/>
          <w:rtl/>
        </w:rPr>
        <w:t>ئمة،</w:t>
      </w:r>
      <w:r w:rsidRPr="00B5080E">
        <w:rPr>
          <w:rtl/>
        </w:rPr>
        <w:t xml:space="preserve"> </w:t>
      </w:r>
      <w:r w:rsidRPr="00B5080E">
        <w:rPr>
          <w:rFonts w:hint="eastAsia"/>
          <w:rtl/>
        </w:rPr>
        <w:t>باهتمام</w:t>
      </w:r>
      <w:r w:rsidRPr="00B5080E">
        <w:rPr>
          <w:rFonts w:hint="cs"/>
          <w:rtl/>
        </w:rPr>
        <w:t>:</w:t>
      </w:r>
      <w:r w:rsidRPr="00B5080E">
        <w:rPr>
          <w:rtl/>
        </w:rPr>
        <w:t xml:space="preserve"> </w:t>
      </w:r>
      <w:r w:rsidRPr="00B5080E">
        <w:rPr>
          <w:rFonts w:hint="eastAsia"/>
          <w:rtl/>
        </w:rPr>
        <w:t>هاشم</w:t>
      </w:r>
      <w:r w:rsidRPr="00B5080E">
        <w:rPr>
          <w:rtl/>
        </w:rPr>
        <w:t xml:space="preserve"> </w:t>
      </w:r>
      <w:r w:rsidRPr="00B5080E">
        <w:rPr>
          <w:rFonts w:hint="eastAsia"/>
          <w:rtl/>
        </w:rPr>
        <w:t>رسولى</w:t>
      </w:r>
      <w:r w:rsidRPr="00B5080E">
        <w:rPr>
          <w:rtl/>
        </w:rPr>
        <w:t xml:space="preserve"> </w:t>
      </w:r>
      <w:r w:rsidRPr="00B5080E">
        <w:rPr>
          <w:rFonts w:hint="eastAsia"/>
          <w:rtl/>
        </w:rPr>
        <w:t>محلات</w:t>
      </w:r>
      <w:r w:rsidRPr="00B5080E">
        <w:rPr>
          <w:rFonts w:hint="cs"/>
          <w:rtl/>
        </w:rPr>
        <w:t>ي</w:t>
      </w:r>
      <w:r w:rsidRPr="00B5080E">
        <w:rPr>
          <w:rFonts w:hint="eastAsia"/>
          <w:rtl/>
        </w:rPr>
        <w:t>،</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 xml:space="preserve"> 1381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cs"/>
          <w:rtl/>
        </w:rPr>
        <w:t>ال</w:t>
      </w:r>
      <w:r w:rsidRPr="00B5080E">
        <w:rPr>
          <w:rFonts w:hint="eastAsia"/>
          <w:rtl/>
        </w:rPr>
        <w:t>أردبيلي،</w:t>
      </w:r>
      <w:r w:rsidRPr="00B5080E">
        <w:rPr>
          <w:rtl/>
        </w:rPr>
        <w:t xml:space="preserve"> </w:t>
      </w:r>
      <w:r w:rsidRPr="00B5080E">
        <w:rPr>
          <w:rFonts w:hint="eastAsia"/>
          <w:rtl/>
        </w:rPr>
        <w:t>مجمع</w:t>
      </w:r>
      <w:r w:rsidRPr="00B5080E">
        <w:rPr>
          <w:rFonts w:hint="cs"/>
          <w:rtl/>
        </w:rPr>
        <w:t xml:space="preserve"> </w:t>
      </w:r>
      <w:r w:rsidRPr="00B5080E">
        <w:rPr>
          <w:rtl/>
        </w:rPr>
        <w:t>‏</w:t>
      </w:r>
      <w:r w:rsidRPr="00B5080E">
        <w:rPr>
          <w:rFonts w:hint="eastAsia"/>
          <w:rtl/>
        </w:rPr>
        <w:t>الفائد</w:t>
      </w:r>
      <w:r w:rsidRPr="00B5080E">
        <w:rPr>
          <w:rFonts w:hint="cs"/>
          <w:rtl/>
        </w:rPr>
        <w:t>ة</w:t>
      </w:r>
      <w:r w:rsidRPr="00B5080E">
        <w:rPr>
          <w:rtl/>
        </w:rPr>
        <w:t xml:space="preserve"> </w:t>
      </w:r>
      <w:r w:rsidRPr="00B5080E">
        <w:rPr>
          <w:rFonts w:hint="eastAsia"/>
          <w:rtl/>
        </w:rPr>
        <w:t>والبرهان</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cs"/>
          <w:rtl/>
        </w:rPr>
        <w:t>إ</w:t>
      </w:r>
      <w:r w:rsidRPr="00B5080E">
        <w:rPr>
          <w:rFonts w:hint="eastAsia"/>
          <w:rtl/>
        </w:rPr>
        <w:t>رشاد</w:t>
      </w:r>
      <w:r w:rsidRPr="00B5080E">
        <w:rPr>
          <w:rtl/>
        </w:rPr>
        <w:t xml:space="preserve"> </w:t>
      </w:r>
      <w:r w:rsidRPr="00B5080E">
        <w:rPr>
          <w:rFonts w:hint="eastAsia"/>
          <w:rtl/>
        </w:rPr>
        <w:t>ال</w:t>
      </w:r>
      <w:r w:rsidRPr="00B5080E">
        <w:rPr>
          <w:rFonts w:hint="cs"/>
          <w:rtl/>
        </w:rPr>
        <w:t>أ</w:t>
      </w:r>
      <w:r w:rsidRPr="00B5080E">
        <w:rPr>
          <w:rFonts w:hint="eastAsia"/>
          <w:rtl/>
        </w:rPr>
        <w:t>ذهان،</w:t>
      </w:r>
      <w:r w:rsidRPr="00B5080E">
        <w:rPr>
          <w:rtl/>
        </w:rPr>
        <w:t xml:space="preserve"> 14 </w:t>
      </w:r>
      <w:r w:rsidRPr="00B5080E">
        <w:rPr>
          <w:rFonts w:hint="eastAsia"/>
          <w:rtl/>
        </w:rPr>
        <w:t>مجلد،</w:t>
      </w:r>
      <w:r w:rsidRPr="00B5080E">
        <w:rPr>
          <w:rtl/>
        </w:rPr>
        <w:t xml:space="preserve"> (</w:t>
      </w:r>
      <w:r w:rsidRPr="00B5080E">
        <w:rPr>
          <w:rFonts w:hint="eastAsia"/>
          <w:rtl/>
        </w:rPr>
        <w:t>قم،</w:t>
      </w:r>
      <w:r w:rsidRPr="00B5080E">
        <w:rPr>
          <w:rtl/>
        </w:rPr>
        <w:t xml:space="preserve"> </w:t>
      </w:r>
      <w:r w:rsidRPr="00B5080E">
        <w:rPr>
          <w:rFonts w:hint="cs"/>
          <w:rtl/>
        </w:rPr>
        <w:t xml:space="preserve">بدون </w:t>
      </w:r>
      <w:r w:rsidRPr="00B5080E">
        <w:rPr>
          <w:rtl/>
        </w:rPr>
        <w:t>‏</w:t>
      </w:r>
      <w:r w:rsidRPr="00B5080E">
        <w:rPr>
          <w:rFonts w:hint="eastAsia"/>
          <w:rtl/>
        </w:rPr>
        <w:t>تا</w:t>
      </w:r>
      <w:r w:rsidRPr="00B5080E">
        <w:rPr>
          <w:rFonts w:hint="cs"/>
          <w:rtl/>
        </w:rPr>
        <w:t>ريخ</w:t>
      </w:r>
      <w:r w:rsidRPr="00B5080E">
        <w:rPr>
          <w:rtl/>
        </w:rPr>
        <w:t>).</w:t>
      </w:r>
    </w:p>
    <w:p w:rsidR="00EA09EB" w:rsidRPr="00B5080E" w:rsidRDefault="00EA09EB" w:rsidP="00B5080E">
      <w:r w:rsidRPr="00B5080E">
        <w:rPr>
          <w:rFonts w:hint="cs"/>
          <w:rtl/>
        </w:rPr>
        <w:t xml:space="preserve">ـ </w:t>
      </w:r>
      <w:r w:rsidRPr="00B5080E">
        <w:rPr>
          <w:rFonts w:hint="eastAsia"/>
          <w:rtl/>
        </w:rPr>
        <w:t>محمد</w:t>
      </w:r>
      <w:r w:rsidRPr="00B5080E">
        <w:rPr>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cs"/>
          <w:rtl/>
        </w:rPr>
        <w:t>ال</w:t>
      </w:r>
      <w:r w:rsidRPr="00B5080E">
        <w:rPr>
          <w:rFonts w:hint="eastAsia"/>
          <w:rtl/>
        </w:rPr>
        <w:t>أردبيلي،</w:t>
      </w:r>
      <w:r w:rsidRPr="00B5080E">
        <w:rPr>
          <w:rtl/>
        </w:rPr>
        <w:t xml:space="preserve"> </w:t>
      </w:r>
      <w:r w:rsidRPr="00B5080E">
        <w:rPr>
          <w:rFonts w:hint="eastAsia"/>
          <w:rtl/>
        </w:rPr>
        <w:t>جامع</w:t>
      </w:r>
      <w:r w:rsidRPr="00B5080E">
        <w:rPr>
          <w:rtl/>
        </w:rPr>
        <w:t xml:space="preserve"> </w:t>
      </w:r>
      <w:r w:rsidRPr="00B5080E">
        <w:rPr>
          <w:rFonts w:hint="eastAsia"/>
          <w:rtl/>
        </w:rPr>
        <w:t>الرواة،</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 xml:space="preserve"> 1403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رضا</w:t>
      </w:r>
      <w:r w:rsidRPr="00B5080E">
        <w:rPr>
          <w:rtl/>
        </w:rPr>
        <w:t xml:space="preserve"> </w:t>
      </w:r>
      <w:r w:rsidRPr="00B5080E">
        <w:rPr>
          <w:rFonts w:hint="cs"/>
          <w:rtl/>
        </w:rPr>
        <w:t>أ</w:t>
      </w:r>
      <w:r w:rsidRPr="00B5080E">
        <w:rPr>
          <w:rFonts w:hint="eastAsia"/>
          <w:rtl/>
        </w:rPr>
        <w:t>ستادي</w:t>
      </w:r>
      <w:r w:rsidRPr="00B5080E">
        <w:rPr>
          <w:rtl/>
        </w:rPr>
        <w:t xml:space="preserve"> (</w:t>
      </w:r>
      <w:r w:rsidRPr="00B5080E">
        <w:rPr>
          <w:rFonts w:hint="eastAsia"/>
          <w:rtl/>
        </w:rPr>
        <w:t>وآخرون</w:t>
      </w:r>
      <w:r w:rsidRPr="00B5080E">
        <w:rPr>
          <w:rtl/>
        </w:rPr>
        <w:t>)</w:t>
      </w:r>
      <w:r w:rsidRPr="00B5080E">
        <w:rPr>
          <w:rFonts w:hint="eastAsia"/>
          <w:rtl/>
        </w:rPr>
        <w:t>،</w:t>
      </w:r>
      <w:r w:rsidRPr="00B5080E">
        <w:rPr>
          <w:rtl/>
        </w:rPr>
        <w:t xml:space="preserve"> </w:t>
      </w:r>
      <w:r w:rsidRPr="00B5080E">
        <w:rPr>
          <w:rFonts w:hint="eastAsia"/>
          <w:rtl/>
        </w:rPr>
        <w:t>الحكومة</w:t>
      </w:r>
      <w:r w:rsidRPr="00B5080E">
        <w:rPr>
          <w:rtl/>
        </w:rPr>
        <w:t xml:space="preserve"> </w:t>
      </w:r>
      <w:r w:rsidRPr="00B5080E">
        <w:rPr>
          <w:rFonts w:hint="eastAsia"/>
          <w:rtl/>
        </w:rPr>
        <w:t>ال</w:t>
      </w:r>
      <w:r w:rsidRPr="00B5080E">
        <w:rPr>
          <w:rFonts w:hint="cs"/>
          <w:rtl/>
        </w:rPr>
        <w:t>إ</w:t>
      </w:r>
      <w:r w:rsidRPr="00B5080E">
        <w:rPr>
          <w:rFonts w:hint="eastAsia"/>
          <w:rtl/>
        </w:rPr>
        <w:t>سلامية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cs"/>
          <w:rtl/>
        </w:rPr>
        <w:t>أ</w:t>
      </w:r>
      <w:r w:rsidRPr="00B5080E">
        <w:rPr>
          <w:rFonts w:hint="eastAsia"/>
          <w:rtl/>
        </w:rPr>
        <w:t>حاديث</w:t>
      </w:r>
      <w:r w:rsidRPr="00B5080E">
        <w:rPr>
          <w:rtl/>
        </w:rPr>
        <w:t xml:space="preserve"> </w:t>
      </w:r>
      <w:r w:rsidRPr="00B5080E">
        <w:rPr>
          <w:rFonts w:hint="eastAsia"/>
          <w:rtl/>
        </w:rPr>
        <w:t>الشيعة</w:t>
      </w:r>
      <w:r w:rsidRPr="00B5080E">
        <w:rPr>
          <w:rtl/>
        </w:rPr>
        <w:t xml:space="preserve"> </w:t>
      </w:r>
      <w:r w:rsidRPr="00B5080E">
        <w:rPr>
          <w:rFonts w:hint="eastAsia"/>
          <w:rtl/>
        </w:rPr>
        <w:t>ال</w:t>
      </w:r>
      <w:r w:rsidRPr="00B5080E">
        <w:rPr>
          <w:rFonts w:hint="cs"/>
          <w:rtl/>
        </w:rPr>
        <w:t>إ</w:t>
      </w:r>
      <w:r w:rsidRPr="00B5080E">
        <w:rPr>
          <w:rFonts w:hint="eastAsia"/>
          <w:rtl/>
        </w:rPr>
        <w:t>مامية،</w:t>
      </w:r>
      <w:r w:rsidRPr="00B5080E">
        <w:rPr>
          <w:rtl/>
        </w:rPr>
        <w:t xml:space="preserve"> (</w:t>
      </w:r>
      <w:r w:rsidRPr="00B5080E">
        <w:rPr>
          <w:rFonts w:hint="eastAsia"/>
          <w:rtl/>
        </w:rPr>
        <w:t>قم،</w:t>
      </w:r>
      <w:r w:rsidRPr="00B5080E">
        <w:rPr>
          <w:rtl/>
        </w:rPr>
        <w:t xml:space="preserve"> 1368</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الميرزا</w:t>
      </w:r>
      <w:r w:rsidRPr="00B5080E">
        <w:rPr>
          <w:rtl/>
        </w:rPr>
        <w:t xml:space="preserve"> </w:t>
      </w:r>
      <w:r w:rsidRPr="00B5080E">
        <w:rPr>
          <w:rFonts w:hint="eastAsia"/>
          <w:rtl/>
        </w:rPr>
        <w:t>محمّد</w:t>
      </w:r>
      <w:r w:rsidRPr="00B5080E">
        <w:rPr>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بن</w:t>
      </w:r>
      <w:r w:rsidRPr="00B5080E">
        <w:rPr>
          <w:rtl/>
        </w:rPr>
        <w:t xml:space="preserve"> </w:t>
      </w:r>
      <w:r w:rsidRPr="00B5080E">
        <w:rPr>
          <w:rFonts w:hint="cs"/>
          <w:rtl/>
        </w:rPr>
        <w:t>إ</w:t>
      </w:r>
      <w:r w:rsidRPr="00B5080E">
        <w:rPr>
          <w:rFonts w:hint="eastAsia"/>
          <w:rtl/>
        </w:rPr>
        <w:t>براهيم</w:t>
      </w:r>
      <w:r w:rsidRPr="00B5080E">
        <w:rPr>
          <w:rtl/>
        </w:rPr>
        <w:t xml:space="preserve"> </w:t>
      </w:r>
      <w:r w:rsidRPr="00B5080E">
        <w:rPr>
          <w:rFonts w:hint="eastAsia"/>
          <w:rtl/>
        </w:rPr>
        <w:t>ال</w:t>
      </w:r>
      <w:r w:rsidRPr="00B5080E">
        <w:rPr>
          <w:rFonts w:hint="cs"/>
          <w:rtl/>
        </w:rPr>
        <w:t>إ</w:t>
      </w:r>
      <w:r w:rsidRPr="00B5080E">
        <w:rPr>
          <w:rFonts w:hint="eastAsia"/>
          <w:rtl/>
        </w:rPr>
        <w:t>سترآبادي،</w:t>
      </w:r>
      <w:r w:rsidRPr="00B5080E">
        <w:rPr>
          <w:rtl/>
        </w:rPr>
        <w:t xml:space="preserve"> </w:t>
      </w:r>
      <w:r w:rsidRPr="00B5080E">
        <w:rPr>
          <w:rFonts w:hint="eastAsia"/>
          <w:rtl/>
        </w:rPr>
        <w:t>منهج</w:t>
      </w:r>
      <w:r w:rsidRPr="00B5080E">
        <w:rPr>
          <w:rtl/>
        </w:rPr>
        <w:t xml:space="preserve"> </w:t>
      </w:r>
      <w:r w:rsidRPr="00B5080E">
        <w:rPr>
          <w:rFonts w:hint="eastAsia"/>
          <w:rtl/>
        </w:rPr>
        <w:t>المقال</w:t>
      </w:r>
      <w:r w:rsidRPr="00B5080E">
        <w:rPr>
          <w:rtl/>
        </w:rPr>
        <w:t xml:space="preserve"> (</w:t>
      </w:r>
      <w:r w:rsidRPr="00B5080E">
        <w:rPr>
          <w:rFonts w:hint="eastAsia"/>
          <w:rtl/>
        </w:rPr>
        <w:t>الرجال</w:t>
      </w:r>
      <w:r w:rsidRPr="00B5080E">
        <w:rPr>
          <w:rtl/>
        </w:rPr>
        <w:t xml:space="preserve"> </w:t>
      </w:r>
      <w:r w:rsidRPr="00B5080E">
        <w:rPr>
          <w:rFonts w:hint="eastAsia"/>
          <w:rtl/>
        </w:rPr>
        <w:t>الكبير</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tl/>
        </w:rPr>
        <w:t xml:space="preserve"> </w:t>
      </w:r>
      <w:r w:rsidRPr="00B5080E">
        <w:rPr>
          <w:rFonts w:hint="eastAsia"/>
          <w:rtl/>
        </w:rPr>
        <w:t>حسين</w:t>
      </w:r>
      <w:r w:rsidRPr="00B5080E">
        <w:rPr>
          <w:rtl/>
        </w:rPr>
        <w:t xml:space="preserve"> </w:t>
      </w:r>
      <w:r w:rsidRPr="00B5080E">
        <w:rPr>
          <w:rFonts w:hint="eastAsia"/>
          <w:rtl/>
        </w:rPr>
        <w:t>الغروي</w:t>
      </w:r>
      <w:r w:rsidRPr="00B5080E">
        <w:rPr>
          <w:rtl/>
        </w:rPr>
        <w:t xml:space="preserve"> </w:t>
      </w:r>
      <w:r w:rsidRPr="00B5080E">
        <w:rPr>
          <w:rFonts w:hint="eastAsia"/>
          <w:rtl/>
        </w:rPr>
        <w:t>الأصفهاني،</w:t>
      </w:r>
      <w:r w:rsidRPr="00B5080E">
        <w:rPr>
          <w:rtl/>
        </w:rPr>
        <w:t xml:space="preserve"> </w:t>
      </w:r>
      <w:r w:rsidRPr="00B5080E">
        <w:rPr>
          <w:rFonts w:hint="eastAsia"/>
          <w:rtl/>
        </w:rPr>
        <w:t>تعليقة</w:t>
      </w:r>
      <w:r w:rsidRPr="00B5080E">
        <w:rPr>
          <w:rtl/>
        </w:rPr>
        <w:t xml:space="preserve"> </w:t>
      </w:r>
      <w:r w:rsidRPr="00B5080E">
        <w:rPr>
          <w:rFonts w:hint="eastAsia"/>
          <w:rtl/>
        </w:rPr>
        <w:t>على</w:t>
      </w:r>
      <w:r w:rsidRPr="00B5080E">
        <w:rPr>
          <w:rtl/>
        </w:rPr>
        <w:t xml:space="preserve"> </w:t>
      </w:r>
      <w:r w:rsidRPr="00B5080E">
        <w:rPr>
          <w:rFonts w:hint="eastAsia"/>
          <w:rtl/>
        </w:rPr>
        <w:t>المكاسب،</w:t>
      </w:r>
      <w:r w:rsidRPr="00B5080E">
        <w:rPr>
          <w:rtl/>
        </w:rPr>
        <w:t xml:space="preserve"> 2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 xml:space="preserve"> (</w:t>
      </w:r>
      <w:r w:rsidRPr="00B5080E">
        <w:rPr>
          <w:rFonts w:hint="eastAsia"/>
          <w:rtl/>
        </w:rPr>
        <w:t>قم،</w:t>
      </w:r>
      <w:r w:rsidRPr="00B5080E">
        <w:rPr>
          <w:rtl/>
        </w:rPr>
        <w:t xml:space="preserve"> 1408</w:t>
      </w:r>
      <w:r w:rsidRPr="00B5080E">
        <w:rPr>
          <w:rFonts w:hint="cs"/>
          <w:rtl/>
        </w:rPr>
        <w:t>هـ</w:t>
      </w:r>
      <w:r w:rsidRPr="00B5080E">
        <w:rPr>
          <w:rtl/>
        </w:rPr>
        <w:t>).</w:t>
      </w:r>
    </w:p>
    <w:p w:rsidR="00EA09EB" w:rsidRPr="00B5080E" w:rsidRDefault="00EA09EB" w:rsidP="00B5080E">
      <w:r w:rsidRPr="00B5080E">
        <w:rPr>
          <w:rtl/>
        </w:rPr>
        <w:t xml:space="preserve"> </w:t>
      </w:r>
      <w:r w:rsidRPr="00B5080E">
        <w:rPr>
          <w:rFonts w:hint="cs"/>
          <w:rtl/>
        </w:rPr>
        <w:t xml:space="preserve">ـ </w:t>
      </w:r>
      <w:r w:rsidRPr="00B5080E">
        <w:rPr>
          <w:rFonts w:hint="eastAsia"/>
          <w:rtl/>
        </w:rPr>
        <w:t>الشيخ</w:t>
      </w:r>
      <w:r w:rsidRPr="00B5080E">
        <w:rPr>
          <w:rtl/>
        </w:rPr>
        <w:t xml:space="preserve"> </w:t>
      </w:r>
      <w:r w:rsidRPr="00B5080E">
        <w:rPr>
          <w:rFonts w:hint="eastAsia"/>
          <w:rtl/>
        </w:rPr>
        <w:t>عبد</w:t>
      </w:r>
      <w:r w:rsidRPr="00B5080E">
        <w:rPr>
          <w:rFonts w:hint="cs"/>
          <w:rtl/>
        </w:rPr>
        <w:t xml:space="preserve"> </w:t>
      </w:r>
      <w:r w:rsidRPr="00B5080E">
        <w:rPr>
          <w:rFonts w:hint="eastAsia"/>
          <w:rtl/>
        </w:rPr>
        <w:t>الحسين</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الأميني</w:t>
      </w:r>
      <w:r w:rsidRPr="00B5080E">
        <w:rPr>
          <w:rtl/>
        </w:rPr>
        <w:t xml:space="preserve"> </w:t>
      </w:r>
      <w:r w:rsidRPr="00B5080E">
        <w:rPr>
          <w:rFonts w:hint="eastAsia"/>
          <w:rtl/>
        </w:rPr>
        <w:t>النجفي،</w:t>
      </w:r>
      <w:r w:rsidRPr="00B5080E">
        <w:rPr>
          <w:rtl/>
        </w:rPr>
        <w:t xml:space="preserve"> </w:t>
      </w:r>
      <w:r w:rsidRPr="00B5080E">
        <w:rPr>
          <w:rFonts w:hint="eastAsia"/>
          <w:rtl/>
        </w:rPr>
        <w:t>الغدير</w:t>
      </w:r>
      <w:r w:rsidRPr="00B5080E">
        <w:rPr>
          <w:rtl/>
        </w:rPr>
        <w:t xml:space="preserve"> </w:t>
      </w:r>
      <w:r w:rsidRPr="00B5080E">
        <w:rPr>
          <w:rFonts w:hint="eastAsia"/>
          <w:rtl/>
        </w:rPr>
        <w:t>فى</w:t>
      </w:r>
      <w:r w:rsidRPr="00B5080E">
        <w:rPr>
          <w:rtl/>
        </w:rPr>
        <w:t xml:space="preserve"> </w:t>
      </w:r>
      <w:r w:rsidRPr="00B5080E">
        <w:rPr>
          <w:rFonts w:hint="eastAsia"/>
          <w:rtl/>
        </w:rPr>
        <w:t>الكتاب</w:t>
      </w:r>
      <w:r w:rsidRPr="00B5080E">
        <w:rPr>
          <w:rtl/>
        </w:rPr>
        <w:t xml:space="preserve"> </w:t>
      </w:r>
      <w:r w:rsidRPr="00B5080E">
        <w:rPr>
          <w:rFonts w:hint="eastAsia"/>
          <w:rtl/>
        </w:rPr>
        <w:t>والسنة</w:t>
      </w:r>
      <w:r w:rsidRPr="00B5080E">
        <w:rPr>
          <w:rtl/>
        </w:rPr>
        <w:t xml:space="preserve"> </w:t>
      </w:r>
      <w:r w:rsidRPr="00B5080E">
        <w:rPr>
          <w:rFonts w:hint="eastAsia"/>
          <w:rtl/>
        </w:rPr>
        <w:t>وال</w:t>
      </w:r>
      <w:r w:rsidRPr="00B5080E">
        <w:rPr>
          <w:rFonts w:hint="cs"/>
          <w:rtl/>
        </w:rPr>
        <w:t>أ</w:t>
      </w:r>
      <w:r w:rsidRPr="00B5080E">
        <w:rPr>
          <w:rFonts w:hint="eastAsia"/>
          <w:rtl/>
        </w:rPr>
        <w:t>دب،</w:t>
      </w:r>
      <w:r w:rsidRPr="00B5080E">
        <w:rPr>
          <w:rtl/>
        </w:rPr>
        <w:t xml:space="preserve"> 11 </w:t>
      </w:r>
      <w:r w:rsidRPr="00B5080E">
        <w:rPr>
          <w:rFonts w:hint="eastAsia"/>
          <w:rtl/>
        </w:rPr>
        <w:t>مجلد</w:t>
      </w:r>
      <w:r w:rsidRPr="00B5080E">
        <w:rPr>
          <w:rtl/>
        </w:rPr>
        <w:t xml:space="preserve"> (</w:t>
      </w:r>
      <w:r w:rsidRPr="00B5080E">
        <w:rPr>
          <w:rFonts w:hint="eastAsia"/>
          <w:rtl/>
        </w:rPr>
        <w:t>بيروت،</w:t>
      </w:r>
      <w:r w:rsidRPr="00B5080E">
        <w:rPr>
          <w:rtl/>
        </w:rPr>
        <w:t xml:space="preserve"> 1387</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الأنصاري،</w:t>
      </w:r>
      <w:r w:rsidRPr="00B5080E">
        <w:rPr>
          <w:rtl/>
        </w:rPr>
        <w:t xml:space="preserve"> </w:t>
      </w:r>
      <w:r w:rsidRPr="00B5080E">
        <w:rPr>
          <w:rFonts w:hint="eastAsia"/>
          <w:rtl/>
        </w:rPr>
        <w:t>القضاء</w:t>
      </w:r>
      <w:r w:rsidRPr="00B5080E">
        <w:rPr>
          <w:rtl/>
        </w:rPr>
        <w:t xml:space="preserve"> </w:t>
      </w:r>
      <w:r w:rsidRPr="00B5080E">
        <w:rPr>
          <w:rFonts w:hint="eastAsia"/>
          <w:rtl/>
        </w:rPr>
        <w:t>والشهادات،</w:t>
      </w:r>
      <w:r w:rsidRPr="00B5080E">
        <w:rPr>
          <w:rtl/>
        </w:rPr>
        <w:t xml:space="preserve"> (</w:t>
      </w:r>
      <w:r w:rsidRPr="00B5080E">
        <w:rPr>
          <w:rFonts w:hint="eastAsia"/>
          <w:rtl/>
        </w:rPr>
        <w:t>قم،</w:t>
      </w:r>
      <w:r w:rsidRPr="00B5080E">
        <w:rPr>
          <w:rtl/>
        </w:rPr>
        <w:t xml:space="preserve"> 1373</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الأنصاري،</w:t>
      </w:r>
      <w:r w:rsidRPr="00B5080E">
        <w:rPr>
          <w:rtl/>
        </w:rPr>
        <w:t xml:space="preserve"> </w:t>
      </w:r>
      <w:r w:rsidRPr="00B5080E">
        <w:rPr>
          <w:rFonts w:hint="eastAsia"/>
          <w:rtl/>
        </w:rPr>
        <w:t>المكاسب،</w:t>
      </w:r>
      <w:r w:rsidRPr="00B5080E">
        <w:rPr>
          <w:rtl/>
        </w:rPr>
        <w:t xml:space="preserve"> (</w:t>
      </w:r>
      <w:r w:rsidRPr="00B5080E">
        <w:rPr>
          <w:rFonts w:hint="eastAsia"/>
          <w:rtl/>
        </w:rPr>
        <w:t>قم،</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على</w:t>
      </w:r>
      <w:r w:rsidRPr="00B5080E">
        <w:rPr>
          <w:rtl/>
        </w:rPr>
        <w:t xml:space="preserve"> </w:t>
      </w:r>
      <w:r w:rsidRPr="00B5080E">
        <w:rPr>
          <w:rFonts w:hint="eastAsia"/>
          <w:rtl/>
        </w:rPr>
        <w:t>الإيرواني،</w:t>
      </w:r>
      <w:r w:rsidRPr="00B5080E">
        <w:rPr>
          <w:rtl/>
        </w:rPr>
        <w:t xml:space="preserve"> </w:t>
      </w:r>
      <w:r w:rsidRPr="00B5080E">
        <w:rPr>
          <w:rFonts w:hint="eastAsia"/>
          <w:rtl/>
        </w:rPr>
        <w:t>حاشية</w:t>
      </w:r>
      <w:r w:rsidRPr="00B5080E">
        <w:rPr>
          <w:rtl/>
        </w:rPr>
        <w:t xml:space="preserve"> </w:t>
      </w:r>
      <w:r w:rsidRPr="00B5080E">
        <w:rPr>
          <w:rFonts w:hint="eastAsia"/>
          <w:rtl/>
        </w:rPr>
        <w:t>المكاسب،</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يوسف</w:t>
      </w:r>
      <w:r w:rsidRPr="00B5080E">
        <w:rPr>
          <w:rtl/>
        </w:rPr>
        <w:t xml:space="preserve"> </w:t>
      </w:r>
      <w:r w:rsidRPr="00B5080E">
        <w:rPr>
          <w:rFonts w:hint="eastAsia"/>
          <w:rtl/>
        </w:rPr>
        <w:t>البحراني،</w:t>
      </w:r>
      <w:r w:rsidRPr="00B5080E">
        <w:rPr>
          <w:rtl/>
        </w:rPr>
        <w:t xml:space="preserve"> </w:t>
      </w:r>
      <w:r w:rsidRPr="00B5080E">
        <w:rPr>
          <w:rFonts w:hint="eastAsia"/>
          <w:rtl/>
        </w:rPr>
        <w:t>الحدائق</w:t>
      </w:r>
      <w:r w:rsidRPr="00B5080E">
        <w:rPr>
          <w:rtl/>
        </w:rPr>
        <w:t xml:space="preserve"> </w:t>
      </w:r>
      <w:r w:rsidRPr="00B5080E">
        <w:rPr>
          <w:rFonts w:hint="eastAsia"/>
          <w:rtl/>
        </w:rPr>
        <w:t>الناضرة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cs"/>
          <w:rtl/>
        </w:rPr>
        <w:t>أ</w:t>
      </w:r>
      <w:r w:rsidRPr="00B5080E">
        <w:rPr>
          <w:rFonts w:hint="eastAsia"/>
          <w:rtl/>
        </w:rPr>
        <w:t>حكام</w:t>
      </w:r>
      <w:r w:rsidRPr="00B5080E">
        <w:rPr>
          <w:rtl/>
        </w:rPr>
        <w:t xml:space="preserve"> </w:t>
      </w:r>
      <w:r w:rsidRPr="00B5080E">
        <w:rPr>
          <w:rFonts w:hint="eastAsia"/>
          <w:rtl/>
        </w:rPr>
        <w:t>العترة</w:t>
      </w:r>
      <w:r w:rsidRPr="00B5080E">
        <w:rPr>
          <w:rtl/>
        </w:rPr>
        <w:t xml:space="preserve"> </w:t>
      </w:r>
      <w:r w:rsidRPr="00B5080E">
        <w:rPr>
          <w:rFonts w:hint="eastAsia"/>
          <w:rtl/>
        </w:rPr>
        <w:t>الطاهرة،</w:t>
      </w:r>
      <w:r w:rsidRPr="00B5080E">
        <w:rPr>
          <w:rtl/>
        </w:rPr>
        <w:t xml:space="preserve"> 22 </w:t>
      </w:r>
      <w:r w:rsidRPr="00B5080E">
        <w:rPr>
          <w:rFonts w:hint="eastAsia"/>
          <w:rtl/>
        </w:rPr>
        <w:t>مجلد،</w:t>
      </w:r>
      <w:r w:rsidRPr="00B5080E">
        <w:rPr>
          <w:rtl/>
        </w:rPr>
        <w:t xml:space="preserve"> (</w:t>
      </w:r>
      <w:r w:rsidRPr="00B5080E">
        <w:rPr>
          <w:rFonts w:hint="eastAsia"/>
          <w:rtl/>
        </w:rPr>
        <w:t>قم،</w:t>
      </w:r>
      <w:r w:rsidRPr="00B5080E">
        <w:rPr>
          <w:rtl/>
        </w:rPr>
        <w:t xml:space="preserve"> 1363</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برازش</w:t>
      </w:r>
      <w:r w:rsidRPr="00B5080E">
        <w:rPr>
          <w:rtl/>
        </w:rPr>
        <w:t xml:space="preserve"> (</w:t>
      </w:r>
      <w:r w:rsidRPr="00B5080E">
        <w:rPr>
          <w:rFonts w:hint="eastAsia"/>
          <w:rtl/>
        </w:rPr>
        <w:t>باهتمام</w:t>
      </w:r>
      <w:r w:rsidRPr="00B5080E">
        <w:rPr>
          <w:rtl/>
        </w:rPr>
        <w:t>)</w:t>
      </w:r>
      <w:r w:rsidRPr="00B5080E">
        <w:rPr>
          <w:rFonts w:hint="eastAsia"/>
          <w:rtl/>
        </w:rPr>
        <w:t>،</w:t>
      </w:r>
      <w:r w:rsidRPr="00B5080E">
        <w:rPr>
          <w:rtl/>
        </w:rPr>
        <w:t xml:space="preserve"> </w:t>
      </w:r>
      <w:r w:rsidRPr="00B5080E">
        <w:rPr>
          <w:rFonts w:hint="eastAsia"/>
          <w:rtl/>
        </w:rPr>
        <w:t>المعجم</w:t>
      </w:r>
      <w:r w:rsidRPr="00B5080E">
        <w:rPr>
          <w:rtl/>
        </w:rPr>
        <w:t xml:space="preserve"> </w:t>
      </w:r>
      <w:r w:rsidRPr="00B5080E">
        <w:rPr>
          <w:rFonts w:hint="eastAsia"/>
          <w:rtl/>
        </w:rPr>
        <w:t>المفهرس</w:t>
      </w:r>
      <w:r w:rsidRPr="00B5080E">
        <w:rPr>
          <w:rtl/>
        </w:rPr>
        <w:t xml:space="preserve"> </w:t>
      </w:r>
      <w:r w:rsidRPr="00B5080E">
        <w:rPr>
          <w:rFonts w:hint="eastAsia"/>
          <w:rtl/>
        </w:rPr>
        <w:t>ل</w:t>
      </w:r>
      <w:r w:rsidRPr="00B5080E">
        <w:rPr>
          <w:rFonts w:hint="cs"/>
          <w:rtl/>
        </w:rPr>
        <w:t>أ</w:t>
      </w:r>
      <w:r w:rsidRPr="00B5080E">
        <w:rPr>
          <w:rFonts w:hint="eastAsia"/>
          <w:rtl/>
        </w:rPr>
        <w:t>لفاظ</w:t>
      </w:r>
      <w:r w:rsidRPr="00B5080E">
        <w:rPr>
          <w:rtl/>
        </w:rPr>
        <w:t xml:space="preserve"> </w:t>
      </w:r>
      <w:r w:rsidRPr="00B5080E">
        <w:rPr>
          <w:rFonts w:hint="cs"/>
          <w:rtl/>
        </w:rPr>
        <w:t>أ</w:t>
      </w:r>
      <w:r w:rsidRPr="00B5080E">
        <w:rPr>
          <w:rFonts w:hint="eastAsia"/>
          <w:rtl/>
        </w:rPr>
        <w:t>حاديث</w:t>
      </w:r>
      <w:r w:rsidRPr="00B5080E">
        <w:rPr>
          <w:rtl/>
        </w:rPr>
        <w:t xml:space="preserve"> </w:t>
      </w:r>
      <w:r w:rsidRPr="00B5080E">
        <w:rPr>
          <w:rFonts w:hint="eastAsia"/>
          <w:rtl/>
        </w:rPr>
        <w:t>بحار</w:t>
      </w:r>
      <w:r w:rsidRPr="00B5080E">
        <w:rPr>
          <w:rFonts w:hint="cs"/>
          <w:rtl/>
        </w:rPr>
        <w:t xml:space="preserve"> </w:t>
      </w:r>
      <w:r w:rsidRPr="00B5080E">
        <w:rPr>
          <w:rFonts w:hint="eastAsia"/>
          <w:rtl/>
        </w:rPr>
        <w:t>ال</w:t>
      </w:r>
      <w:r w:rsidRPr="00B5080E">
        <w:rPr>
          <w:rFonts w:hint="cs"/>
          <w:rtl/>
        </w:rPr>
        <w:t>أ</w:t>
      </w:r>
      <w:r w:rsidRPr="00B5080E">
        <w:rPr>
          <w:rFonts w:hint="eastAsia"/>
          <w:rtl/>
        </w:rPr>
        <w:t>نوار،</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 xml:space="preserve">ـ </w:t>
      </w:r>
      <w:r w:rsidRPr="00B5080E">
        <w:rPr>
          <w:rFonts w:hint="eastAsia"/>
          <w:rtl/>
        </w:rPr>
        <w:t>برازش</w:t>
      </w:r>
      <w:r w:rsidRPr="00B5080E">
        <w:rPr>
          <w:rtl/>
        </w:rPr>
        <w:t xml:space="preserve"> (</w:t>
      </w:r>
      <w:r w:rsidRPr="00B5080E">
        <w:rPr>
          <w:rFonts w:hint="eastAsia"/>
          <w:rtl/>
        </w:rPr>
        <w:t>باهتمام</w:t>
      </w:r>
      <w:r w:rsidRPr="00B5080E">
        <w:rPr>
          <w:rtl/>
        </w:rPr>
        <w:t>)</w:t>
      </w:r>
      <w:r w:rsidRPr="00B5080E">
        <w:rPr>
          <w:rFonts w:hint="eastAsia"/>
          <w:rtl/>
        </w:rPr>
        <w:t>،</w:t>
      </w:r>
      <w:r w:rsidRPr="00B5080E">
        <w:rPr>
          <w:rtl/>
        </w:rPr>
        <w:t xml:space="preserve"> </w:t>
      </w:r>
      <w:r w:rsidRPr="00B5080E">
        <w:rPr>
          <w:rFonts w:hint="eastAsia"/>
          <w:rtl/>
        </w:rPr>
        <w:t>المعجم</w:t>
      </w:r>
      <w:r w:rsidRPr="00B5080E">
        <w:rPr>
          <w:rFonts w:hint="cs"/>
          <w:rtl/>
        </w:rPr>
        <w:t xml:space="preserve"> </w:t>
      </w:r>
      <w:r w:rsidRPr="00B5080E">
        <w:rPr>
          <w:rtl/>
        </w:rPr>
        <w:t>‏</w:t>
      </w:r>
      <w:r w:rsidRPr="00B5080E">
        <w:rPr>
          <w:rFonts w:hint="eastAsia"/>
          <w:rtl/>
        </w:rPr>
        <w:t>المفهرس</w:t>
      </w:r>
      <w:r w:rsidRPr="00B5080E">
        <w:rPr>
          <w:rtl/>
        </w:rPr>
        <w:t xml:space="preserve"> </w:t>
      </w:r>
      <w:r w:rsidRPr="00B5080E">
        <w:rPr>
          <w:rFonts w:hint="eastAsia"/>
          <w:rtl/>
        </w:rPr>
        <w:t>ل</w:t>
      </w:r>
      <w:r w:rsidRPr="00B5080E">
        <w:rPr>
          <w:rFonts w:hint="cs"/>
          <w:rtl/>
        </w:rPr>
        <w:t>أ</w:t>
      </w:r>
      <w:r w:rsidRPr="00B5080E">
        <w:rPr>
          <w:rFonts w:hint="eastAsia"/>
          <w:rtl/>
        </w:rPr>
        <w:t>لفاظ</w:t>
      </w:r>
      <w:r w:rsidRPr="00B5080E">
        <w:rPr>
          <w:rtl/>
        </w:rPr>
        <w:t xml:space="preserve"> </w:t>
      </w:r>
      <w:r w:rsidRPr="00B5080E">
        <w:rPr>
          <w:rFonts w:hint="cs"/>
          <w:rtl/>
        </w:rPr>
        <w:t>أ</w:t>
      </w:r>
      <w:r w:rsidRPr="00B5080E">
        <w:rPr>
          <w:rFonts w:hint="eastAsia"/>
          <w:rtl/>
        </w:rPr>
        <w:t>حاديث</w:t>
      </w:r>
      <w:r w:rsidRPr="00B5080E">
        <w:rPr>
          <w:rtl/>
        </w:rPr>
        <w:t xml:space="preserve"> </w:t>
      </w:r>
      <w:r w:rsidRPr="00B5080E">
        <w:rPr>
          <w:rFonts w:hint="eastAsia"/>
          <w:rtl/>
        </w:rPr>
        <w:t>الكتب</w:t>
      </w:r>
      <w:r w:rsidRPr="00B5080E">
        <w:rPr>
          <w:rtl/>
        </w:rPr>
        <w:t xml:space="preserve"> </w:t>
      </w:r>
      <w:r w:rsidRPr="00B5080E">
        <w:rPr>
          <w:rFonts w:hint="eastAsia"/>
          <w:rtl/>
        </w:rPr>
        <w:t>ال</w:t>
      </w:r>
      <w:r w:rsidRPr="00B5080E">
        <w:rPr>
          <w:rFonts w:hint="cs"/>
          <w:rtl/>
        </w:rPr>
        <w:t>أ</w:t>
      </w:r>
      <w:r w:rsidRPr="00B5080E">
        <w:rPr>
          <w:rFonts w:hint="eastAsia"/>
          <w:rtl/>
        </w:rPr>
        <w:t>ربعة،</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 xml:space="preserve">ـ </w:t>
      </w:r>
      <w:r w:rsidRPr="00B5080E">
        <w:rPr>
          <w:rFonts w:hint="eastAsia"/>
          <w:rtl/>
        </w:rPr>
        <w:t>برازش</w:t>
      </w:r>
      <w:r w:rsidRPr="00B5080E">
        <w:rPr>
          <w:rtl/>
        </w:rPr>
        <w:t xml:space="preserve"> (</w:t>
      </w:r>
      <w:r w:rsidRPr="00B5080E">
        <w:rPr>
          <w:rFonts w:hint="eastAsia"/>
          <w:rtl/>
        </w:rPr>
        <w:t>باهتمام</w:t>
      </w:r>
      <w:r w:rsidRPr="00B5080E">
        <w:rPr>
          <w:rtl/>
        </w:rPr>
        <w:t>)</w:t>
      </w:r>
      <w:r w:rsidRPr="00B5080E">
        <w:rPr>
          <w:rFonts w:hint="eastAsia"/>
          <w:rtl/>
        </w:rPr>
        <w:t>،</w:t>
      </w:r>
      <w:r w:rsidRPr="00B5080E">
        <w:rPr>
          <w:rtl/>
        </w:rPr>
        <w:t xml:space="preserve"> </w:t>
      </w:r>
      <w:r w:rsidRPr="00B5080E">
        <w:rPr>
          <w:rFonts w:hint="eastAsia"/>
          <w:rtl/>
        </w:rPr>
        <w:t>المعجم</w:t>
      </w:r>
      <w:r w:rsidRPr="00B5080E">
        <w:rPr>
          <w:rFonts w:hint="cs"/>
          <w:rtl/>
        </w:rPr>
        <w:t xml:space="preserve"> </w:t>
      </w:r>
      <w:r w:rsidRPr="00B5080E">
        <w:rPr>
          <w:rtl/>
        </w:rPr>
        <w:t>‏</w:t>
      </w:r>
      <w:r w:rsidRPr="00B5080E">
        <w:rPr>
          <w:rFonts w:hint="eastAsia"/>
          <w:rtl/>
        </w:rPr>
        <w:t>المفهرس</w:t>
      </w:r>
      <w:r w:rsidRPr="00B5080E">
        <w:rPr>
          <w:rtl/>
        </w:rPr>
        <w:t xml:space="preserve"> </w:t>
      </w:r>
      <w:r w:rsidRPr="00B5080E">
        <w:rPr>
          <w:rFonts w:hint="eastAsia"/>
          <w:rtl/>
        </w:rPr>
        <w:t>ل</w:t>
      </w:r>
      <w:r w:rsidRPr="00B5080E">
        <w:rPr>
          <w:rFonts w:hint="cs"/>
          <w:rtl/>
        </w:rPr>
        <w:t>أ</w:t>
      </w:r>
      <w:r w:rsidRPr="00B5080E">
        <w:rPr>
          <w:rFonts w:hint="eastAsia"/>
          <w:rtl/>
        </w:rPr>
        <w:t>لفاظ</w:t>
      </w:r>
      <w:r w:rsidRPr="00B5080E">
        <w:rPr>
          <w:rtl/>
        </w:rPr>
        <w:t xml:space="preserve"> </w:t>
      </w:r>
      <w:r w:rsidRPr="00B5080E">
        <w:rPr>
          <w:rFonts w:hint="cs"/>
          <w:rtl/>
        </w:rPr>
        <w:t>أ</w:t>
      </w:r>
      <w:r w:rsidRPr="00B5080E">
        <w:rPr>
          <w:rFonts w:hint="eastAsia"/>
          <w:rtl/>
        </w:rPr>
        <w:t>حاديث</w:t>
      </w:r>
      <w:r w:rsidRPr="00B5080E">
        <w:rPr>
          <w:rtl/>
        </w:rPr>
        <w:t xml:space="preserve"> </w:t>
      </w:r>
      <w:r w:rsidRPr="00B5080E">
        <w:rPr>
          <w:rFonts w:hint="eastAsia"/>
          <w:rtl/>
        </w:rPr>
        <w:t>وسائل</w:t>
      </w:r>
      <w:r w:rsidRPr="00B5080E">
        <w:rPr>
          <w:rtl/>
        </w:rPr>
        <w:t xml:space="preserve"> </w:t>
      </w:r>
      <w:r w:rsidRPr="00B5080E">
        <w:rPr>
          <w:rFonts w:hint="eastAsia"/>
          <w:rtl/>
        </w:rPr>
        <w:t>الشيعة،</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 xml:space="preserve">ـ </w:t>
      </w:r>
      <w:r w:rsidRPr="00B5080E">
        <w:rPr>
          <w:rFonts w:hint="eastAsia"/>
          <w:rtl/>
        </w:rPr>
        <w:t>برازش</w:t>
      </w:r>
      <w:r w:rsidRPr="00B5080E">
        <w:rPr>
          <w:rtl/>
        </w:rPr>
        <w:t xml:space="preserve"> (</w:t>
      </w:r>
      <w:r w:rsidRPr="00B5080E">
        <w:rPr>
          <w:rFonts w:hint="eastAsia"/>
          <w:rtl/>
        </w:rPr>
        <w:t>باهتمام</w:t>
      </w:r>
      <w:r w:rsidRPr="00B5080E">
        <w:rPr>
          <w:rtl/>
        </w:rPr>
        <w:t>)</w:t>
      </w:r>
      <w:r w:rsidRPr="00B5080E">
        <w:rPr>
          <w:rFonts w:hint="eastAsia"/>
          <w:rtl/>
        </w:rPr>
        <w:t>،</w:t>
      </w:r>
      <w:r w:rsidRPr="00B5080E">
        <w:rPr>
          <w:rtl/>
        </w:rPr>
        <w:t xml:space="preserve"> </w:t>
      </w:r>
      <w:r w:rsidRPr="00B5080E">
        <w:rPr>
          <w:rFonts w:hint="eastAsia"/>
          <w:rtl/>
        </w:rPr>
        <w:t>المعجم</w:t>
      </w:r>
      <w:r w:rsidRPr="00B5080E">
        <w:rPr>
          <w:rFonts w:hint="cs"/>
          <w:rtl/>
        </w:rPr>
        <w:t xml:space="preserve"> </w:t>
      </w:r>
      <w:r w:rsidRPr="00B5080E">
        <w:rPr>
          <w:rtl/>
        </w:rPr>
        <w:t>‏</w:t>
      </w:r>
      <w:r w:rsidRPr="00B5080E">
        <w:rPr>
          <w:rFonts w:hint="eastAsia"/>
          <w:rtl/>
        </w:rPr>
        <w:t>المفهرس</w:t>
      </w:r>
      <w:r w:rsidRPr="00B5080E">
        <w:rPr>
          <w:rtl/>
        </w:rPr>
        <w:t xml:space="preserve"> </w:t>
      </w:r>
      <w:r w:rsidRPr="00B5080E">
        <w:rPr>
          <w:rFonts w:hint="eastAsia"/>
          <w:rtl/>
        </w:rPr>
        <w:t>ل</w:t>
      </w:r>
      <w:r w:rsidRPr="00B5080E">
        <w:rPr>
          <w:rFonts w:hint="cs"/>
          <w:rtl/>
        </w:rPr>
        <w:t>أ</w:t>
      </w:r>
      <w:r w:rsidRPr="00B5080E">
        <w:rPr>
          <w:rFonts w:hint="eastAsia"/>
          <w:rtl/>
        </w:rPr>
        <w:t>لفاظ</w:t>
      </w:r>
      <w:r w:rsidRPr="00B5080E">
        <w:rPr>
          <w:rtl/>
        </w:rPr>
        <w:t xml:space="preserve"> </w:t>
      </w:r>
      <w:r w:rsidRPr="00B5080E">
        <w:rPr>
          <w:rFonts w:hint="cs"/>
          <w:rtl/>
        </w:rPr>
        <w:t>أ</w:t>
      </w:r>
      <w:r w:rsidRPr="00B5080E">
        <w:rPr>
          <w:rFonts w:hint="eastAsia"/>
          <w:rtl/>
        </w:rPr>
        <w:t>حاديث</w:t>
      </w:r>
      <w:r w:rsidRPr="00B5080E">
        <w:rPr>
          <w:rtl/>
        </w:rPr>
        <w:t xml:space="preserve"> </w:t>
      </w:r>
      <w:r w:rsidRPr="00B5080E">
        <w:rPr>
          <w:rFonts w:hint="eastAsia"/>
          <w:rtl/>
        </w:rPr>
        <w:t>مستدرك</w:t>
      </w:r>
      <w:r w:rsidRPr="00B5080E">
        <w:rPr>
          <w:rtl/>
        </w:rPr>
        <w:t xml:space="preserve"> </w:t>
      </w:r>
      <w:r w:rsidRPr="00B5080E">
        <w:rPr>
          <w:rFonts w:hint="eastAsia"/>
          <w:rtl/>
        </w:rPr>
        <w:t>وسائل</w:t>
      </w:r>
      <w:r w:rsidRPr="00B5080E">
        <w:rPr>
          <w:rtl/>
        </w:rPr>
        <w:t xml:space="preserve"> </w:t>
      </w:r>
      <w:r w:rsidRPr="00B5080E">
        <w:rPr>
          <w:rFonts w:hint="eastAsia"/>
          <w:rtl/>
        </w:rPr>
        <w:t>الشيعة،</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البروجردي،</w:t>
      </w:r>
      <w:r w:rsidRPr="00B5080E">
        <w:rPr>
          <w:rtl/>
        </w:rPr>
        <w:t xml:space="preserve"> </w:t>
      </w:r>
      <w:r w:rsidRPr="00B5080E">
        <w:rPr>
          <w:rFonts w:hint="eastAsia"/>
          <w:rtl/>
        </w:rPr>
        <w:t>المستند</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العروة</w:t>
      </w:r>
      <w:r w:rsidRPr="00B5080E">
        <w:rPr>
          <w:rtl/>
        </w:rPr>
        <w:t xml:space="preserve"> </w:t>
      </w:r>
      <w:r w:rsidRPr="00B5080E">
        <w:rPr>
          <w:rFonts w:hint="eastAsia"/>
          <w:rtl/>
        </w:rPr>
        <w:t>الوثقى،</w:t>
      </w:r>
      <w:r w:rsidRPr="00B5080E">
        <w:rPr>
          <w:rtl/>
        </w:rPr>
        <w:t xml:space="preserve">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السيد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الخوئي،</w:t>
      </w:r>
      <w:r w:rsidRPr="00B5080E">
        <w:rPr>
          <w:rtl/>
        </w:rPr>
        <w:t xml:space="preserve"> </w:t>
      </w:r>
      <w:r w:rsidRPr="00B5080E">
        <w:rPr>
          <w:rFonts w:hint="eastAsia"/>
          <w:rtl/>
        </w:rPr>
        <w:t>كتاب</w:t>
      </w:r>
      <w:r w:rsidRPr="00B5080E">
        <w:rPr>
          <w:rtl/>
        </w:rPr>
        <w:t xml:space="preserve"> </w:t>
      </w:r>
      <w:r w:rsidRPr="00B5080E">
        <w:rPr>
          <w:rFonts w:hint="eastAsia"/>
          <w:rtl/>
        </w:rPr>
        <w:t>الصلاة،</w:t>
      </w:r>
      <w:r w:rsidRPr="00B5080E">
        <w:rPr>
          <w:rtl/>
        </w:rPr>
        <w:t xml:space="preserve"> 8 مجلدات،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محمد</w:t>
      </w:r>
      <w:r w:rsidRPr="00B5080E">
        <w:rPr>
          <w:rtl/>
        </w:rPr>
        <w:t xml:space="preserve"> </w:t>
      </w:r>
      <w:r w:rsidRPr="00B5080E">
        <w:rPr>
          <w:rFonts w:hint="eastAsia"/>
          <w:rtl/>
        </w:rPr>
        <w:t>سرور</w:t>
      </w:r>
      <w:r w:rsidRPr="00B5080E">
        <w:rPr>
          <w:rtl/>
        </w:rPr>
        <w:t xml:space="preserve"> </w:t>
      </w:r>
      <w:r w:rsidRPr="00B5080E">
        <w:rPr>
          <w:rFonts w:hint="eastAsia"/>
          <w:rtl/>
        </w:rPr>
        <w:t>واعظ</w:t>
      </w:r>
      <w:r w:rsidRPr="00B5080E">
        <w:rPr>
          <w:rtl/>
        </w:rPr>
        <w:t xml:space="preserve"> </w:t>
      </w:r>
      <w:r w:rsidRPr="00B5080E">
        <w:rPr>
          <w:rFonts w:hint="cs"/>
          <w:rtl/>
        </w:rPr>
        <w:t>ال</w:t>
      </w:r>
      <w:r w:rsidRPr="00B5080E">
        <w:rPr>
          <w:rFonts w:hint="eastAsia"/>
          <w:rtl/>
        </w:rPr>
        <w:t>بهسود</w:t>
      </w:r>
      <w:r w:rsidRPr="00B5080E">
        <w:rPr>
          <w:rFonts w:hint="cs"/>
          <w:rtl/>
        </w:rPr>
        <w:t>ي</w:t>
      </w:r>
      <w:r w:rsidRPr="00B5080E">
        <w:rPr>
          <w:rFonts w:hint="eastAsia"/>
          <w:rtl/>
        </w:rPr>
        <w:t>،</w:t>
      </w:r>
      <w:r w:rsidRPr="00B5080E">
        <w:rPr>
          <w:rtl/>
        </w:rPr>
        <w:t xml:space="preserve"> </w:t>
      </w:r>
      <w:r w:rsidRPr="00B5080E">
        <w:rPr>
          <w:rFonts w:hint="eastAsia"/>
          <w:rtl/>
        </w:rPr>
        <w:t>مصباح</w:t>
      </w:r>
      <w:r w:rsidRPr="00B5080E">
        <w:rPr>
          <w:rtl/>
        </w:rPr>
        <w:t xml:space="preserve"> </w:t>
      </w:r>
      <w:r w:rsidRPr="00B5080E">
        <w:rPr>
          <w:rFonts w:hint="eastAsia"/>
          <w:rtl/>
        </w:rPr>
        <w:t>ال</w:t>
      </w:r>
      <w:r w:rsidRPr="00B5080E">
        <w:rPr>
          <w:rFonts w:hint="cs"/>
          <w:rtl/>
        </w:rPr>
        <w:t>أ</w:t>
      </w:r>
      <w:r w:rsidRPr="00B5080E">
        <w:rPr>
          <w:rFonts w:hint="eastAsia"/>
          <w:rtl/>
        </w:rPr>
        <w:t>صول،</w:t>
      </w:r>
      <w:r w:rsidRPr="00B5080E">
        <w:rPr>
          <w:rtl/>
        </w:rPr>
        <w:t xml:space="preserve">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السيد</w:t>
      </w:r>
      <w:r w:rsidRPr="00B5080E">
        <w:rPr>
          <w:rtl/>
        </w:rPr>
        <w:t xml:space="preserve"> </w:t>
      </w:r>
      <w:r w:rsidRPr="00B5080E">
        <w:rPr>
          <w:rFonts w:hint="cs"/>
          <w:rtl/>
        </w:rPr>
        <w:t>أب</w:t>
      </w:r>
      <w:r w:rsidRPr="00B5080E">
        <w:rPr>
          <w:rFonts w:hint="eastAsia"/>
          <w:rtl/>
        </w:rPr>
        <w:t>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الخوئي،</w:t>
      </w:r>
      <w:r w:rsidRPr="00B5080E">
        <w:rPr>
          <w:rtl/>
        </w:rPr>
        <w:t xml:space="preserve"> (</w:t>
      </w:r>
      <w:r w:rsidRPr="00B5080E">
        <w:rPr>
          <w:rFonts w:hint="eastAsia"/>
          <w:rtl/>
        </w:rPr>
        <w:t>النجف،</w:t>
      </w:r>
      <w:r w:rsidRPr="00B5080E">
        <w:rPr>
          <w:rtl/>
        </w:rPr>
        <w:t xml:space="preserve"> 1386</w:t>
      </w:r>
      <w:r w:rsidRPr="00B5080E">
        <w:rPr>
          <w:rFonts w:hint="cs"/>
          <w:rtl/>
        </w:rPr>
        <w:t>هـ</w:t>
      </w:r>
      <w:r w:rsidRPr="00B5080E">
        <w:rPr>
          <w:rtl/>
        </w:rPr>
        <w:t>).</w:t>
      </w:r>
    </w:p>
    <w:p w:rsidR="00EA09EB" w:rsidRPr="00B5080E" w:rsidRDefault="00EA09EB" w:rsidP="00B5080E">
      <w:r w:rsidRPr="00B5080E">
        <w:rPr>
          <w:rFonts w:hint="cs"/>
          <w:rtl/>
        </w:rPr>
        <w:t>ـ ال</w:t>
      </w:r>
      <w:r w:rsidRPr="00B5080E">
        <w:rPr>
          <w:rFonts w:hint="eastAsia"/>
          <w:rtl/>
        </w:rPr>
        <w:t>بيهق</w:t>
      </w:r>
      <w:r w:rsidRPr="00B5080E">
        <w:rPr>
          <w:rFonts w:hint="cs"/>
          <w:rtl/>
        </w:rPr>
        <w:t>ي</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بكر</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بن</w:t>
      </w:r>
      <w:r w:rsidRPr="00B5080E">
        <w:rPr>
          <w:rtl/>
        </w:rPr>
        <w:t xml:space="preserve"> </w:t>
      </w:r>
      <w:r w:rsidRPr="00B5080E">
        <w:rPr>
          <w:rFonts w:hint="eastAsia"/>
          <w:rtl/>
        </w:rPr>
        <w:t>حسين</w:t>
      </w:r>
      <w:r w:rsidRPr="00B5080E">
        <w:rPr>
          <w:rtl/>
        </w:rPr>
        <w:t>)</w:t>
      </w:r>
      <w:r w:rsidRPr="00B5080E">
        <w:rPr>
          <w:rFonts w:hint="eastAsia"/>
          <w:rtl/>
        </w:rPr>
        <w:t>،</w:t>
      </w:r>
      <w:r w:rsidRPr="00B5080E">
        <w:rPr>
          <w:rtl/>
        </w:rPr>
        <w:t xml:space="preserve"> </w:t>
      </w:r>
      <w:r w:rsidRPr="00B5080E">
        <w:rPr>
          <w:rFonts w:hint="eastAsia"/>
          <w:rtl/>
        </w:rPr>
        <w:t>السنن</w:t>
      </w:r>
      <w:r w:rsidRPr="00B5080E">
        <w:rPr>
          <w:rtl/>
        </w:rPr>
        <w:t xml:space="preserve"> </w:t>
      </w:r>
      <w:r w:rsidRPr="00B5080E">
        <w:rPr>
          <w:rFonts w:hint="eastAsia"/>
          <w:rtl/>
        </w:rPr>
        <w:t>الصغير،</w:t>
      </w:r>
      <w:r w:rsidRPr="00B5080E">
        <w:rPr>
          <w:rtl/>
        </w:rPr>
        <w:t xml:space="preserve"> 4 </w:t>
      </w:r>
      <w:r w:rsidRPr="00B5080E">
        <w:rPr>
          <w:rFonts w:hint="eastAsia"/>
          <w:rtl/>
        </w:rPr>
        <w:t>مجلد،</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عبد</w:t>
      </w:r>
      <w:r w:rsidRPr="00B5080E">
        <w:rPr>
          <w:rFonts w:hint="cs"/>
          <w:rtl/>
        </w:rPr>
        <w:t xml:space="preserve"> </w:t>
      </w:r>
      <w:r w:rsidRPr="00B5080E">
        <w:rPr>
          <w:rFonts w:hint="eastAsia"/>
          <w:rtl/>
        </w:rPr>
        <w:t>العل</w:t>
      </w:r>
      <w:r w:rsidRPr="00B5080E">
        <w:rPr>
          <w:rFonts w:hint="cs"/>
          <w:rtl/>
        </w:rPr>
        <w:t>ي</w:t>
      </w:r>
      <w:r w:rsidRPr="00B5080E">
        <w:rPr>
          <w:rtl/>
        </w:rPr>
        <w:t xml:space="preserve"> </w:t>
      </w:r>
      <w:r w:rsidRPr="00B5080E">
        <w:rPr>
          <w:rFonts w:hint="cs"/>
          <w:rtl/>
        </w:rPr>
        <w:t>أم</w:t>
      </w:r>
      <w:r w:rsidRPr="00B5080E">
        <w:rPr>
          <w:rFonts w:hint="eastAsia"/>
          <w:rtl/>
        </w:rPr>
        <w:t>ين</w:t>
      </w:r>
      <w:r w:rsidRPr="00B5080E">
        <w:rPr>
          <w:rtl/>
        </w:rPr>
        <w:t xml:space="preserve"> </w:t>
      </w:r>
      <w:r w:rsidRPr="00B5080E">
        <w:rPr>
          <w:rFonts w:hint="eastAsia"/>
          <w:rtl/>
        </w:rPr>
        <w:t>قلعج</w:t>
      </w:r>
      <w:r w:rsidRPr="00B5080E">
        <w:rPr>
          <w:rFonts w:hint="cs"/>
          <w:rtl/>
        </w:rPr>
        <w:t>ي</w:t>
      </w:r>
      <w:r w:rsidRPr="00B5080E">
        <w:rPr>
          <w:rtl/>
        </w:rPr>
        <w:t xml:space="preserve"> (</w:t>
      </w:r>
      <w:r w:rsidRPr="00B5080E">
        <w:rPr>
          <w:rFonts w:hint="eastAsia"/>
          <w:rtl/>
        </w:rPr>
        <w:t>باكستان،</w:t>
      </w:r>
      <w:r w:rsidRPr="00B5080E">
        <w:rPr>
          <w:rtl/>
        </w:rPr>
        <w:t xml:space="preserve"> 1410</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جواد</w:t>
      </w:r>
      <w:r w:rsidRPr="00B5080E">
        <w:rPr>
          <w:rtl/>
        </w:rPr>
        <w:t xml:space="preserve"> </w:t>
      </w:r>
      <w:r w:rsidRPr="00B5080E">
        <w:rPr>
          <w:rFonts w:hint="cs"/>
          <w:rtl/>
        </w:rPr>
        <w:t>ال</w:t>
      </w:r>
      <w:r w:rsidRPr="00B5080E">
        <w:rPr>
          <w:rFonts w:hint="eastAsia"/>
          <w:rtl/>
        </w:rPr>
        <w:t>تبريز</w:t>
      </w:r>
      <w:r w:rsidRPr="00B5080E">
        <w:rPr>
          <w:rFonts w:hint="cs"/>
          <w:rtl/>
        </w:rPr>
        <w:t>ي</w:t>
      </w:r>
      <w:r w:rsidRPr="00B5080E">
        <w:rPr>
          <w:rFonts w:hint="eastAsia"/>
          <w:rtl/>
        </w:rPr>
        <w:t>،</w:t>
      </w:r>
      <w:r w:rsidRPr="00B5080E">
        <w:rPr>
          <w:rtl/>
        </w:rPr>
        <w:t xml:space="preserve"> </w:t>
      </w:r>
      <w:r w:rsidRPr="00B5080E">
        <w:rPr>
          <w:rFonts w:hint="cs"/>
          <w:rtl/>
        </w:rPr>
        <w:t>إ</w:t>
      </w:r>
      <w:r w:rsidRPr="00B5080E">
        <w:rPr>
          <w:rFonts w:hint="eastAsia"/>
          <w:rtl/>
        </w:rPr>
        <w:t>يصال</w:t>
      </w:r>
      <w:r w:rsidRPr="00B5080E">
        <w:rPr>
          <w:rtl/>
        </w:rPr>
        <w:t xml:space="preserve"> </w:t>
      </w:r>
      <w:r w:rsidRPr="00B5080E">
        <w:rPr>
          <w:rFonts w:hint="eastAsia"/>
          <w:rtl/>
        </w:rPr>
        <w:t>الطالب</w:t>
      </w:r>
      <w:r w:rsidRPr="00B5080E">
        <w:rPr>
          <w:rtl/>
        </w:rPr>
        <w:t xml:space="preserve"> </w:t>
      </w:r>
      <w:r w:rsidRPr="00B5080E">
        <w:rPr>
          <w:rFonts w:hint="cs"/>
          <w:rtl/>
        </w:rPr>
        <w:t>إ</w:t>
      </w:r>
      <w:r w:rsidRPr="00B5080E">
        <w:rPr>
          <w:rFonts w:hint="eastAsia"/>
          <w:rtl/>
        </w:rPr>
        <w:t>لى</w:t>
      </w:r>
      <w:r w:rsidRPr="00B5080E">
        <w:rPr>
          <w:rtl/>
        </w:rPr>
        <w:t xml:space="preserve"> </w:t>
      </w:r>
      <w:r w:rsidRPr="00B5080E">
        <w:rPr>
          <w:rFonts w:hint="eastAsia"/>
          <w:rtl/>
        </w:rPr>
        <w:t>التعليق</w:t>
      </w:r>
      <w:r w:rsidRPr="00B5080E">
        <w:rPr>
          <w:rtl/>
        </w:rPr>
        <w:t xml:space="preserve"> </w:t>
      </w:r>
      <w:r w:rsidRPr="00B5080E">
        <w:rPr>
          <w:rFonts w:hint="eastAsia"/>
          <w:rtl/>
        </w:rPr>
        <w:t>على</w:t>
      </w:r>
      <w:r w:rsidRPr="00B5080E">
        <w:rPr>
          <w:rtl/>
        </w:rPr>
        <w:t xml:space="preserve"> </w:t>
      </w:r>
      <w:r w:rsidRPr="00B5080E">
        <w:rPr>
          <w:rFonts w:hint="eastAsia"/>
          <w:rtl/>
        </w:rPr>
        <w:t>المكاسب،</w:t>
      </w:r>
      <w:r w:rsidRPr="00B5080E">
        <w:rPr>
          <w:rtl/>
        </w:rPr>
        <w:t xml:space="preserve"> 4 </w:t>
      </w:r>
      <w:r w:rsidRPr="00B5080E">
        <w:rPr>
          <w:rFonts w:hint="eastAsia"/>
          <w:rtl/>
        </w:rPr>
        <w:t>مجلد</w:t>
      </w:r>
      <w:r w:rsidRPr="00B5080E">
        <w:rPr>
          <w:rtl/>
        </w:rPr>
        <w:t xml:space="preserve"> (</w:t>
      </w:r>
      <w:r w:rsidRPr="00B5080E">
        <w:rPr>
          <w:rFonts w:hint="eastAsia"/>
          <w:rtl/>
        </w:rPr>
        <w:t>قم،</w:t>
      </w:r>
      <w:r w:rsidRPr="00B5080E">
        <w:rPr>
          <w:rtl/>
        </w:rPr>
        <w:t xml:space="preserve"> 1411</w:t>
      </w:r>
      <w:r w:rsidRPr="00B5080E">
        <w:rPr>
          <w:rFonts w:hint="cs"/>
          <w:rtl/>
        </w:rPr>
        <w:t>هـ</w:t>
      </w:r>
      <w:r w:rsidRPr="00B5080E">
        <w:rPr>
          <w:rtl/>
        </w:rPr>
        <w:t>).</w:t>
      </w:r>
    </w:p>
    <w:p w:rsidR="00EA09EB" w:rsidRPr="00B5080E" w:rsidRDefault="00EA09EB" w:rsidP="00B5080E">
      <w:r w:rsidRPr="00B5080E">
        <w:rPr>
          <w:rFonts w:hint="cs"/>
          <w:rtl/>
        </w:rPr>
        <w:t>ـ ال</w:t>
      </w:r>
      <w:r w:rsidRPr="00B5080E">
        <w:rPr>
          <w:rFonts w:hint="eastAsia"/>
          <w:rtl/>
        </w:rPr>
        <w:t>ترمذ</w:t>
      </w:r>
      <w:r w:rsidRPr="00B5080E">
        <w:rPr>
          <w:rFonts w:hint="cs"/>
          <w:rtl/>
        </w:rPr>
        <w:t>ي</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عيسى</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eastAsia"/>
          <w:rtl/>
        </w:rPr>
        <w:t>عيسى</w:t>
      </w:r>
      <w:r w:rsidRPr="00B5080E">
        <w:rPr>
          <w:rtl/>
        </w:rPr>
        <w:t>)</w:t>
      </w:r>
      <w:r w:rsidRPr="00B5080E">
        <w:rPr>
          <w:rFonts w:hint="eastAsia"/>
          <w:rtl/>
        </w:rPr>
        <w:t>،</w:t>
      </w:r>
      <w:r w:rsidRPr="00B5080E">
        <w:rPr>
          <w:rtl/>
        </w:rPr>
        <w:t xml:space="preserve"> </w:t>
      </w:r>
      <w:r w:rsidRPr="00B5080E">
        <w:rPr>
          <w:rFonts w:hint="eastAsia"/>
          <w:rtl/>
        </w:rPr>
        <w:t>سنن</w:t>
      </w:r>
      <w:r w:rsidRPr="00B5080E">
        <w:rPr>
          <w:rtl/>
        </w:rPr>
        <w:t xml:space="preserve"> </w:t>
      </w:r>
      <w:r w:rsidRPr="00B5080E">
        <w:rPr>
          <w:rFonts w:hint="eastAsia"/>
          <w:rtl/>
        </w:rPr>
        <w:t>الترمذ</w:t>
      </w:r>
      <w:r w:rsidRPr="00B5080E">
        <w:rPr>
          <w:rFonts w:hint="cs"/>
          <w:rtl/>
        </w:rPr>
        <w:t>ي</w:t>
      </w:r>
      <w:r w:rsidRPr="00B5080E">
        <w:rPr>
          <w:rFonts w:hint="eastAsia"/>
          <w:rtl/>
        </w:rPr>
        <w:t>،</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شاكر،</w:t>
      </w:r>
      <w:r w:rsidRPr="00B5080E">
        <w:rPr>
          <w:rtl/>
        </w:rPr>
        <w:t xml:space="preserve"> 5 </w:t>
      </w:r>
      <w:r w:rsidRPr="00B5080E">
        <w:rPr>
          <w:rFonts w:hint="eastAsia"/>
          <w:rtl/>
        </w:rPr>
        <w:t>مجلد،</w:t>
      </w:r>
      <w:r w:rsidRPr="00B5080E">
        <w:rPr>
          <w:rtl/>
        </w:rPr>
        <w:t xml:space="preserve"> (</w:t>
      </w:r>
      <w:r w:rsidRPr="00B5080E">
        <w:rPr>
          <w:rFonts w:hint="eastAsia"/>
          <w:rtl/>
        </w:rPr>
        <w:t>بيروت</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tl/>
        </w:rPr>
        <w:t xml:space="preserve"> </w:t>
      </w:r>
      <w:r w:rsidRPr="00B5080E">
        <w:rPr>
          <w:rFonts w:hint="eastAsia"/>
          <w:rtl/>
        </w:rPr>
        <w:t>تق</w:t>
      </w:r>
      <w:r w:rsidRPr="00B5080E">
        <w:rPr>
          <w:rFonts w:hint="cs"/>
          <w:rtl/>
        </w:rPr>
        <w:t>ي</w:t>
      </w:r>
      <w:r w:rsidRPr="00B5080E">
        <w:rPr>
          <w:rtl/>
        </w:rPr>
        <w:t xml:space="preserve"> </w:t>
      </w:r>
      <w:r w:rsidRPr="00B5080E">
        <w:rPr>
          <w:rFonts w:hint="eastAsia"/>
          <w:rtl/>
        </w:rPr>
        <w:t>التستري،</w:t>
      </w:r>
      <w:r w:rsidRPr="00B5080E">
        <w:rPr>
          <w:rtl/>
        </w:rPr>
        <w:t xml:space="preserve"> </w:t>
      </w:r>
      <w:r w:rsidRPr="00B5080E">
        <w:rPr>
          <w:rFonts w:hint="eastAsia"/>
          <w:rtl/>
        </w:rPr>
        <w:t>قاموس</w:t>
      </w:r>
      <w:r w:rsidRPr="00B5080E">
        <w:rPr>
          <w:rtl/>
        </w:rPr>
        <w:t xml:space="preserve"> </w:t>
      </w:r>
      <w:r w:rsidRPr="00B5080E">
        <w:rPr>
          <w:rFonts w:hint="eastAsia"/>
          <w:rtl/>
        </w:rPr>
        <w:t>الرجال،</w:t>
      </w:r>
      <w:r w:rsidRPr="00B5080E">
        <w:rPr>
          <w:rtl/>
        </w:rPr>
        <w:t xml:space="preserve"> (</w:t>
      </w:r>
      <w:r w:rsidRPr="00B5080E">
        <w:rPr>
          <w:rFonts w:hint="eastAsia"/>
          <w:rtl/>
        </w:rPr>
        <w:t>قم،</w:t>
      </w:r>
      <w:r w:rsidRPr="00B5080E">
        <w:rPr>
          <w:rtl/>
        </w:rPr>
        <w:t xml:space="preserve"> </w:t>
      </w:r>
      <w:r w:rsidRPr="00B5080E">
        <w:rPr>
          <w:rFonts w:hint="eastAsia"/>
          <w:rtl/>
        </w:rPr>
        <w:t>الطبعة</w:t>
      </w:r>
      <w:r w:rsidRPr="00B5080E">
        <w:rPr>
          <w:rtl/>
        </w:rPr>
        <w:t xml:space="preserve"> </w:t>
      </w:r>
      <w:r w:rsidRPr="00B5080E">
        <w:rPr>
          <w:rFonts w:hint="eastAsia"/>
          <w:rtl/>
        </w:rPr>
        <w:t>الثانية</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cs"/>
          <w:rtl/>
        </w:rPr>
        <w:t>ال</w:t>
      </w:r>
      <w:r w:rsidRPr="00B5080E">
        <w:rPr>
          <w:rFonts w:hint="eastAsia"/>
          <w:rtl/>
        </w:rPr>
        <w:t>توحيد</w:t>
      </w:r>
      <w:r w:rsidRPr="00B5080E">
        <w:rPr>
          <w:rFonts w:hint="cs"/>
          <w:rtl/>
        </w:rPr>
        <w:t>ي</w:t>
      </w:r>
      <w:r w:rsidRPr="00B5080E">
        <w:rPr>
          <w:rFonts w:hint="eastAsia"/>
          <w:rtl/>
        </w:rPr>
        <w:t>،</w:t>
      </w:r>
      <w:r w:rsidRPr="00B5080E">
        <w:rPr>
          <w:rtl/>
        </w:rPr>
        <w:t xml:space="preserve"> </w:t>
      </w:r>
      <w:r w:rsidRPr="00B5080E">
        <w:rPr>
          <w:rFonts w:hint="eastAsia"/>
          <w:rtl/>
        </w:rPr>
        <w:t>مصباح</w:t>
      </w:r>
      <w:r w:rsidRPr="00B5080E">
        <w:rPr>
          <w:rtl/>
        </w:rPr>
        <w:t xml:space="preserve"> </w:t>
      </w:r>
      <w:r w:rsidRPr="00B5080E">
        <w:rPr>
          <w:rFonts w:hint="eastAsia"/>
          <w:rtl/>
        </w:rPr>
        <w:t>الفقاهة،</w:t>
      </w:r>
      <w:r w:rsidRPr="00B5080E">
        <w:rPr>
          <w:rtl/>
        </w:rPr>
        <w:t xml:space="preserve"> </w:t>
      </w:r>
      <w:r w:rsidRPr="00B5080E">
        <w:rPr>
          <w:rFonts w:hint="eastAsia"/>
          <w:rtl/>
        </w:rPr>
        <w:t>تقرير</w:t>
      </w:r>
      <w:r w:rsidRPr="00B5080E">
        <w:rPr>
          <w:rtl/>
        </w:rPr>
        <w:t xml:space="preserve"> </w:t>
      </w:r>
      <w:r w:rsidRPr="00B5080E">
        <w:rPr>
          <w:rFonts w:hint="cs"/>
          <w:rtl/>
        </w:rPr>
        <w:t>أب</w:t>
      </w:r>
      <w:r w:rsidRPr="00B5080E">
        <w:rPr>
          <w:rFonts w:hint="eastAsia"/>
          <w:rtl/>
        </w:rPr>
        <w:t>حاث</w:t>
      </w:r>
      <w:r w:rsidRPr="00B5080E">
        <w:rPr>
          <w:rtl/>
        </w:rPr>
        <w:t xml:space="preserve"> </w:t>
      </w:r>
      <w:r w:rsidRPr="00B5080E">
        <w:rPr>
          <w:rFonts w:hint="eastAsia"/>
          <w:rtl/>
        </w:rPr>
        <w:t>السيد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الخوئي،</w:t>
      </w:r>
      <w:r w:rsidRPr="00B5080E">
        <w:rPr>
          <w:rtl/>
        </w:rPr>
        <w:t xml:space="preserve"> 7 </w:t>
      </w:r>
      <w:r w:rsidRPr="00B5080E">
        <w:rPr>
          <w:rFonts w:hint="eastAsia"/>
          <w:rtl/>
        </w:rPr>
        <w:t>مجلد،</w:t>
      </w:r>
      <w:r w:rsidRPr="00B5080E">
        <w:rPr>
          <w:rtl/>
        </w:rPr>
        <w:t xml:space="preserve"> (</w:t>
      </w:r>
      <w:r w:rsidRPr="00B5080E">
        <w:rPr>
          <w:rFonts w:hint="eastAsia"/>
          <w:rtl/>
        </w:rPr>
        <w:t>قم،</w:t>
      </w:r>
      <w:r w:rsidRPr="00B5080E">
        <w:rPr>
          <w:rtl/>
        </w:rPr>
        <w:t xml:space="preserve"> 1368</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ثقة</w:t>
      </w:r>
      <w:r w:rsidRPr="00B5080E">
        <w:rPr>
          <w:rFonts w:hint="cs"/>
          <w:rtl/>
        </w:rPr>
        <w:t xml:space="preserve"> </w:t>
      </w:r>
      <w:r w:rsidRPr="00B5080E">
        <w:rPr>
          <w:rFonts w:hint="eastAsia"/>
          <w:rtl/>
        </w:rPr>
        <w:t>ال</w:t>
      </w:r>
      <w:r w:rsidRPr="00B5080E">
        <w:rPr>
          <w:rFonts w:hint="cs"/>
          <w:rtl/>
        </w:rPr>
        <w:t>إ</w:t>
      </w:r>
      <w:r w:rsidRPr="00B5080E">
        <w:rPr>
          <w:rFonts w:hint="eastAsia"/>
          <w:rtl/>
        </w:rPr>
        <w:t>سلام</w:t>
      </w:r>
      <w:r w:rsidRPr="00B5080E">
        <w:rPr>
          <w:rtl/>
        </w:rPr>
        <w:t xml:space="preserve"> </w:t>
      </w:r>
      <w:r w:rsidRPr="00B5080E">
        <w:rPr>
          <w:rFonts w:hint="eastAsia"/>
          <w:rtl/>
        </w:rPr>
        <w:t>الأصفهاني،</w:t>
      </w:r>
      <w:r w:rsidRPr="00B5080E">
        <w:rPr>
          <w:rtl/>
        </w:rPr>
        <w:t xml:space="preserve"> </w:t>
      </w:r>
      <w:r w:rsidRPr="00B5080E">
        <w:rPr>
          <w:rFonts w:hint="eastAsia"/>
          <w:rtl/>
        </w:rPr>
        <w:t>رسالة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الولايات،</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ـ إ</w:t>
      </w:r>
      <w:r w:rsidRPr="00B5080E">
        <w:rPr>
          <w:rFonts w:hint="eastAsia"/>
          <w:rtl/>
        </w:rPr>
        <w:t>سماعيل</w:t>
      </w:r>
      <w:r w:rsidRPr="00B5080E">
        <w:rPr>
          <w:rtl/>
        </w:rPr>
        <w:t xml:space="preserve"> </w:t>
      </w:r>
      <w:r w:rsidRPr="00B5080E">
        <w:rPr>
          <w:rFonts w:hint="eastAsia"/>
          <w:rtl/>
        </w:rPr>
        <w:t>بن</w:t>
      </w:r>
      <w:r w:rsidRPr="00B5080E">
        <w:rPr>
          <w:rtl/>
        </w:rPr>
        <w:t xml:space="preserve"> </w:t>
      </w:r>
      <w:r w:rsidRPr="00B5080E">
        <w:rPr>
          <w:rFonts w:hint="eastAsia"/>
          <w:rtl/>
        </w:rPr>
        <w:t>حمّاد</w:t>
      </w:r>
      <w:r w:rsidRPr="00B5080E">
        <w:rPr>
          <w:rtl/>
        </w:rPr>
        <w:t xml:space="preserve"> </w:t>
      </w:r>
      <w:r w:rsidRPr="00B5080E">
        <w:rPr>
          <w:rFonts w:hint="cs"/>
          <w:rtl/>
        </w:rPr>
        <w:t>ال</w:t>
      </w:r>
      <w:r w:rsidRPr="00B5080E">
        <w:rPr>
          <w:rFonts w:hint="eastAsia"/>
          <w:rtl/>
        </w:rPr>
        <w:t>جوهر</w:t>
      </w:r>
      <w:r w:rsidRPr="00B5080E">
        <w:rPr>
          <w:rFonts w:hint="cs"/>
          <w:rtl/>
        </w:rPr>
        <w:t>ي</w:t>
      </w:r>
      <w:r w:rsidRPr="00B5080E">
        <w:rPr>
          <w:rFonts w:hint="eastAsia"/>
          <w:rtl/>
        </w:rPr>
        <w:t>،</w:t>
      </w:r>
      <w:r w:rsidRPr="00B5080E">
        <w:rPr>
          <w:rtl/>
        </w:rPr>
        <w:t xml:space="preserve"> </w:t>
      </w:r>
      <w:r w:rsidRPr="00B5080E">
        <w:rPr>
          <w:rFonts w:hint="eastAsia"/>
          <w:rtl/>
        </w:rPr>
        <w:t>الصحاح</w:t>
      </w:r>
      <w:r w:rsidRPr="00B5080E">
        <w:rPr>
          <w:rtl/>
        </w:rPr>
        <w:t xml:space="preserve"> (</w:t>
      </w:r>
      <w:r w:rsidRPr="00B5080E">
        <w:rPr>
          <w:rFonts w:hint="eastAsia"/>
          <w:rtl/>
        </w:rPr>
        <w:t>تاج</w:t>
      </w:r>
      <w:r w:rsidRPr="00B5080E">
        <w:rPr>
          <w:rtl/>
        </w:rPr>
        <w:t xml:space="preserve"> </w:t>
      </w:r>
      <w:r w:rsidRPr="00B5080E">
        <w:rPr>
          <w:rFonts w:hint="eastAsia"/>
          <w:rtl/>
        </w:rPr>
        <w:t>اللغة</w:t>
      </w:r>
      <w:r w:rsidRPr="00B5080E">
        <w:rPr>
          <w:rtl/>
        </w:rPr>
        <w:t xml:space="preserve"> </w:t>
      </w:r>
      <w:r w:rsidRPr="00B5080E">
        <w:rPr>
          <w:rFonts w:hint="eastAsia"/>
          <w:rtl/>
        </w:rPr>
        <w:t>وصحاح</w:t>
      </w:r>
      <w:r w:rsidRPr="00B5080E">
        <w:rPr>
          <w:rtl/>
        </w:rPr>
        <w:t xml:space="preserve"> </w:t>
      </w:r>
      <w:r w:rsidRPr="00B5080E">
        <w:rPr>
          <w:rFonts w:hint="eastAsia"/>
          <w:rtl/>
        </w:rPr>
        <w:t>العربية</w:t>
      </w:r>
      <w:r w:rsidRPr="00B5080E">
        <w:rPr>
          <w:rtl/>
        </w:rPr>
        <w:t>)</w:t>
      </w:r>
      <w:r w:rsidRPr="00B5080E">
        <w:rPr>
          <w:rFonts w:hint="eastAsia"/>
          <w:rtl/>
        </w:rPr>
        <w:t>،</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عبد</w:t>
      </w:r>
      <w:r w:rsidRPr="00B5080E">
        <w:rPr>
          <w:rFonts w:hint="cs"/>
          <w:rtl/>
        </w:rPr>
        <w:t xml:space="preserve"> </w:t>
      </w:r>
      <w:r w:rsidRPr="00B5080E">
        <w:rPr>
          <w:rFonts w:hint="eastAsia"/>
          <w:rtl/>
        </w:rPr>
        <w:t>الغفور</w:t>
      </w:r>
      <w:r w:rsidRPr="00B5080E">
        <w:rPr>
          <w:rtl/>
        </w:rPr>
        <w:t xml:space="preserve"> </w:t>
      </w:r>
      <w:r w:rsidRPr="00B5080E">
        <w:rPr>
          <w:rFonts w:hint="eastAsia"/>
          <w:rtl/>
        </w:rPr>
        <w:t>عطّار،</w:t>
      </w:r>
      <w:r w:rsidRPr="00B5080E">
        <w:rPr>
          <w:rtl/>
        </w:rPr>
        <w:t xml:space="preserve"> 6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الثالثة،</w:t>
      </w:r>
      <w:r w:rsidRPr="00B5080E">
        <w:rPr>
          <w:rtl/>
        </w:rPr>
        <w:t xml:space="preserve"> (</w:t>
      </w:r>
      <w:r w:rsidRPr="00B5080E">
        <w:rPr>
          <w:rFonts w:hint="eastAsia"/>
          <w:rtl/>
        </w:rPr>
        <w:t>بيروت،</w:t>
      </w:r>
      <w:r w:rsidRPr="00B5080E">
        <w:rPr>
          <w:rtl/>
        </w:rPr>
        <w:t xml:space="preserve"> 1404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كاظم</w:t>
      </w:r>
      <w:r w:rsidRPr="00B5080E">
        <w:rPr>
          <w:rtl/>
        </w:rPr>
        <w:t xml:space="preserve"> </w:t>
      </w:r>
      <w:r w:rsidRPr="00B5080E">
        <w:rPr>
          <w:rFonts w:hint="cs"/>
          <w:rtl/>
        </w:rPr>
        <w:t>ال</w:t>
      </w:r>
      <w:r w:rsidRPr="00B5080E">
        <w:rPr>
          <w:rFonts w:hint="eastAsia"/>
          <w:rtl/>
        </w:rPr>
        <w:t>حسين</w:t>
      </w:r>
      <w:r w:rsidRPr="00B5080E">
        <w:rPr>
          <w:rFonts w:hint="cs"/>
          <w:rtl/>
        </w:rPr>
        <w:t>ي</w:t>
      </w:r>
      <w:r w:rsidRPr="00B5080E">
        <w:rPr>
          <w:rtl/>
        </w:rPr>
        <w:t xml:space="preserve"> </w:t>
      </w:r>
      <w:r w:rsidRPr="00B5080E">
        <w:rPr>
          <w:rFonts w:hint="eastAsia"/>
          <w:rtl/>
        </w:rPr>
        <w:t>الحائري،</w:t>
      </w:r>
      <w:r w:rsidRPr="00B5080E">
        <w:rPr>
          <w:rtl/>
        </w:rPr>
        <w:t xml:space="preserve"> </w:t>
      </w:r>
      <w:r w:rsidRPr="00B5080E">
        <w:rPr>
          <w:rFonts w:hint="cs"/>
          <w:rtl/>
        </w:rPr>
        <w:t>أ</w:t>
      </w:r>
      <w:r w:rsidRPr="00B5080E">
        <w:rPr>
          <w:rFonts w:hint="eastAsia"/>
          <w:rtl/>
        </w:rPr>
        <w:t>ساس</w:t>
      </w:r>
      <w:r w:rsidRPr="00B5080E">
        <w:rPr>
          <w:rtl/>
        </w:rPr>
        <w:t xml:space="preserve"> </w:t>
      </w:r>
      <w:r w:rsidRPr="00B5080E">
        <w:rPr>
          <w:rFonts w:hint="eastAsia"/>
          <w:rtl/>
        </w:rPr>
        <w:t>الحكومة</w:t>
      </w:r>
      <w:r w:rsidRPr="00B5080E">
        <w:rPr>
          <w:rtl/>
        </w:rPr>
        <w:t xml:space="preserve"> </w:t>
      </w:r>
      <w:r w:rsidRPr="00B5080E">
        <w:rPr>
          <w:rFonts w:hint="eastAsia"/>
          <w:rtl/>
        </w:rPr>
        <w:t>ال</w:t>
      </w:r>
      <w:r w:rsidRPr="00B5080E">
        <w:rPr>
          <w:rFonts w:hint="cs"/>
          <w:rtl/>
        </w:rPr>
        <w:t>إ</w:t>
      </w:r>
      <w:r w:rsidRPr="00B5080E">
        <w:rPr>
          <w:rFonts w:hint="eastAsia"/>
          <w:rtl/>
        </w:rPr>
        <w:t>سلامية،</w:t>
      </w:r>
      <w:r w:rsidRPr="00B5080E">
        <w:rPr>
          <w:rtl/>
        </w:rPr>
        <w:t xml:space="preserve"> (</w:t>
      </w:r>
      <w:r w:rsidRPr="00B5080E">
        <w:rPr>
          <w:rFonts w:hint="eastAsia"/>
          <w:rtl/>
        </w:rPr>
        <w:t>بيروت،</w:t>
      </w:r>
      <w:r w:rsidRPr="00B5080E">
        <w:rPr>
          <w:rtl/>
        </w:rPr>
        <w:t xml:space="preserve"> 1399</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كاظم</w:t>
      </w:r>
      <w:r w:rsidRPr="00B5080E">
        <w:rPr>
          <w:rtl/>
        </w:rPr>
        <w:t xml:space="preserve"> </w:t>
      </w:r>
      <w:r w:rsidRPr="00B5080E">
        <w:rPr>
          <w:rFonts w:hint="cs"/>
          <w:rtl/>
        </w:rPr>
        <w:t>ال</w:t>
      </w:r>
      <w:r w:rsidRPr="00B5080E">
        <w:rPr>
          <w:rFonts w:hint="eastAsia"/>
          <w:rtl/>
        </w:rPr>
        <w:t>حسين</w:t>
      </w:r>
      <w:r w:rsidRPr="00B5080E">
        <w:rPr>
          <w:rFonts w:hint="cs"/>
          <w:rtl/>
        </w:rPr>
        <w:t>ي</w:t>
      </w:r>
      <w:r w:rsidRPr="00B5080E">
        <w:rPr>
          <w:rtl/>
        </w:rPr>
        <w:t xml:space="preserve"> </w:t>
      </w:r>
      <w:r w:rsidRPr="00B5080E">
        <w:rPr>
          <w:rFonts w:hint="eastAsia"/>
          <w:rtl/>
        </w:rPr>
        <w:t>الحائري،</w:t>
      </w:r>
      <w:r w:rsidRPr="00B5080E">
        <w:rPr>
          <w:rtl/>
        </w:rPr>
        <w:t xml:space="preserve"> </w:t>
      </w:r>
      <w:r w:rsidRPr="00B5080E">
        <w:rPr>
          <w:rFonts w:hint="eastAsia"/>
          <w:rtl/>
        </w:rPr>
        <w:t>ولاية</w:t>
      </w:r>
      <w:r w:rsidRPr="00B5080E">
        <w:rPr>
          <w:rtl/>
        </w:rPr>
        <w:t xml:space="preserve"> </w:t>
      </w:r>
      <w:r w:rsidRPr="00B5080E">
        <w:rPr>
          <w:rFonts w:hint="eastAsia"/>
          <w:rtl/>
        </w:rPr>
        <w:t>ال</w:t>
      </w:r>
      <w:r w:rsidRPr="00B5080E">
        <w:rPr>
          <w:rFonts w:hint="cs"/>
          <w:rtl/>
        </w:rPr>
        <w:t>أ</w:t>
      </w:r>
      <w:r w:rsidRPr="00B5080E">
        <w:rPr>
          <w:rFonts w:hint="eastAsia"/>
          <w:rtl/>
        </w:rPr>
        <w:t>مر</w:t>
      </w:r>
      <w:r w:rsidRPr="00B5080E">
        <w:rPr>
          <w:rtl/>
        </w:rPr>
        <w:t xml:space="preserve"> </w:t>
      </w:r>
      <w:r w:rsidRPr="00B5080E">
        <w:rPr>
          <w:rFonts w:hint="eastAsia"/>
          <w:rtl/>
        </w:rPr>
        <w:t>فى</w:t>
      </w:r>
      <w:r w:rsidRPr="00B5080E">
        <w:rPr>
          <w:rtl/>
        </w:rPr>
        <w:t xml:space="preserve"> </w:t>
      </w:r>
      <w:r w:rsidRPr="00B5080E">
        <w:rPr>
          <w:rFonts w:hint="eastAsia"/>
          <w:rtl/>
        </w:rPr>
        <w:t>عصر</w:t>
      </w:r>
      <w:r w:rsidRPr="00B5080E">
        <w:rPr>
          <w:rtl/>
        </w:rPr>
        <w:t xml:space="preserve"> </w:t>
      </w:r>
      <w:r w:rsidRPr="00B5080E">
        <w:rPr>
          <w:rFonts w:hint="eastAsia"/>
          <w:rtl/>
        </w:rPr>
        <w:t>الغ</w:t>
      </w:r>
      <w:r w:rsidRPr="00B5080E">
        <w:rPr>
          <w:rFonts w:hint="cs"/>
          <w:rtl/>
        </w:rPr>
        <w:t>َ</w:t>
      </w:r>
      <w:r w:rsidRPr="00B5080E">
        <w:rPr>
          <w:rFonts w:hint="eastAsia"/>
          <w:rtl/>
        </w:rPr>
        <w:t>ي</w:t>
      </w:r>
      <w:r w:rsidRPr="00B5080E">
        <w:rPr>
          <w:rFonts w:hint="cs"/>
          <w:rtl/>
        </w:rPr>
        <w:t>ْ</w:t>
      </w:r>
      <w:r w:rsidRPr="00B5080E">
        <w:rPr>
          <w:rFonts w:hint="eastAsia"/>
          <w:rtl/>
        </w:rPr>
        <w:t>بة،</w:t>
      </w:r>
      <w:r w:rsidRPr="00B5080E">
        <w:rPr>
          <w:rtl/>
        </w:rPr>
        <w:t xml:space="preserve"> (</w:t>
      </w:r>
      <w:r w:rsidRPr="00B5080E">
        <w:rPr>
          <w:rFonts w:hint="eastAsia"/>
          <w:rtl/>
        </w:rPr>
        <w:t>قم،</w:t>
      </w:r>
      <w:r w:rsidRPr="00B5080E">
        <w:rPr>
          <w:rtl/>
        </w:rPr>
        <w:t xml:space="preserve"> 1414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كاظم</w:t>
      </w:r>
      <w:r w:rsidRPr="00B5080E">
        <w:rPr>
          <w:rtl/>
        </w:rPr>
        <w:t xml:space="preserve"> </w:t>
      </w:r>
      <w:r w:rsidRPr="00B5080E">
        <w:rPr>
          <w:rFonts w:hint="cs"/>
          <w:rtl/>
        </w:rPr>
        <w:t>ال</w:t>
      </w:r>
      <w:r w:rsidRPr="00B5080E">
        <w:rPr>
          <w:rFonts w:hint="eastAsia"/>
          <w:rtl/>
        </w:rPr>
        <w:t>حسين</w:t>
      </w:r>
      <w:r w:rsidRPr="00B5080E">
        <w:rPr>
          <w:rFonts w:hint="cs"/>
          <w:rtl/>
        </w:rPr>
        <w:t>ي</w:t>
      </w:r>
      <w:r w:rsidRPr="00B5080E">
        <w:rPr>
          <w:rtl/>
        </w:rPr>
        <w:t xml:space="preserve"> </w:t>
      </w:r>
      <w:r w:rsidRPr="00B5080E">
        <w:rPr>
          <w:rFonts w:hint="eastAsia"/>
          <w:rtl/>
        </w:rPr>
        <w:t>الحائري،</w:t>
      </w:r>
      <w:r w:rsidRPr="00B5080E">
        <w:rPr>
          <w:rtl/>
        </w:rPr>
        <w:t xml:space="preserve"> </w:t>
      </w:r>
      <w:r w:rsidRPr="00B5080E">
        <w:rPr>
          <w:rFonts w:hint="eastAsia"/>
          <w:rtl/>
        </w:rPr>
        <w:t>ال</w:t>
      </w:r>
      <w:r w:rsidRPr="00B5080E">
        <w:rPr>
          <w:rFonts w:hint="cs"/>
          <w:rtl/>
        </w:rPr>
        <w:t>إ</w:t>
      </w:r>
      <w:r w:rsidRPr="00B5080E">
        <w:rPr>
          <w:rFonts w:hint="eastAsia"/>
          <w:rtl/>
        </w:rPr>
        <w:t>مامة</w:t>
      </w:r>
      <w:r w:rsidRPr="00B5080E">
        <w:rPr>
          <w:rtl/>
        </w:rPr>
        <w:t xml:space="preserve"> و</w:t>
      </w:r>
      <w:r w:rsidRPr="00B5080E">
        <w:rPr>
          <w:rFonts w:hint="eastAsia"/>
          <w:rtl/>
        </w:rPr>
        <w:t>قيادة</w:t>
      </w:r>
      <w:r w:rsidRPr="00B5080E">
        <w:rPr>
          <w:rtl/>
        </w:rPr>
        <w:t xml:space="preserve"> </w:t>
      </w:r>
      <w:r w:rsidRPr="00B5080E">
        <w:rPr>
          <w:rFonts w:hint="eastAsia"/>
          <w:rtl/>
        </w:rPr>
        <w:t>المجتمع،</w:t>
      </w:r>
      <w:r w:rsidRPr="00B5080E">
        <w:rPr>
          <w:rtl/>
        </w:rPr>
        <w:t xml:space="preserve"> (</w:t>
      </w:r>
      <w:r w:rsidRPr="00B5080E">
        <w:rPr>
          <w:rFonts w:hint="eastAsia"/>
          <w:rtl/>
        </w:rPr>
        <w:t>قم،</w:t>
      </w:r>
      <w:r w:rsidRPr="00B5080E">
        <w:rPr>
          <w:rtl/>
        </w:rPr>
        <w:t xml:space="preserve"> 1416</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الحائري</w:t>
      </w:r>
      <w:r w:rsidRPr="00B5080E">
        <w:rPr>
          <w:rtl/>
        </w:rPr>
        <w:t xml:space="preserve"> </w:t>
      </w:r>
      <w:r w:rsidRPr="00B5080E">
        <w:rPr>
          <w:rFonts w:hint="eastAsia"/>
          <w:rtl/>
        </w:rPr>
        <w:t>اليزدي،</w:t>
      </w:r>
      <w:r w:rsidRPr="00B5080E">
        <w:rPr>
          <w:rtl/>
        </w:rPr>
        <w:t xml:space="preserve"> </w:t>
      </w:r>
      <w:r w:rsidRPr="00B5080E">
        <w:rPr>
          <w:rFonts w:hint="eastAsia"/>
          <w:rtl/>
        </w:rPr>
        <w:t>ابتغاء</w:t>
      </w:r>
      <w:r w:rsidRPr="00B5080E">
        <w:rPr>
          <w:rtl/>
        </w:rPr>
        <w:t xml:space="preserve"> </w:t>
      </w:r>
      <w:r w:rsidRPr="00B5080E">
        <w:rPr>
          <w:rFonts w:hint="eastAsia"/>
          <w:rtl/>
        </w:rPr>
        <w:t>الفضيلة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الوسيلة،</w:t>
      </w:r>
      <w:r w:rsidRPr="00B5080E">
        <w:rPr>
          <w:rtl/>
        </w:rPr>
        <w:t xml:space="preserve"> </w:t>
      </w:r>
      <w:r w:rsidRPr="00B5080E">
        <w:rPr>
          <w:rFonts w:hint="eastAsia"/>
          <w:rtl/>
        </w:rPr>
        <w:t>الجزء</w:t>
      </w:r>
      <w:r w:rsidRPr="00B5080E">
        <w:rPr>
          <w:rtl/>
        </w:rPr>
        <w:t xml:space="preserve"> </w:t>
      </w:r>
      <w:r w:rsidRPr="00B5080E">
        <w:rPr>
          <w:rFonts w:hint="eastAsia"/>
          <w:rtl/>
        </w:rPr>
        <w:t>ال</w:t>
      </w:r>
      <w:r w:rsidRPr="00B5080E">
        <w:rPr>
          <w:rFonts w:hint="cs"/>
          <w:rtl/>
        </w:rPr>
        <w:t>أ</w:t>
      </w:r>
      <w:r w:rsidRPr="00B5080E">
        <w:rPr>
          <w:rFonts w:hint="eastAsia"/>
          <w:rtl/>
        </w:rPr>
        <w:t>وّل</w:t>
      </w:r>
      <w:r w:rsidRPr="00B5080E">
        <w:rPr>
          <w:rtl/>
        </w:rPr>
        <w:t xml:space="preserve"> </w:t>
      </w:r>
      <w:r w:rsidRPr="00B5080E">
        <w:rPr>
          <w:rFonts w:hint="eastAsia"/>
          <w:rtl/>
        </w:rPr>
        <w:t>ف</w:t>
      </w:r>
      <w:r w:rsidRPr="00B5080E">
        <w:rPr>
          <w:rFonts w:hint="cs"/>
          <w:rtl/>
        </w:rPr>
        <w:t xml:space="preserve">ي </w:t>
      </w:r>
      <w:r w:rsidRPr="00B5080E">
        <w:rPr>
          <w:rtl/>
        </w:rPr>
        <w:t>‏</w:t>
      </w:r>
      <w:r w:rsidRPr="00B5080E">
        <w:rPr>
          <w:rFonts w:hint="eastAsia"/>
          <w:rtl/>
        </w:rPr>
        <w:t>المكاسب</w:t>
      </w:r>
      <w:r w:rsidRPr="00B5080E">
        <w:rPr>
          <w:rtl/>
        </w:rPr>
        <w:t xml:space="preserve"> </w:t>
      </w:r>
      <w:r w:rsidRPr="00B5080E">
        <w:rPr>
          <w:rFonts w:hint="eastAsia"/>
          <w:rtl/>
        </w:rPr>
        <w:t>المحرّمة،</w:t>
      </w:r>
      <w:r w:rsidRPr="00B5080E">
        <w:rPr>
          <w:rtl/>
        </w:rPr>
        <w:t xml:space="preserve"> (</w:t>
      </w:r>
      <w:r w:rsidRPr="00B5080E">
        <w:rPr>
          <w:rFonts w:hint="eastAsia"/>
          <w:rtl/>
        </w:rPr>
        <w:t>قم</w:t>
      </w:r>
      <w:r w:rsidRPr="00B5080E">
        <w:rPr>
          <w:rtl/>
        </w:rPr>
        <w:t>)</w:t>
      </w:r>
      <w:r w:rsidRPr="00B5080E">
        <w:rPr>
          <w:rFonts w:hint="cs"/>
          <w:rtl/>
        </w:rPr>
        <w:t>؛</w:t>
      </w:r>
      <w:r w:rsidRPr="00B5080E">
        <w:rPr>
          <w:rtl/>
        </w:rPr>
        <w:t xml:space="preserve"> </w:t>
      </w:r>
      <w:r w:rsidRPr="00B5080E">
        <w:rPr>
          <w:rFonts w:hint="eastAsia"/>
          <w:rtl/>
        </w:rPr>
        <w:t>الجزء</w:t>
      </w:r>
      <w:r w:rsidRPr="00B5080E">
        <w:rPr>
          <w:rtl/>
        </w:rPr>
        <w:t xml:space="preserve"> </w:t>
      </w:r>
      <w:r w:rsidRPr="00B5080E">
        <w:rPr>
          <w:rFonts w:hint="eastAsia"/>
          <w:rtl/>
        </w:rPr>
        <w:t>الثان</w:t>
      </w:r>
      <w:r w:rsidRPr="00B5080E">
        <w:rPr>
          <w:rFonts w:hint="cs"/>
          <w:rtl/>
        </w:rPr>
        <w:t>ي</w:t>
      </w:r>
      <w:r w:rsidRPr="00B5080E">
        <w:rPr>
          <w:rFonts w:hint="eastAsia"/>
          <w:rtl/>
        </w:rPr>
        <w:t>،</w:t>
      </w:r>
      <w:r w:rsidRPr="00B5080E">
        <w:rPr>
          <w:rtl/>
        </w:rPr>
        <w:t xml:space="preserve"> </w:t>
      </w:r>
      <w:r w:rsidRPr="00B5080E">
        <w:rPr>
          <w:rFonts w:hint="eastAsia"/>
          <w:rtl/>
        </w:rPr>
        <w:t>كتاب</w:t>
      </w:r>
      <w:r w:rsidRPr="00B5080E">
        <w:rPr>
          <w:rtl/>
        </w:rPr>
        <w:t xml:space="preserve"> </w:t>
      </w:r>
      <w:r w:rsidRPr="00B5080E">
        <w:rPr>
          <w:rFonts w:hint="eastAsia"/>
          <w:rtl/>
        </w:rPr>
        <w:t>البيع،</w:t>
      </w:r>
      <w:r w:rsidRPr="00B5080E">
        <w:rPr>
          <w:rtl/>
        </w:rPr>
        <w:t xml:space="preserve"> (</w:t>
      </w:r>
      <w:r w:rsidRPr="00B5080E">
        <w:rPr>
          <w:rFonts w:hint="eastAsia"/>
          <w:rtl/>
        </w:rPr>
        <w:t>نسخ</w:t>
      </w:r>
      <w:r w:rsidRPr="00B5080E">
        <w:rPr>
          <w:rFonts w:hint="cs"/>
          <w:rtl/>
        </w:rPr>
        <w:t>ة</w:t>
      </w:r>
      <w:r w:rsidRPr="00B5080E">
        <w:rPr>
          <w:rtl/>
        </w:rPr>
        <w:t xml:space="preserve"> </w:t>
      </w:r>
      <w:r w:rsidRPr="00B5080E">
        <w:rPr>
          <w:rFonts w:hint="eastAsia"/>
          <w:rtl/>
        </w:rPr>
        <w:t>خط</w:t>
      </w:r>
      <w:r w:rsidRPr="00B5080E">
        <w:rPr>
          <w:rFonts w:hint="cs"/>
          <w:rtl/>
        </w:rPr>
        <w:t>ّية</w:t>
      </w:r>
      <w:r w:rsidRPr="00B5080E">
        <w:rPr>
          <w:rtl/>
        </w:rPr>
        <w:t xml:space="preserve"> </w:t>
      </w:r>
      <w:r w:rsidRPr="00B5080E">
        <w:rPr>
          <w:rFonts w:hint="cs"/>
          <w:rtl/>
        </w:rPr>
        <w:t>تصويرية</w:t>
      </w:r>
      <w:r w:rsidRPr="00B5080E">
        <w:rPr>
          <w:rFonts w:hint="eastAsia"/>
          <w:rtl/>
        </w:rPr>
        <w:t>،</w:t>
      </w:r>
      <w:r w:rsidRPr="00B5080E">
        <w:rPr>
          <w:rtl/>
        </w:rPr>
        <w:t xml:space="preserve"> </w:t>
      </w:r>
      <w:r w:rsidRPr="00B5080E">
        <w:rPr>
          <w:rFonts w:hint="eastAsia"/>
          <w:rtl/>
        </w:rPr>
        <w:t>رقم</w:t>
      </w:r>
      <w:r w:rsidRPr="00B5080E">
        <w:rPr>
          <w:rtl/>
        </w:rPr>
        <w:t xml:space="preserve"> 155</w:t>
      </w:r>
      <w:r w:rsidRPr="00B5080E">
        <w:rPr>
          <w:rFonts w:hint="cs"/>
          <w:rtl/>
        </w:rPr>
        <w:t>،</w:t>
      </w:r>
      <w:r w:rsidRPr="00B5080E">
        <w:rPr>
          <w:rtl/>
        </w:rPr>
        <w:t xml:space="preserve"> </w:t>
      </w:r>
      <w:r w:rsidRPr="00B5080E">
        <w:rPr>
          <w:rFonts w:hint="cs"/>
          <w:rtl/>
        </w:rPr>
        <w:t>مكتبة</w:t>
      </w:r>
      <w:r w:rsidRPr="00B5080E">
        <w:rPr>
          <w:rtl/>
        </w:rPr>
        <w:t xml:space="preserve"> </w:t>
      </w:r>
      <w:r w:rsidRPr="00B5080E">
        <w:rPr>
          <w:rFonts w:hint="cs"/>
          <w:rtl/>
        </w:rPr>
        <w:t>ال</w:t>
      </w:r>
      <w:r w:rsidRPr="00B5080E">
        <w:rPr>
          <w:rFonts w:hint="eastAsia"/>
          <w:rtl/>
        </w:rPr>
        <w:t>مرعش</w:t>
      </w:r>
      <w:r w:rsidRPr="00B5080E">
        <w:rPr>
          <w:rFonts w:hint="cs"/>
          <w:rtl/>
        </w:rPr>
        <w:t>ي</w:t>
      </w:r>
      <w:r w:rsidRPr="00B5080E">
        <w:rPr>
          <w:rtl/>
        </w:rPr>
        <w:t xml:space="preserve"> </w:t>
      </w:r>
      <w:r w:rsidRPr="00B5080E">
        <w:rPr>
          <w:rFonts w:hint="eastAsia"/>
          <w:rtl/>
        </w:rPr>
        <w:t>النجف</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الحائري</w:t>
      </w:r>
      <w:r w:rsidRPr="00B5080E">
        <w:rPr>
          <w:rtl/>
        </w:rPr>
        <w:t xml:space="preserve"> </w:t>
      </w:r>
      <w:r w:rsidRPr="00B5080E">
        <w:rPr>
          <w:rFonts w:hint="eastAsia"/>
          <w:rtl/>
        </w:rPr>
        <w:t>اليزدي،</w:t>
      </w:r>
      <w:r w:rsidRPr="00B5080E">
        <w:rPr>
          <w:rtl/>
        </w:rPr>
        <w:t xml:space="preserve"> </w:t>
      </w:r>
      <w:r w:rsidRPr="00B5080E">
        <w:rPr>
          <w:rFonts w:hint="eastAsia"/>
          <w:rtl/>
        </w:rPr>
        <w:t>صلاة</w:t>
      </w:r>
      <w:r w:rsidRPr="00B5080E">
        <w:rPr>
          <w:rtl/>
        </w:rPr>
        <w:t xml:space="preserve"> </w:t>
      </w:r>
      <w:r w:rsidRPr="00B5080E">
        <w:rPr>
          <w:rFonts w:hint="eastAsia"/>
          <w:rtl/>
        </w:rPr>
        <w:t>الجمعة،</w:t>
      </w:r>
      <w:r w:rsidRPr="00B5080E">
        <w:rPr>
          <w:rtl/>
        </w:rPr>
        <w:t xml:space="preserve"> (</w:t>
      </w:r>
      <w:r w:rsidRPr="00B5080E">
        <w:rPr>
          <w:rFonts w:hint="eastAsia"/>
          <w:rtl/>
        </w:rPr>
        <w:t>قم،</w:t>
      </w:r>
      <w:r w:rsidRPr="00B5080E">
        <w:rPr>
          <w:rtl/>
        </w:rPr>
        <w:t xml:space="preserve"> 1409</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tl/>
        </w:rPr>
        <w:t xml:space="preserve"> </w:t>
      </w:r>
      <w:r w:rsidRPr="00B5080E">
        <w:rPr>
          <w:rFonts w:hint="eastAsia"/>
          <w:rtl/>
        </w:rPr>
        <w:t>بن</w:t>
      </w:r>
      <w:r w:rsidRPr="00B5080E">
        <w:rPr>
          <w:rtl/>
        </w:rPr>
        <w:t xml:space="preserve"> </w:t>
      </w:r>
      <w:r w:rsidRPr="00B5080E">
        <w:rPr>
          <w:rFonts w:hint="eastAsia"/>
          <w:rtl/>
        </w:rPr>
        <w:t>الحسن</w:t>
      </w:r>
      <w:r w:rsidRPr="00B5080E">
        <w:rPr>
          <w:rtl/>
        </w:rPr>
        <w:t xml:space="preserve"> </w:t>
      </w:r>
      <w:r w:rsidRPr="00B5080E">
        <w:rPr>
          <w:rFonts w:hint="eastAsia"/>
          <w:rtl/>
        </w:rPr>
        <w:t>الح</w:t>
      </w:r>
      <w:r w:rsidRPr="00B5080E">
        <w:rPr>
          <w:rFonts w:hint="cs"/>
          <w:rtl/>
        </w:rPr>
        <w:t>ُ</w:t>
      </w:r>
      <w:r w:rsidRPr="00B5080E">
        <w:rPr>
          <w:rFonts w:hint="eastAsia"/>
          <w:rtl/>
        </w:rPr>
        <w:t>رّ</w:t>
      </w:r>
      <w:r w:rsidRPr="00B5080E">
        <w:rPr>
          <w:rtl/>
        </w:rPr>
        <w:t xml:space="preserve"> </w:t>
      </w:r>
      <w:r w:rsidRPr="00B5080E">
        <w:rPr>
          <w:rFonts w:hint="eastAsia"/>
          <w:rtl/>
        </w:rPr>
        <w:t>العاملي،</w:t>
      </w:r>
      <w:r w:rsidRPr="00B5080E">
        <w:rPr>
          <w:rtl/>
        </w:rPr>
        <w:t xml:space="preserve"> </w:t>
      </w:r>
      <w:r w:rsidRPr="00B5080E">
        <w:rPr>
          <w:rFonts w:hint="eastAsia"/>
          <w:rtl/>
        </w:rPr>
        <w:t>وسائل</w:t>
      </w:r>
      <w:r w:rsidRPr="00B5080E">
        <w:rPr>
          <w:rtl/>
        </w:rPr>
        <w:t xml:space="preserve"> </w:t>
      </w:r>
      <w:r w:rsidRPr="00B5080E">
        <w:rPr>
          <w:rFonts w:hint="eastAsia"/>
          <w:rtl/>
        </w:rPr>
        <w:t>الشيعة</w:t>
      </w:r>
      <w:r w:rsidRPr="00B5080E">
        <w:rPr>
          <w:rtl/>
        </w:rPr>
        <w:t xml:space="preserve"> </w:t>
      </w:r>
      <w:r w:rsidRPr="00B5080E">
        <w:rPr>
          <w:rFonts w:hint="cs"/>
          <w:rtl/>
        </w:rPr>
        <w:t>إ</w:t>
      </w:r>
      <w:r w:rsidRPr="00B5080E">
        <w:rPr>
          <w:rFonts w:hint="eastAsia"/>
          <w:rtl/>
        </w:rPr>
        <w:t>لى</w:t>
      </w:r>
      <w:r w:rsidRPr="00B5080E">
        <w:rPr>
          <w:rtl/>
        </w:rPr>
        <w:t xml:space="preserve"> </w:t>
      </w:r>
      <w:r w:rsidRPr="00B5080E">
        <w:rPr>
          <w:rFonts w:hint="eastAsia"/>
          <w:rtl/>
        </w:rPr>
        <w:t>تحصيل</w:t>
      </w:r>
      <w:r w:rsidRPr="00B5080E">
        <w:rPr>
          <w:rtl/>
        </w:rPr>
        <w:t xml:space="preserve"> </w:t>
      </w:r>
      <w:r w:rsidRPr="00B5080E">
        <w:rPr>
          <w:rFonts w:hint="eastAsia"/>
          <w:rtl/>
        </w:rPr>
        <w:t>مسائل</w:t>
      </w:r>
      <w:r w:rsidRPr="00B5080E">
        <w:rPr>
          <w:rtl/>
        </w:rPr>
        <w:t xml:space="preserve"> </w:t>
      </w:r>
      <w:r w:rsidRPr="00B5080E">
        <w:rPr>
          <w:rFonts w:hint="eastAsia"/>
          <w:rtl/>
        </w:rPr>
        <w:t>الشريعة،</w:t>
      </w:r>
      <w:r w:rsidRPr="00B5080E">
        <w:rPr>
          <w:rtl/>
        </w:rPr>
        <w:t xml:space="preserve"> 30 </w:t>
      </w:r>
      <w:r w:rsidRPr="00B5080E">
        <w:rPr>
          <w:rFonts w:hint="eastAsia"/>
          <w:rtl/>
        </w:rPr>
        <w:t>مجلد</w:t>
      </w:r>
      <w:r w:rsidRPr="00B5080E">
        <w:rPr>
          <w:rtl/>
        </w:rPr>
        <w:t xml:space="preserve"> (</w:t>
      </w:r>
      <w:r w:rsidRPr="00B5080E">
        <w:rPr>
          <w:rFonts w:hint="eastAsia"/>
          <w:rtl/>
        </w:rPr>
        <w:t>طبع</w:t>
      </w:r>
      <w:r w:rsidRPr="00B5080E">
        <w:rPr>
          <w:rtl/>
        </w:rPr>
        <w:t xml:space="preserve"> </w:t>
      </w:r>
      <w:r w:rsidRPr="00B5080E">
        <w:rPr>
          <w:rFonts w:hint="eastAsia"/>
          <w:rtl/>
        </w:rPr>
        <w:t>مؤس</w:t>
      </w:r>
      <w:r w:rsidRPr="00B5080E">
        <w:rPr>
          <w:rFonts w:hint="cs"/>
          <w:rtl/>
        </w:rPr>
        <w:t>َّ</w:t>
      </w:r>
      <w:r w:rsidRPr="00B5080E">
        <w:rPr>
          <w:rFonts w:hint="eastAsia"/>
          <w:rtl/>
        </w:rPr>
        <w:t>سة</w:t>
      </w:r>
      <w:r w:rsidRPr="00B5080E">
        <w:rPr>
          <w:rtl/>
        </w:rPr>
        <w:t xml:space="preserve"> </w:t>
      </w:r>
      <w:r w:rsidRPr="00B5080E">
        <w:rPr>
          <w:rFonts w:hint="eastAsia"/>
          <w:rtl/>
        </w:rPr>
        <w:t>آل</w:t>
      </w:r>
      <w:r w:rsidRPr="00B5080E">
        <w:rPr>
          <w:rtl/>
        </w:rPr>
        <w:t xml:space="preserve"> </w:t>
      </w:r>
      <w:r w:rsidRPr="00B5080E">
        <w:rPr>
          <w:rFonts w:hint="eastAsia"/>
          <w:rtl/>
        </w:rPr>
        <w:t>البيت</w:t>
      </w:r>
      <w:r w:rsidR="007A340E" w:rsidRPr="00B5080E">
        <w:rPr>
          <w:rFonts w:hint="cs"/>
          <w:rtl/>
        </w:rPr>
        <w:t>^</w:t>
      </w:r>
      <w:r w:rsidRPr="00B5080E">
        <w:rPr>
          <w:rFonts w:hint="eastAsia"/>
          <w:rtl/>
        </w:rPr>
        <w:t>،</w:t>
      </w:r>
      <w:r w:rsidRPr="00B5080E">
        <w:rPr>
          <w:rtl/>
        </w:rPr>
        <w:t xml:space="preserve"> </w:t>
      </w:r>
      <w:r w:rsidRPr="00B5080E">
        <w:rPr>
          <w:rFonts w:hint="eastAsia"/>
          <w:rtl/>
        </w:rPr>
        <w:t>قم،</w:t>
      </w:r>
      <w:r w:rsidRPr="00B5080E">
        <w:rPr>
          <w:rtl/>
        </w:rPr>
        <w:t xml:space="preserve"> 1412</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Fonts w:hint="cs"/>
          <w:rtl/>
        </w:rPr>
        <w:t xml:space="preserve"> </w:t>
      </w:r>
      <w:r w:rsidRPr="00B5080E">
        <w:rPr>
          <w:rFonts w:hint="eastAsia"/>
          <w:rtl/>
        </w:rPr>
        <w:t>محسن</w:t>
      </w:r>
      <w:r w:rsidRPr="00B5080E">
        <w:rPr>
          <w:rtl/>
        </w:rPr>
        <w:t xml:space="preserve"> </w:t>
      </w:r>
      <w:r w:rsidRPr="00B5080E">
        <w:rPr>
          <w:rFonts w:hint="eastAsia"/>
          <w:rtl/>
        </w:rPr>
        <w:t>الطباطبائي</w:t>
      </w:r>
      <w:r w:rsidRPr="00B5080E">
        <w:rPr>
          <w:rtl/>
        </w:rPr>
        <w:t xml:space="preserve"> </w:t>
      </w:r>
      <w:r w:rsidRPr="00B5080E">
        <w:rPr>
          <w:rFonts w:hint="cs"/>
          <w:rtl/>
        </w:rPr>
        <w:t>ال</w:t>
      </w:r>
      <w:r w:rsidRPr="00B5080E">
        <w:rPr>
          <w:rFonts w:hint="eastAsia"/>
          <w:rtl/>
        </w:rPr>
        <w:t>حكيم،</w:t>
      </w:r>
      <w:r w:rsidRPr="00B5080E">
        <w:rPr>
          <w:rtl/>
        </w:rPr>
        <w:t xml:space="preserve"> </w:t>
      </w:r>
      <w:r w:rsidRPr="00B5080E">
        <w:rPr>
          <w:rFonts w:hint="eastAsia"/>
          <w:rtl/>
        </w:rPr>
        <w:t>نهج</w:t>
      </w:r>
      <w:r w:rsidRPr="00B5080E">
        <w:rPr>
          <w:rFonts w:hint="cs"/>
          <w:rtl/>
        </w:rPr>
        <w:t xml:space="preserve"> </w:t>
      </w:r>
      <w:r w:rsidRPr="00B5080E">
        <w:rPr>
          <w:rtl/>
        </w:rPr>
        <w:t>‏</w:t>
      </w:r>
      <w:r w:rsidRPr="00B5080E">
        <w:rPr>
          <w:rFonts w:hint="eastAsia"/>
          <w:rtl/>
        </w:rPr>
        <w:t>الفقاهة</w:t>
      </w:r>
      <w:r w:rsidRPr="00B5080E">
        <w:rPr>
          <w:rtl/>
        </w:rPr>
        <w:t xml:space="preserve"> (</w:t>
      </w:r>
      <w:r w:rsidRPr="00B5080E">
        <w:rPr>
          <w:rFonts w:hint="eastAsia"/>
          <w:rtl/>
        </w:rPr>
        <w:t>تعليق</w:t>
      </w:r>
      <w:r w:rsidRPr="00B5080E">
        <w:rPr>
          <w:rtl/>
        </w:rPr>
        <w:t xml:space="preserve"> </w:t>
      </w:r>
      <w:r w:rsidRPr="00B5080E">
        <w:rPr>
          <w:rFonts w:hint="eastAsia"/>
          <w:rtl/>
        </w:rPr>
        <w:t>على</w:t>
      </w:r>
      <w:r w:rsidRPr="00B5080E">
        <w:rPr>
          <w:rtl/>
        </w:rPr>
        <w:t xml:space="preserve"> </w:t>
      </w:r>
      <w:r w:rsidRPr="00B5080E">
        <w:rPr>
          <w:rFonts w:hint="eastAsia"/>
          <w:rtl/>
        </w:rPr>
        <w:t>كتاب</w:t>
      </w:r>
      <w:r w:rsidRPr="00B5080E">
        <w:rPr>
          <w:rtl/>
        </w:rPr>
        <w:t xml:space="preserve"> </w:t>
      </w:r>
      <w:r w:rsidRPr="00B5080E">
        <w:rPr>
          <w:rFonts w:hint="eastAsia"/>
          <w:rtl/>
        </w:rPr>
        <w:t>البيع</w:t>
      </w:r>
      <w:r w:rsidRPr="00B5080E">
        <w:rPr>
          <w:rtl/>
        </w:rPr>
        <w:t xml:space="preserve"> </w:t>
      </w:r>
      <w:r w:rsidRPr="00B5080E">
        <w:rPr>
          <w:rFonts w:hint="eastAsia"/>
          <w:rtl/>
        </w:rPr>
        <w:t>من</w:t>
      </w:r>
      <w:r w:rsidRPr="00B5080E">
        <w:rPr>
          <w:rtl/>
        </w:rPr>
        <w:t xml:space="preserve"> </w:t>
      </w:r>
      <w:r w:rsidRPr="00B5080E">
        <w:rPr>
          <w:rFonts w:hint="eastAsia"/>
          <w:rtl/>
        </w:rPr>
        <w:t>مكاسب</w:t>
      </w:r>
      <w:r w:rsidRPr="00B5080E">
        <w:rPr>
          <w:rtl/>
        </w:rPr>
        <w:t xml:space="preserve"> </w:t>
      </w:r>
      <w:r w:rsidRPr="00B5080E">
        <w:rPr>
          <w:rFonts w:hint="eastAsia"/>
          <w:rtl/>
        </w:rPr>
        <w:t>الشيخ</w:t>
      </w:r>
      <w:r w:rsidRPr="00B5080E">
        <w:rPr>
          <w:rtl/>
        </w:rPr>
        <w:t xml:space="preserve"> </w:t>
      </w:r>
      <w:r w:rsidRPr="00B5080E">
        <w:rPr>
          <w:rFonts w:hint="eastAsia"/>
          <w:rtl/>
        </w:rPr>
        <w:t>الأنصاري</w:t>
      </w:r>
      <w:r w:rsidRPr="00B5080E">
        <w:rPr>
          <w:rFonts w:hint="cs"/>
          <w:rtl/>
        </w:rPr>
        <w:t>)</w:t>
      </w:r>
      <w:r w:rsidRPr="00B5080E">
        <w:rPr>
          <w:rFonts w:hint="eastAsia"/>
          <w:rtl/>
        </w:rPr>
        <w:t>،</w:t>
      </w:r>
      <w:r w:rsidRPr="00B5080E">
        <w:rPr>
          <w:rtl/>
        </w:rPr>
        <w:t xml:space="preserve"> (</w:t>
      </w:r>
      <w:r w:rsidRPr="00B5080E">
        <w:rPr>
          <w:rFonts w:hint="eastAsia"/>
          <w:rtl/>
        </w:rPr>
        <w:t>قم</w:t>
      </w:r>
      <w:r w:rsidRPr="00B5080E">
        <w:rPr>
          <w:rtl/>
        </w:rPr>
        <w:t>).</w:t>
      </w:r>
    </w:p>
    <w:p w:rsidR="00EA09EB" w:rsidRPr="00B5080E" w:rsidRDefault="00EA09EB" w:rsidP="00B5080E">
      <w:r>
        <w:rPr>
          <w:rFonts w:ascii="Helvetica" w:hAnsi="Helvetica" w:cs="Abz-1 (Lotus)" w:hint="cs"/>
          <w:sz w:val="32"/>
          <w:szCs w:val="32"/>
          <w:rtl/>
        </w:rPr>
        <w:t xml:space="preserve">ـ </w:t>
      </w:r>
      <w:r w:rsidRPr="00EA09EB">
        <w:rPr>
          <w:rFonts w:hint="eastAsia"/>
          <w:rtl/>
        </w:rPr>
        <w:t>ابن</w:t>
      </w:r>
      <w:r w:rsidRPr="00BB1703">
        <w:rPr>
          <w:rFonts w:ascii="Helvetica" w:hAnsi="Helvetica" w:cs="Abz-1 (Lotus)"/>
          <w:sz w:val="32"/>
          <w:szCs w:val="32"/>
          <w:rtl/>
        </w:rPr>
        <w:t xml:space="preserve"> </w:t>
      </w:r>
      <w:r w:rsidRPr="00EA09EB">
        <w:rPr>
          <w:rFonts w:hint="cs"/>
          <w:rtl/>
        </w:rPr>
        <w:t>إ</w:t>
      </w:r>
      <w:r w:rsidRPr="00EA09EB">
        <w:rPr>
          <w:rFonts w:hint="eastAsia"/>
          <w:rtl/>
        </w:rPr>
        <w:t>دريس</w:t>
      </w:r>
      <w:r w:rsidRPr="00BB1703">
        <w:rPr>
          <w:rFonts w:ascii="Helvetica" w:hAnsi="Helvetica" w:cs="Abz-1 (Lotus)"/>
          <w:sz w:val="32"/>
          <w:szCs w:val="32"/>
          <w:rtl/>
        </w:rPr>
        <w:t xml:space="preserve"> </w:t>
      </w:r>
      <w:r w:rsidRPr="00EA09EB">
        <w:rPr>
          <w:rFonts w:hint="eastAsia"/>
          <w:rtl/>
        </w:rPr>
        <w:t>الحلّي،</w:t>
      </w:r>
      <w:r w:rsidRPr="00BB1703">
        <w:rPr>
          <w:rFonts w:ascii="Helvetica" w:hAnsi="Helvetica" w:cs="Abz-1 (Lotus)"/>
          <w:sz w:val="32"/>
          <w:szCs w:val="32"/>
          <w:rtl/>
        </w:rPr>
        <w:t xml:space="preserve"> </w:t>
      </w:r>
      <w:r w:rsidRPr="00EA09EB">
        <w:rPr>
          <w:rFonts w:hint="eastAsia"/>
          <w:rtl/>
        </w:rPr>
        <w:t>السرائر</w:t>
      </w:r>
      <w:r w:rsidRPr="00BB1703">
        <w:rPr>
          <w:rFonts w:ascii="Helvetica" w:hAnsi="Helvetica" w:cs="Abz-1 (Lotus)"/>
          <w:sz w:val="32"/>
          <w:szCs w:val="32"/>
          <w:rtl/>
        </w:rPr>
        <w:t xml:space="preserve"> </w:t>
      </w:r>
      <w:r w:rsidRPr="00EA09EB">
        <w:rPr>
          <w:rFonts w:hint="eastAsia"/>
          <w:rtl/>
        </w:rPr>
        <w:t>الحاو</w:t>
      </w:r>
      <w:r w:rsidRPr="00EA09EB">
        <w:rPr>
          <w:rFonts w:hint="cs"/>
          <w:rtl/>
        </w:rPr>
        <w:t>ي</w:t>
      </w:r>
      <w:r w:rsidRPr="00BB1703">
        <w:rPr>
          <w:rFonts w:ascii="Helvetica" w:hAnsi="Helvetica" w:cs="Abz-1 (Lotus)"/>
          <w:sz w:val="32"/>
          <w:szCs w:val="32"/>
          <w:rtl/>
        </w:rPr>
        <w:t xml:space="preserve"> </w:t>
      </w:r>
      <w:r w:rsidRPr="00EA09EB">
        <w:rPr>
          <w:rFonts w:hint="eastAsia"/>
          <w:rtl/>
        </w:rPr>
        <w:t>لتح</w:t>
      </w:r>
      <w:r w:rsidRPr="00B5080E">
        <w:rPr>
          <w:rFonts w:hint="eastAsia"/>
          <w:rtl/>
        </w:rPr>
        <w:t>رير</w:t>
      </w:r>
      <w:r w:rsidRPr="00B5080E">
        <w:rPr>
          <w:rtl/>
        </w:rPr>
        <w:t xml:space="preserve"> </w:t>
      </w:r>
      <w:r w:rsidRPr="00B5080E">
        <w:rPr>
          <w:rFonts w:hint="eastAsia"/>
          <w:rtl/>
        </w:rPr>
        <w:t>الفتاو</w:t>
      </w:r>
      <w:r w:rsidRPr="00B5080E">
        <w:rPr>
          <w:rFonts w:hint="cs"/>
          <w:rtl/>
        </w:rPr>
        <w:t>ي</w:t>
      </w:r>
      <w:r w:rsidRPr="00B5080E">
        <w:rPr>
          <w:rFonts w:hint="eastAsia"/>
          <w:rtl/>
        </w:rPr>
        <w:t>،</w:t>
      </w:r>
      <w:r w:rsidRPr="00B5080E">
        <w:rPr>
          <w:rtl/>
        </w:rPr>
        <w:t xml:space="preserve"> 3 </w:t>
      </w:r>
      <w:r w:rsidRPr="00B5080E">
        <w:rPr>
          <w:rFonts w:hint="eastAsia"/>
          <w:rtl/>
        </w:rPr>
        <w:t>مجلد،</w:t>
      </w:r>
      <w:r w:rsidRPr="00B5080E">
        <w:rPr>
          <w:rtl/>
        </w:rPr>
        <w:t xml:space="preserve"> (</w:t>
      </w:r>
      <w:r w:rsidRPr="00B5080E">
        <w:rPr>
          <w:rFonts w:hint="eastAsia"/>
          <w:rtl/>
        </w:rPr>
        <w:t>قم،</w:t>
      </w:r>
      <w:r w:rsidRPr="00B5080E">
        <w:rPr>
          <w:rtl/>
        </w:rPr>
        <w:t xml:space="preserve"> 1411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العلاّمة</w:t>
      </w:r>
      <w:r w:rsidRPr="00B5080E">
        <w:rPr>
          <w:rtl/>
        </w:rPr>
        <w:t xml:space="preserve"> </w:t>
      </w:r>
      <w:r w:rsidRPr="00B5080E">
        <w:rPr>
          <w:rFonts w:hint="eastAsia"/>
          <w:rtl/>
        </w:rPr>
        <w:t>حسن</w:t>
      </w:r>
      <w:r w:rsidRPr="00B5080E">
        <w:rPr>
          <w:rtl/>
        </w:rPr>
        <w:t xml:space="preserve"> </w:t>
      </w:r>
      <w:r w:rsidRPr="00B5080E">
        <w:rPr>
          <w:rFonts w:hint="eastAsia"/>
          <w:rtl/>
        </w:rPr>
        <w:t>بن</w:t>
      </w:r>
      <w:r w:rsidRPr="00B5080E">
        <w:rPr>
          <w:rtl/>
        </w:rPr>
        <w:t xml:space="preserve"> </w:t>
      </w:r>
      <w:r w:rsidRPr="00B5080E">
        <w:rPr>
          <w:rFonts w:hint="eastAsia"/>
          <w:rtl/>
        </w:rPr>
        <w:t>يوسف</w:t>
      </w:r>
      <w:r w:rsidRPr="00B5080E">
        <w:rPr>
          <w:rtl/>
        </w:rPr>
        <w:t xml:space="preserve"> </w:t>
      </w:r>
      <w:r w:rsidRPr="00B5080E">
        <w:rPr>
          <w:rFonts w:hint="eastAsia"/>
          <w:rtl/>
        </w:rPr>
        <w:t>الحلّي،</w:t>
      </w:r>
      <w:r w:rsidRPr="00B5080E">
        <w:rPr>
          <w:rtl/>
        </w:rPr>
        <w:t xml:space="preserve"> </w:t>
      </w:r>
      <w:r w:rsidRPr="00B5080E">
        <w:rPr>
          <w:rFonts w:hint="eastAsia"/>
          <w:rtl/>
        </w:rPr>
        <w:t>الجوهر</w:t>
      </w:r>
      <w:r w:rsidRPr="00B5080E">
        <w:rPr>
          <w:rtl/>
        </w:rPr>
        <w:t xml:space="preserve"> </w:t>
      </w:r>
      <w:r w:rsidRPr="00B5080E">
        <w:rPr>
          <w:rFonts w:hint="eastAsia"/>
          <w:rtl/>
        </w:rPr>
        <w:t>النضيد</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منطق</w:t>
      </w:r>
      <w:r w:rsidRPr="00B5080E">
        <w:rPr>
          <w:rtl/>
        </w:rPr>
        <w:t xml:space="preserve"> </w:t>
      </w:r>
      <w:r w:rsidRPr="00B5080E">
        <w:rPr>
          <w:rFonts w:hint="eastAsia"/>
          <w:rtl/>
        </w:rPr>
        <w:t>التجريد،</w:t>
      </w:r>
      <w:r w:rsidRPr="00B5080E">
        <w:rPr>
          <w:rtl/>
        </w:rPr>
        <w:t xml:space="preserve"> (</w:t>
      </w:r>
      <w:r w:rsidRPr="00B5080E">
        <w:rPr>
          <w:rFonts w:hint="eastAsia"/>
          <w:rtl/>
        </w:rPr>
        <w:t>قم،</w:t>
      </w:r>
      <w:r w:rsidRPr="00B5080E">
        <w:rPr>
          <w:rtl/>
        </w:rPr>
        <w:t xml:space="preserve"> 1363</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العلاّمة</w:t>
      </w:r>
      <w:r w:rsidRPr="00B5080E">
        <w:rPr>
          <w:rtl/>
        </w:rPr>
        <w:t xml:space="preserve"> </w:t>
      </w:r>
      <w:r w:rsidRPr="00B5080E">
        <w:rPr>
          <w:rFonts w:hint="eastAsia"/>
          <w:rtl/>
        </w:rPr>
        <w:t>حسن</w:t>
      </w:r>
      <w:r w:rsidRPr="00B5080E">
        <w:rPr>
          <w:rtl/>
        </w:rPr>
        <w:t xml:space="preserve"> </w:t>
      </w:r>
      <w:r w:rsidRPr="00B5080E">
        <w:rPr>
          <w:rFonts w:hint="eastAsia"/>
          <w:rtl/>
        </w:rPr>
        <w:t>بن</w:t>
      </w:r>
      <w:r w:rsidRPr="00B5080E">
        <w:rPr>
          <w:rtl/>
        </w:rPr>
        <w:t xml:space="preserve"> </w:t>
      </w:r>
      <w:r w:rsidRPr="00B5080E">
        <w:rPr>
          <w:rFonts w:hint="eastAsia"/>
          <w:rtl/>
        </w:rPr>
        <w:t>يوسف</w:t>
      </w:r>
      <w:r w:rsidRPr="00B5080E">
        <w:rPr>
          <w:rtl/>
        </w:rPr>
        <w:t xml:space="preserve"> </w:t>
      </w:r>
      <w:r w:rsidRPr="00B5080E">
        <w:rPr>
          <w:rFonts w:hint="eastAsia"/>
          <w:rtl/>
        </w:rPr>
        <w:t>الحلّي،</w:t>
      </w:r>
      <w:r w:rsidRPr="00B5080E">
        <w:rPr>
          <w:rtl/>
        </w:rPr>
        <w:t xml:space="preserve"> </w:t>
      </w:r>
      <w:r w:rsidRPr="00B5080E">
        <w:rPr>
          <w:rFonts w:hint="eastAsia"/>
          <w:rtl/>
        </w:rPr>
        <w:t>خلاصة</w:t>
      </w:r>
      <w:r w:rsidRPr="00B5080E">
        <w:rPr>
          <w:rtl/>
        </w:rPr>
        <w:t xml:space="preserve"> </w:t>
      </w:r>
      <w:r w:rsidRPr="00B5080E">
        <w:rPr>
          <w:rFonts w:hint="eastAsia"/>
          <w:rtl/>
        </w:rPr>
        <w:t>ال</w:t>
      </w:r>
      <w:r w:rsidRPr="00B5080E">
        <w:rPr>
          <w:rFonts w:hint="cs"/>
          <w:rtl/>
        </w:rPr>
        <w:t>أ</w:t>
      </w:r>
      <w:r w:rsidRPr="00B5080E">
        <w:rPr>
          <w:rFonts w:hint="eastAsia"/>
          <w:rtl/>
        </w:rPr>
        <w:t>قوال</w:t>
      </w:r>
      <w:r w:rsidRPr="00B5080E">
        <w:rPr>
          <w:rtl/>
        </w:rPr>
        <w:t xml:space="preserve"> </w:t>
      </w:r>
      <w:r w:rsidRPr="00B5080E">
        <w:rPr>
          <w:rFonts w:hint="eastAsia"/>
          <w:rtl/>
        </w:rPr>
        <w:t>فى</w:t>
      </w:r>
      <w:r w:rsidRPr="00B5080E">
        <w:rPr>
          <w:rtl/>
        </w:rPr>
        <w:t xml:space="preserve"> </w:t>
      </w:r>
      <w:r w:rsidRPr="00B5080E">
        <w:rPr>
          <w:rFonts w:hint="eastAsia"/>
          <w:rtl/>
        </w:rPr>
        <w:t>علم</w:t>
      </w:r>
      <w:r w:rsidRPr="00B5080E">
        <w:rPr>
          <w:rtl/>
        </w:rPr>
        <w:t xml:space="preserve"> </w:t>
      </w:r>
      <w:r w:rsidRPr="00B5080E">
        <w:rPr>
          <w:rFonts w:hint="eastAsia"/>
          <w:rtl/>
        </w:rPr>
        <w:t>الرجال،</w:t>
      </w:r>
      <w:r w:rsidRPr="00B5080E">
        <w:rPr>
          <w:rtl/>
        </w:rPr>
        <w:t xml:space="preserve"> (</w:t>
      </w:r>
      <w:r w:rsidRPr="00B5080E">
        <w:rPr>
          <w:rFonts w:hint="eastAsia"/>
          <w:rtl/>
        </w:rPr>
        <w:t>النجف</w:t>
      </w:r>
      <w:r w:rsidRPr="00B5080E">
        <w:rPr>
          <w:rtl/>
        </w:rPr>
        <w:t>).</w:t>
      </w:r>
    </w:p>
    <w:p w:rsidR="00EA09EB" w:rsidRPr="00B5080E" w:rsidRDefault="00EA09EB" w:rsidP="00B5080E">
      <w:r w:rsidRPr="00B5080E">
        <w:rPr>
          <w:rFonts w:hint="cs"/>
          <w:rtl/>
        </w:rPr>
        <w:t xml:space="preserve">ـ </w:t>
      </w:r>
      <w:r w:rsidRPr="00B5080E">
        <w:rPr>
          <w:rFonts w:hint="eastAsia"/>
          <w:rtl/>
        </w:rPr>
        <w:t>العلاّمة</w:t>
      </w:r>
      <w:r w:rsidRPr="00B5080E">
        <w:rPr>
          <w:rtl/>
        </w:rPr>
        <w:t xml:space="preserve"> </w:t>
      </w:r>
      <w:r w:rsidRPr="00B5080E">
        <w:rPr>
          <w:rFonts w:hint="eastAsia"/>
          <w:rtl/>
        </w:rPr>
        <w:t>حسن</w:t>
      </w:r>
      <w:r w:rsidRPr="00B5080E">
        <w:rPr>
          <w:rtl/>
        </w:rPr>
        <w:t xml:space="preserve"> </w:t>
      </w:r>
      <w:r w:rsidRPr="00B5080E">
        <w:rPr>
          <w:rFonts w:hint="eastAsia"/>
          <w:rtl/>
        </w:rPr>
        <w:t>بن</w:t>
      </w:r>
      <w:r w:rsidRPr="00B5080E">
        <w:rPr>
          <w:rtl/>
        </w:rPr>
        <w:t xml:space="preserve"> </w:t>
      </w:r>
      <w:r w:rsidRPr="00B5080E">
        <w:rPr>
          <w:rFonts w:hint="eastAsia"/>
          <w:rtl/>
        </w:rPr>
        <w:t>يوسف</w:t>
      </w:r>
      <w:r w:rsidRPr="00B5080E">
        <w:rPr>
          <w:rtl/>
        </w:rPr>
        <w:t xml:space="preserve"> </w:t>
      </w:r>
      <w:r w:rsidRPr="00B5080E">
        <w:rPr>
          <w:rFonts w:hint="eastAsia"/>
          <w:rtl/>
        </w:rPr>
        <w:t>الحلّي،</w:t>
      </w:r>
      <w:r w:rsidRPr="00B5080E">
        <w:rPr>
          <w:rtl/>
        </w:rPr>
        <w:t xml:space="preserve"> </w:t>
      </w:r>
      <w:r w:rsidRPr="00B5080E">
        <w:rPr>
          <w:rFonts w:hint="eastAsia"/>
          <w:rtl/>
        </w:rPr>
        <w:t>تذكرة</w:t>
      </w:r>
      <w:r w:rsidRPr="00B5080E">
        <w:rPr>
          <w:rtl/>
        </w:rPr>
        <w:t xml:space="preserve"> </w:t>
      </w:r>
      <w:r w:rsidRPr="00B5080E">
        <w:rPr>
          <w:rFonts w:hint="eastAsia"/>
          <w:rtl/>
        </w:rPr>
        <w:t>الفقهاء،</w:t>
      </w:r>
      <w:r w:rsidRPr="00B5080E">
        <w:rPr>
          <w:rtl/>
        </w:rPr>
        <w:t xml:space="preserve"> 2 </w:t>
      </w:r>
      <w:r w:rsidRPr="00B5080E">
        <w:rPr>
          <w:rFonts w:hint="eastAsia"/>
          <w:rtl/>
        </w:rPr>
        <w:t>مجلد،</w:t>
      </w:r>
      <w:r w:rsidRPr="00B5080E">
        <w:rPr>
          <w:rtl/>
        </w:rPr>
        <w:t xml:space="preserve"> (</w:t>
      </w:r>
      <w:r w:rsidRPr="00B5080E">
        <w:rPr>
          <w:rFonts w:hint="eastAsia"/>
          <w:rtl/>
        </w:rPr>
        <w:t>طهران،</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العلاّمة</w:t>
      </w:r>
      <w:r w:rsidRPr="00B5080E">
        <w:rPr>
          <w:rtl/>
        </w:rPr>
        <w:t xml:space="preserve"> </w:t>
      </w:r>
      <w:r w:rsidRPr="00B5080E">
        <w:rPr>
          <w:rFonts w:hint="eastAsia"/>
          <w:rtl/>
        </w:rPr>
        <w:t>حسن</w:t>
      </w:r>
      <w:r w:rsidRPr="00B5080E">
        <w:rPr>
          <w:rtl/>
        </w:rPr>
        <w:t xml:space="preserve"> </w:t>
      </w:r>
      <w:r w:rsidRPr="00B5080E">
        <w:rPr>
          <w:rFonts w:hint="eastAsia"/>
          <w:rtl/>
        </w:rPr>
        <w:t>بن</w:t>
      </w:r>
      <w:r w:rsidRPr="00B5080E">
        <w:rPr>
          <w:rtl/>
        </w:rPr>
        <w:t xml:space="preserve"> </w:t>
      </w:r>
      <w:r w:rsidRPr="00B5080E">
        <w:rPr>
          <w:rFonts w:hint="eastAsia"/>
          <w:rtl/>
        </w:rPr>
        <w:t>يوسف</w:t>
      </w:r>
      <w:r w:rsidRPr="00B5080E">
        <w:rPr>
          <w:rtl/>
        </w:rPr>
        <w:t xml:space="preserve"> </w:t>
      </w:r>
      <w:r w:rsidRPr="00B5080E">
        <w:rPr>
          <w:rFonts w:hint="eastAsia"/>
          <w:rtl/>
        </w:rPr>
        <w:t>الحلّي،</w:t>
      </w:r>
      <w:r w:rsidRPr="00B5080E">
        <w:rPr>
          <w:rtl/>
        </w:rPr>
        <w:t xml:space="preserve"> </w:t>
      </w:r>
      <w:r w:rsidRPr="00B5080E">
        <w:rPr>
          <w:rFonts w:hint="eastAsia"/>
          <w:rtl/>
        </w:rPr>
        <w:t>كشف</w:t>
      </w:r>
      <w:r w:rsidRPr="00B5080E">
        <w:rPr>
          <w:rtl/>
        </w:rPr>
        <w:t xml:space="preserve"> </w:t>
      </w:r>
      <w:r w:rsidRPr="00B5080E">
        <w:rPr>
          <w:rFonts w:hint="eastAsia"/>
          <w:rtl/>
        </w:rPr>
        <w:t>المراد</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تجريد</w:t>
      </w:r>
      <w:r w:rsidRPr="00B5080E">
        <w:rPr>
          <w:rtl/>
        </w:rPr>
        <w:t xml:space="preserve"> </w:t>
      </w:r>
      <w:r w:rsidRPr="00B5080E">
        <w:rPr>
          <w:rFonts w:hint="eastAsia"/>
          <w:rtl/>
        </w:rPr>
        <w:t>الاعتقاد،</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حسن</w:t>
      </w:r>
      <w:r w:rsidRPr="00B5080E">
        <w:rPr>
          <w:rtl/>
        </w:rPr>
        <w:t xml:space="preserve"> </w:t>
      </w:r>
      <w:r w:rsidRPr="00B5080E">
        <w:rPr>
          <w:rFonts w:hint="eastAsia"/>
          <w:rtl/>
        </w:rPr>
        <w:t>حسن</w:t>
      </w:r>
      <w:r w:rsidRPr="00B5080E">
        <w:rPr>
          <w:rFonts w:hint="cs"/>
          <w:rtl/>
        </w:rPr>
        <w:t xml:space="preserve"> </w:t>
      </w:r>
      <w:r w:rsidRPr="00B5080E">
        <w:rPr>
          <w:rtl/>
        </w:rPr>
        <w:t>‏</w:t>
      </w:r>
      <w:r w:rsidRPr="00B5080E">
        <w:rPr>
          <w:rFonts w:hint="eastAsia"/>
          <w:rtl/>
        </w:rPr>
        <w:t>زاده</w:t>
      </w:r>
      <w:r w:rsidRPr="00B5080E">
        <w:rPr>
          <w:rtl/>
        </w:rPr>
        <w:t xml:space="preserve"> </w:t>
      </w:r>
      <w:r w:rsidRPr="00B5080E">
        <w:rPr>
          <w:rFonts w:hint="eastAsia"/>
          <w:rtl/>
        </w:rPr>
        <w:t>الآمل</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1407</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العلاّمة</w:t>
      </w:r>
      <w:r w:rsidRPr="00B5080E">
        <w:rPr>
          <w:rtl/>
        </w:rPr>
        <w:t xml:space="preserve"> </w:t>
      </w:r>
      <w:r w:rsidRPr="00B5080E">
        <w:rPr>
          <w:rFonts w:hint="eastAsia"/>
          <w:rtl/>
        </w:rPr>
        <w:t>حسن</w:t>
      </w:r>
      <w:r w:rsidRPr="00B5080E">
        <w:rPr>
          <w:rtl/>
        </w:rPr>
        <w:t xml:space="preserve"> </w:t>
      </w:r>
      <w:r w:rsidRPr="00B5080E">
        <w:rPr>
          <w:rFonts w:hint="eastAsia"/>
          <w:rtl/>
        </w:rPr>
        <w:t>بن</w:t>
      </w:r>
      <w:r w:rsidRPr="00B5080E">
        <w:rPr>
          <w:rtl/>
        </w:rPr>
        <w:t xml:space="preserve"> </w:t>
      </w:r>
      <w:r w:rsidRPr="00B5080E">
        <w:rPr>
          <w:rFonts w:hint="eastAsia"/>
          <w:rtl/>
        </w:rPr>
        <w:t>يوسف</w:t>
      </w:r>
      <w:r w:rsidRPr="00B5080E">
        <w:rPr>
          <w:rtl/>
        </w:rPr>
        <w:t xml:space="preserve"> </w:t>
      </w:r>
      <w:r w:rsidRPr="00B5080E">
        <w:rPr>
          <w:rFonts w:hint="eastAsia"/>
          <w:rtl/>
        </w:rPr>
        <w:t>الحلّي،</w:t>
      </w:r>
      <w:r w:rsidRPr="00B5080E">
        <w:rPr>
          <w:rtl/>
        </w:rPr>
        <w:t xml:space="preserve"> </w:t>
      </w:r>
      <w:r w:rsidRPr="00B5080E">
        <w:rPr>
          <w:rFonts w:hint="eastAsia"/>
          <w:rtl/>
        </w:rPr>
        <w:t>مختلف</w:t>
      </w:r>
      <w:r w:rsidRPr="00B5080E">
        <w:rPr>
          <w:rtl/>
        </w:rPr>
        <w:t xml:space="preserve"> </w:t>
      </w:r>
      <w:r w:rsidRPr="00B5080E">
        <w:rPr>
          <w:rFonts w:hint="eastAsia"/>
          <w:rtl/>
        </w:rPr>
        <w:t>الشيعة،</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العلاّمة</w:t>
      </w:r>
      <w:r w:rsidRPr="00B5080E">
        <w:rPr>
          <w:rtl/>
        </w:rPr>
        <w:t xml:space="preserve"> </w:t>
      </w:r>
      <w:r w:rsidRPr="00B5080E">
        <w:rPr>
          <w:rFonts w:hint="eastAsia"/>
          <w:rtl/>
        </w:rPr>
        <w:t>حسن</w:t>
      </w:r>
      <w:r w:rsidRPr="00B5080E">
        <w:rPr>
          <w:rtl/>
        </w:rPr>
        <w:t xml:space="preserve"> </w:t>
      </w:r>
      <w:r w:rsidRPr="00B5080E">
        <w:rPr>
          <w:rFonts w:hint="eastAsia"/>
          <w:rtl/>
        </w:rPr>
        <w:t>بن</w:t>
      </w:r>
      <w:r w:rsidRPr="00B5080E">
        <w:rPr>
          <w:rtl/>
        </w:rPr>
        <w:t xml:space="preserve"> </w:t>
      </w:r>
      <w:r w:rsidRPr="00B5080E">
        <w:rPr>
          <w:rFonts w:hint="eastAsia"/>
          <w:rtl/>
        </w:rPr>
        <w:t>يوسف</w:t>
      </w:r>
      <w:r w:rsidRPr="00B5080E">
        <w:rPr>
          <w:rtl/>
        </w:rPr>
        <w:t xml:space="preserve"> </w:t>
      </w:r>
      <w:r w:rsidRPr="00B5080E">
        <w:rPr>
          <w:rFonts w:hint="eastAsia"/>
          <w:rtl/>
        </w:rPr>
        <w:t>الحلّي،</w:t>
      </w:r>
      <w:r w:rsidRPr="00B5080E">
        <w:rPr>
          <w:rtl/>
        </w:rPr>
        <w:t xml:space="preserve"> </w:t>
      </w:r>
      <w:r w:rsidRPr="00B5080E">
        <w:rPr>
          <w:rFonts w:hint="eastAsia"/>
          <w:rtl/>
        </w:rPr>
        <w:t>نهج</w:t>
      </w:r>
      <w:r w:rsidRPr="00B5080E">
        <w:rPr>
          <w:rtl/>
        </w:rPr>
        <w:t xml:space="preserve"> </w:t>
      </w:r>
      <w:r w:rsidRPr="00B5080E">
        <w:rPr>
          <w:rFonts w:hint="eastAsia"/>
          <w:rtl/>
        </w:rPr>
        <w:t>الحق</w:t>
      </w:r>
      <w:r w:rsidRPr="00B5080E">
        <w:rPr>
          <w:rtl/>
        </w:rPr>
        <w:t xml:space="preserve"> </w:t>
      </w:r>
      <w:r w:rsidRPr="00B5080E">
        <w:rPr>
          <w:rFonts w:hint="eastAsia"/>
          <w:rtl/>
        </w:rPr>
        <w:t>وكشف</w:t>
      </w:r>
      <w:r w:rsidRPr="00B5080E">
        <w:rPr>
          <w:rtl/>
        </w:rPr>
        <w:t xml:space="preserve"> </w:t>
      </w:r>
      <w:r w:rsidRPr="00B5080E">
        <w:rPr>
          <w:rFonts w:hint="eastAsia"/>
          <w:rtl/>
        </w:rPr>
        <w:t>الصدق،</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عين</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حسن</w:t>
      </w:r>
      <w:r w:rsidRPr="00B5080E">
        <w:rPr>
          <w:rFonts w:hint="cs"/>
          <w:rtl/>
        </w:rPr>
        <w:t>ي</w:t>
      </w:r>
      <w:r w:rsidRPr="00B5080E">
        <w:rPr>
          <w:rtl/>
        </w:rPr>
        <w:t xml:space="preserve"> </w:t>
      </w:r>
      <w:r w:rsidRPr="00B5080E">
        <w:rPr>
          <w:rFonts w:hint="cs"/>
          <w:rtl/>
        </w:rPr>
        <w:t>أ</w:t>
      </w:r>
      <w:r w:rsidRPr="00B5080E">
        <w:rPr>
          <w:rFonts w:hint="eastAsia"/>
          <w:rtl/>
        </w:rPr>
        <w:t>رمو</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1407</w:t>
      </w:r>
      <w:r w:rsidRPr="00B5080E">
        <w:rPr>
          <w:rFonts w:hint="cs"/>
          <w:rtl/>
        </w:rPr>
        <w:t>هـ</w:t>
      </w:r>
      <w:r w:rsidRPr="00B5080E">
        <w:rPr>
          <w:rtl/>
        </w:rPr>
        <w:t>).</w:t>
      </w:r>
    </w:p>
    <w:p w:rsidR="00EA09EB" w:rsidRPr="00B5080E" w:rsidRDefault="00EA09EB" w:rsidP="00B5080E">
      <w:r w:rsidRPr="00B5080E">
        <w:rPr>
          <w:rFonts w:hint="cs"/>
          <w:rtl/>
        </w:rPr>
        <w:t>ـ ال</w:t>
      </w:r>
      <w:r w:rsidRPr="00B5080E">
        <w:rPr>
          <w:rFonts w:hint="eastAsia"/>
          <w:rtl/>
        </w:rPr>
        <w:t>محقق</w:t>
      </w:r>
      <w:r w:rsidRPr="00B5080E">
        <w:rPr>
          <w:rtl/>
        </w:rPr>
        <w:t xml:space="preserve"> </w:t>
      </w:r>
      <w:r w:rsidRPr="00B5080E">
        <w:rPr>
          <w:rFonts w:hint="eastAsia"/>
          <w:rtl/>
        </w:rPr>
        <w:t>الحلّي،</w:t>
      </w:r>
      <w:r w:rsidRPr="00B5080E">
        <w:rPr>
          <w:rtl/>
        </w:rPr>
        <w:t xml:space="preserve"> </w:t>
      </w:r>
      <w:r w:rsidRPr="00B5080E">
        <w:rPr>
          <w:rFonts w:hint="eastAsia"/>
          <w:rtl/>
        </w:rPr>
        <w:t>شرائع</w:t>
      </w:r>
      <w:r w:rsidRPr="00B5080E">
        <w:rPr>
          <w:rtl/>
        </w:rPr>
        <w:t xml:space="preserve"> </w:t>
      </w:r>
      <w:r w:rsidRPr="00B5080E">
        <w:rPr>
          <w:rFonts w:hint="eastAsia"/>
          <w:rtl/>
        </w:rPr>
        <w:t>ال</w:t>
      </w:r>
      <w:r w:rsidRPr="00B5080E">
        <w:rPr>
          <w:rFonts w:hint="cs"/>
          <w:rtl/>
        </w:rPr>
        <w:t>إ</w:t>
      </w:r>
      <w:r w:rsidRPr="00B5080E">
        <w:rPr>
          <w:rFonts w:hint="eastAsia"/>
          <w:rtl/>
        </w:rPr>
        <w:t>سلام،</w:t>
      </w:r>
      <w:r w:rsidRPr="00B5080E">
        <w:rPr>
          <w:rtl/>
        </w:rPr>
        <w:t xml:space="preserve"> 4 </w:t>
      </w:r>
      <w:r w:rsidRPr="00B5080E">
        <w:rPr>
          <w:rFonts w:hint="eastAsia"/>
          <w:rtl/>
        </w:rPr>
        <w:t>مجلد،</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عبد</w:t>
      </w:r>
      <w:r w:rsidRPr="00B5080E">
        <w:rPr>
          <w:rFonts w:hint="cs"/>
          <w:rtl/>
        </w:rPr>
        <w:t xml:space="preserve"> </w:t>
      </w:r>
      <w:r w:rsidRPr="00B5080E">
        <w:rPr>
          <w:rFonts w:hint="eastAsia"/>
          <w:rtl/>
        </w:rPr>
        <w:t>الحسين</w:t>
      </w:r>
      <w:r w:rsidRPr="00B5080E">
        <w:rPr>
          <w:rtl/>
        </w:rPr>
        <w:t xml:space="preserve"> </w:t>
      </w:r>
      <w:r w:rsidRPr="00B5080E">
        <w:rPr>
          <w:rFonts w:hint="eastAsia"/>
          <w:rtl/>
        </w:rPr>
        <w:t>محمّد</w:t>
      </w:r>
      <w:r w:rsidRPr="00B5080E">
        <w:rPr>
          <w:rFonts w:hint="cs"/>
          <w:rtl/>
        </w:rPr>
        <w:t xml:space="preserve"> </w:t>
      </w:r>
      <w:r w:rsidRPr="00B5080E">
        <w:rPr>
          <w:rFonts w:hint="eastAsia"/>
          <w:rtl/>
        </w:rPr>
        <w:t>عل</w:t>
      </w:r>
      <w:r w:rsidRPr="00B5080E">
        <w:rPr>
          <w:rFonts w:hint="cs"/>
          <w:rtl/>
        </w:rPr>
        <w:t>ي</w:t>
      </w:r>
      <w:r w:rsidRPr="00B5080E">
        <w:rPr>
          <w:rFonts w:hint="eastAsia"/>
          <w:rtl/>
        </w:rPr>
        <w:t>،</w:t>
      </w:r>
      <w:r w:rsidRPr="00B5080E">
        <w:rPr>
          <w:rtl/>
        </w:rPr>
        <w:t xml:space="preserve"> (</w:t>
      </w:r>
      <w:r w:rsidRPr="00B5080E">
        <w:rPr>
          <w:rFonts w:hint="eastAsia"/>
          <w:rtl/>
        </w:rPr>
        <w:t>النجف،</w:t>
      </w:r>
      <w:r w:rsidRPr="00B5080E">
        <w:rPr>
          <w:rtl/>
        </w:rPr>
        <w:t xml:space="preserve"> 1389</w:t>
      </w:r>
      <w:r w:rsidRPr="00B5080E">
        <w:rPr>
          <w:rFonts w:hint="cs"/>
          <w:rtl/>
        </w:rPr>
        <w:t>هـ</w:t>
      </w:r>
      <w:r w:rsidRPr="00B5080E">
        <w:rPr>
          <w:rtl/>
        </w:rPr>
        <w:t>).</w:t>
      </w:r>
    </w:p>
    <w:p w:rsidR="00EA09EB" w:rsidRPr="00B5080E" w:rsidRDefault="00EA09EB" w:rsidP="00B5080E">
      <w:r w:rsidRPr="00B5080E">
        <w:rPr>
          <w:rFonts w:hint="cs"/>
          <w:rtl/>
        </w:rPr>
        <w:t>ـ ال</w:t>
      </w:r>
      <w:r w:rsidRPr="00B5080E">
        <w:rPr>
          <w:rFonts w:hint="eastAsia"/>
          <w:rtl/>
        </w:rPr>
        <w:t>محقق</w:t>
      </w:r>
      <w:r w:rsidRPr="00B5080E">
        <w:rPr>
          <w:rtl/>
        </w:rPr>
        <w:t xml:space="preserve"> </w:t>
      </w:r>
      <w:r w:rsidRPr="00B5080E">
        <w:rPr>
          <w:rFonts w:hint="eastAsia"/>
          <w:rtl/>
        </w:rPr>
        <w:t>الحلّي،</w:t>
      </w:r>
      <w:r w:rsidRPr="00B5080E">
        <w:rPr>
          <w:rtl/>
        </w:rPr>
        <w:t xml:space="preserve"> </w:t>
      </w:r>
      <w:r w:rsidRPr="00B5080E">
        <w:rPr>
          <w:rFonts w:hint="eastAsia"/>
          <w:rtl/>
        </w:rPr>
        <w:t>المختصر</w:t>
      </w:r>
      <w:r w:rsidRPr="00B5080E">
        <w:rPr>
          <w:rtl/>
        </w:rPr>
        <w:t xml:space="preserve"> </w:t>
      </w:r>
      <w:r w:rsidRPr="00B5080E">
        <w:rPr>
          <w:rFonts w:hint="eastAsia"/>
          <w:rtl/>
        </w:rPr>
        <w:t>النافع</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فقه</w:t>
      </w:r>
      <w:r w:rsidRPr="00B5080E">
        <w:rPr>
          <w:rtl/>
        </w:rPr>
        <w:t xml:space="preserve"> </w:t>
      </w:r>
      <w:r w:rsidRPr="00B5080E">
        <w:rPr>
          <w:rFonts w:hint="eastAsia"/>
          <w:rtl/>
        </w:rPr>
        <w:t>ال</w:t>
      </w:r>
      <w:r w:rsidRPr="00B5080E">
        <w:rPr>
          <w:rFonts w:hint="cs"/>
          <w:rtl/>
        </w:rPr>
        <w:t>إ</w:t>
      </w:r>
      <w:r w:rsidRPr="00B5080E">
        <w:rPr>
          <w:rFonts w:hint="eastAsia"/>
          <w:rtl/>
        </w:rPr>
        <w:t>مامية،</w:t>
      </w:r>
      <w:r w:rsidRPr="00B5080E">
        <w:rPr>
          <w:rtl/>
        </w:rPr>
        <w:t xml:space="preserve"> (</w:t>
      </w:r>
      <w:r w:rsidRPr="00B5080E">
        <w:rPr>
          <w:rFonts w:hint="eastAsia"/>
          <w:rtl/>
        </w:rPr>
        <w:t>القاهرة</w:t>
      </w:r>
      <w:r w:rsidRPr="00B5080E">
        <w:rPr>
          <w:rtl/>
        </w:rPr>
        <w:t>).</w:t>
      </w:r>
    </w:p>
    <w:p w:rsidR="00EA09EB" w:rsidRPr="00B5080E" w:rsidRDefault="00EA09EB" w:rsidP="00B5080E">
      <w:r w:rsidRPr="00B5080E">
        <w:rPr>
          <w:rFonts w:hint="cs"/>
          <w:rtl/>
        </w:rPr>
        <w:t xml:space="preserve">ـ </w:t>
      </w:r>
      <w:r w:rsidRPr="00B5080E">
        <w:rPr>
          <w:rFonts w:hint="eastAsia"/>
          <w:rtl/>
        </w:rPr>
        <w:t>عبد</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بن</w:t>
      </w:r>
      <w:r w:rsidRPr="00B5080E">
        <w:rPr>
          <w:rtl/>
        </w:rPr>
        <w:t xml:space="preserve"> </w:t>
      </w:r>
      <w:r w:rsidRPr="00B5080E">
        <w:rPr>
          <w:rFonts w:hint="eastAsia"/>
          <w:rtl/>
        </w:rPr>
        <w:t>جمعة</w:t>
      </w:r>
      <w:r w:rsidRPr="00B5080E">
        <w:rPr>
          <w:rFonts w:hint="cs"/>
          <w:rtl/>
        </w:rPr>
        <w:t xml:space="preserve"> </w:t>
      </w:r>
      <w:r w:rsidRPr="00B5080E">
        <w:rPr>
          <w:rFonts w:hint="eastAsia"/>
          <w:rtl/>
        </w:rPr>
        <w:t>العروس</w:t>
      </w:r>
      <w:r w:rsidRPr="00B5080E">
        <w:rPr>
          <w:rFonts w:hint="cs"/>
          <w:rtl/>
        </w:rPr>
        <w:t>ي</w:t>
      </w:r>
      <w:r w:rsidRPr="00B5080E">
        <w:rPr>
          <w:rtl/>
        </w:rPr>
        <w:t xml:space="preserve"> </w:t>
      </w:r>
      <w:r w:rsidRPr="00B5080E">
        <w:rPr>
          <w:rFonts w:hint="eastAsia"/>
          <w:rtl/>
        </w:rPr>
        <w:t>الحويز</w:t>
      </w:r>
      <w:r w:rsidRPr="00B5080E">
        <w:rPr>
          <w:rFonts w:hint="cs"/>
          <w:rtl/>
        </w:rPr>
        <w:t>ي</w:t>
      </w:r>
      <w:r w:rsidRPr="00B5080E">
        <w:rPr>
          <w:rFonts w:hint="eastAsia"/>
          <w:rtl/>
        </w:rPr>
        <w:t>،</w:t>
      </w:r>
      <w:r w:rsidRPr="00B5080E">
        <w:rPr>
          <w:rtl/>
        </w:rPr>
        <w:t xml:space="preserve"> </w:t>
      </w:r>
      <w:r w:rsidRPr="00B5080E">
        <w:rPr>
          <w:rFonts w:hint="eastAsia"/>
          <w:rtl/>
        </w:rPr>
        <w:t>تفسير</w:t>
      </w:r>
      <w:r w:rsidRPr="00B5080E">
        <w:rPr>
          <w:rtl/>
        </w:rPr>
        <w:t xml:space="preserve"> </w:t>
      </w:r>
      <w:r w:rsidRPr="00B5080E">
        <w:rPr>
          <w:rFonts w:hint="eastAsia"/>
          <w:rtl/>
        </w:rPr>
        <w:t>نور</w:t>
      </w:r>
      <w:r w:rsidRPr="00B5080E">
        <w:rPr>
          <w:rFonts w:hint="cs"/>
          <w:rtl/>
        </w:rPr>
        <w:t xml:space="preserve"> </w:t>
      </w:r>
      <w:r w:rsidRPr="00B5080E">
        <w:rPr>
          <w:rFonts w:hint="eastAsia"/>
          <w:rtl/>
        </w:rPr>
        <w:t>الثقلين،</w:t>
      </w:r>
      <w:r w:rsidRPr="00B5080E">
        <w:rPr>
          <w:rtl/>
        </w:rPr>
        <w:t xml:space="preserve"> 5 </w:t>
      </w:r>
      <w:r w:rsidRPr="00B5080E">
        <w:rPr>
          <w:rFonts w:hint="eastAsia"/>
          <w:rtl/>
        </w:rPr>
        <w:t>مجلد،</w:t>
      </w:r>
      <w:r w:rsidRPr="00B5080E">
        <w:rPr>
          <w:rtl/>
        </w:rPr>
        <w:t xml:space="preserve"> (</w:t>
      </w:r>
      <w:r w:rsidRPr="00B5080E">
        <w:rPr>
          <w:rFonts w:hint="eastAsia"/>
          <w:rtl/>
        </w:rPr>
        <w:t>طهران،</w:t>
      </w:r>
      <w:r w:rsidRPr="00B5080E">
        <w:rPr>
          <w:rtl/>
        </w:rPr>
        <w:t xml:space="preserve"> 1382</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ملا</w:t>
      </w:r>
      <w:r w:rsidRPr="00B5080E">
        <w:rPr>
          <w:rFonts w:hint="cs"/>
          <w:rtl/>
        </w:rPr>
        <w:t xml:space="preserve"> </w:t>
      </w:r>
      <w:r w:rsidRPr="00B5080E">
        <w:rPr>
          <w:rFonts w:hint="eastAsia"/>
          <w:rtl/>
        </w:rPr>
        <w:t>محمّد</w:t>
      </w:r>
      <w:r w:rsidRPr="00B5080E">
        <w:rPr>
          <w:rtl/>
        </w:rPr>
        <w:t xml:space="preserve"> </w:t>
      </w:r>
      <w:r w:rsidRPr="00B5080E">
        <w:rPr>
          <w:rFonts w:hint="eastAsia"/>
          <w:rtl/>
        </w:rPr>
        <w:t>كاظم</w:t>
      </w:r>
      <w:r w:rsidRPr="00B5080E">
        <w:rPr>
          <w:rtl/>
        </w:rPr>
        <w:t xml:space="preserve"> </w:t>
      </w:r>
      <w:r w:rsidRPr="00B5080E">
        <w:rPr>
          <w:rFonts w:hint="cs"/>
          <w:rtl/>
        </w:rPr>
        <w:t>ال</w:t>
      </w:r>
      <w:r w:rsidRPr="00B5080E">
        <w:rPr>
          <w:rFonts w:hint="eastAsia"/>
          <w:rtl/>
        </w:rPr>
        <w:t>خراسان</w:t>
      </w:r>
      <w:r w:rsidRPr="00B5080E">
        <w:rPr>
          <w:rFonts w:hint="cs"/>
          <w:rtl/>
        </w:rPr>
        <w:t>ي</w:t>
      </w:r>
      <w:r w:rsidRPr="00B5080E">
        <w:rPr>
          <w:rFonts w:hint="eastAsia"/>
          <w:rtl/>
        </w:rPr>
        <w:t>،</w:t>
      </w:r>
      <w:r w:rsidRPr="00B5080E">
        <w:rPr>
          <w:rtl/>
        </w:rPr>
        <w:t xml:space="preserve"> </w:t>
      </w:r>
      <w:r w:rsidRPr="00B5080E">
        <w:rPr>
          <w:rFonts w:hint="eastAsia"/>
          <w:rtl/>
        </w:rPr>
        <w:t>كفاية</w:t>
      </w:r>
      <w:r w:rsidRPr="00B5080E">
        <w:rPr>
          <w:rtl/>
        </w:rPr>
        <w:t xml:space="preserve"> </w:t>
      </w:r>
      <w:r w:rsidRPr="00B5080E">
        <w:rPr>
          <w:rFonts w:hint="eastAsia"/>
          <w:rtl/>
        </w:rPr>
        <w:t>ال</w:t>
      </w:r>
      <w:r w:rsidRPr="00B5080E">
        <w:rPr>
          <w:rFonts w:hint="cs"/>
          <w:rtl/>
        </w:rPr>
        <w:t>أ</w:t>
      </w:r>
      <w:r w:rsidRPr="00B5080E">
        <w:rPr>
          <w:rFonts w:hint="eastAsia"/>
          <w:rtl/>
        </w:rPr>
        <w:t>صول،</w:t>
      </w:r>
      <w:r w:rsidRPr="00B5080E">
        <w:rPr>
          <w:rtl/>
        </w:rPr>
        <w:t xml:space="preserve"> </w:t>
      </w:r>
      <w:r w:rsidRPr="00B5080E">
        <w:rPr>
          <w:rFonts w:hint="eastAsia"/>
          <w:rtl/>
        </w:rPr>
        <w:t>تصحيح</w:t>
      </w:r>
      <w:r w:rsidRPr="00B5080E">
        <w:rPr>
          <w:rtl/>
        </w:rPr>
        <w:t xml:space="preserve"> </w:t>
      </w:r>
      <w:r w:rsidRPr="00B5080E">
        <w:rPr>
          <w:rFonts w:hint="eastAsia"/>
          <w:rtl/>
        </w:rPr>
        <w:t>مؤسسة</w:t>
      </w:r>
      <w:r w:rsidRPr="00B5080E">
        <w:rPr>
          <w:rtl/>
        </w:rPr>
        <w:t xml:space="preserve"> </w:t>
      </w:r>
      <w:r w:rsidRPr="00B5080E">
        <w:rPr>
          <w:rFonts w:hint="eastAsia"/>
          <w:rtl/>
        </w:rPr>
        <w:t>آل</w:t>
      </w:r>
      <w:r w:rsidRPr="00B5080E">
        <w:rPr>
          <w:rtl/>
        </w:rPr>
        <w:t xml:space="preserve"> </w:t>
      </w:r>
      <w:r w:rsidRPr="00B5080E">
        <w:rPr>
          <w:rFonts w:hint="eastAsia"/>
          <w:rtl/>
        </w:rPr>
        <w:t>البيت</w:t>
      </w:r>
      <w:r w:rsidR="007A340E" w:rsidRPr="00B5080E">
        <w:rPr>
          <w:rFonts w:hint="cs"/>
          <w:rtl/>
        </w:rPr>
        <w:t>^</w:t>
      </w:r>
      <w:r w:rsidRPr="00B5080E">
        <w:rPr>
          <w:rFonts w:hint="eastAsia"/>
          <w:rtl/>
        </w:rPr>
        <w:t>،</w:t>
      </w:r>
      <w:r w:rsidRPr="00B5080E">
        <w:rPr>
          <w:rtl/>
        </w:rPr>
        <w:t xml:space="preserve"> (</w:t>
      </w:r>
      <w:r w:rsidRPr="00B5080E">
        <w:rPr>
          <w:rFonts w:hint="eastAsia"/>
          <w:rtl/>
        </w:rPr>
        <w:t>قم،</w:t>
      </w:r>
      <w:r w:rsidRPr="00B5080E">
        <w:rPr>
          <w:rtl/>
        </w:rPr>
        <w:t xml:space="preserve"> 1409</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ملا</w:t>
      </w:r>
      <w:r w:rsidRPr="00B5080E">
        <w:rPr>
          <w:rFonts w:hint="cs"/>
          <w:rtl/>
        </w:rPr>
        <w:t xml:space="preserve"> </w:t>
      </w:r>
      <w:r w:rsidRPr="00B5080E">
        <w:rPr>
          <w:rFonts w:hint="eastAsia"/>
          <w:rtl/>
        </w:rPr>
        <w:t>محمّد</w:t>
      </w:r>
      <w:r w:rsidRPr="00B5080E">
        <w:rPr>
          <w:rtl/>
        </w:rPr>
        <w:t xml:space="preserve"> </w:t>
      </w:r>
      <w:r w:rsidRPr="00B5080E">
        <w:rPr>
          <w:rFonts w:hint="eastAsia"/>
          <w:rtl/>
        </w:rPr>
        <w:t>كاظم</w:t>
      </w:r>
      <w:r w:rsidRPr="00B5080E">
        <w:rPr>
          <w:rtl/>
        </w:rPr>
        <w:t xml:space="preserve"> </w:t>
      </w:r>
      <w:r w:rsidRPr="00B5080E">
        <w:rPr>
          <w:rFonts w:hint="cs"/>
          <w:rtl/>
        </w:rPr>
        <w:t>ال</w:t>
      </w:r>
      <w:r w:rsidRPr="00B5080E">
        <w:rPr>
          <w:rFonts w:hint="eastAsia"/>
          <w:rtl/>
        </w:rPr>
        <w:t>خراسان</w:t>
      </w:r>
      <w:r w:rsidRPr="00B5080E">
        <w:rPr>
          <w:rFonts w:hint="cs"/>
          <w:rtl/>
        </w:rPr>
        <w:t>ي</w:t>
      </w:r>
      <w:r w:rsidRPr="00B5080E">
        <w:rPr>
          <w:rFonts w:hint="eastAsia"/>
          <w:rtl/>
        </w:rPr>
        <w:t>،</w:t>
      </w:r>
      <w:r w:rsidRPr="00B5080E">
        <w:rPr>
          <w:rtl/>
        </w:rPr>
        <w:t xml:space="preserve"> </w:t>
      </w:r>
      <w:r w:rsidRPr="00B5080E">
        <w:rPr>
          <w:rFonts w:hint="eastAsia"/>
          <w:rtl/>
        </w:rPr>
        <w:t>حاشية</w:t>
      </w:r>
      <w:r w:rsidRPr="00B5080E">
        <w:rPr>
          <w:rtl/>
        </w:rPr>
        <w:t xml:space="preserve"> </w:t>
      </w:r>
      <w:r w:rsidRPr="00B5080E">
        <w:rPr>
          <w:rFonts w:hint="eastAsia"/>
          <w:rtl/>
        </w:rPr>
        <w:t>كتاب</w:t>
      </w:r>
      <w:r w:rsidRPr="00B5080E">
        <w:rPr>
          <w:rtl/>
        </w:rPr>
        <w:t xml:space="preserve"> </w:t>
      </w:r>
      <w:r w:rsidRPr="00B5080E">
        <w:rPr>
          <w:rFonts w:hint="eastAsia"/>
          <w:rtl/>
        </w:rPr>
        <w:t>المكاسب،</w:t>
      </w:r>
      <w:r w:rsidRPr="00B5080E">
        <w:rPr>
          <w:rtl/>
        </w:rPr>
        <w:t xml:space="preserve"> (</w:t>
      </w:r>
      <w:r w:rsidRPr="00B5080E">
        <w:rPr>
          <w:rFonts w:hint="eastAsia"/>
          <w:rtl/>
        </w:rPr>
        <w:t>طهران،</w:t>
      </w:r>
      <w:r w:rsidRPr="00B5080E">
        <w:rPr>
          <w:rtl/>
        </w:rPr>
        <w:t xml:space="preserve"> 1406</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محسن</w:t>
      </w:r>
      <w:r w:rsidRPr="00B5080E">
        <w:rPr>
          <w:rtl/>
        </w:rPr>
        <w:t xml:space="preserve"> </w:t>
      </w:r>
      <w:r w:rsidRPr="00B5080E">
        <w:rPr>
          <w:rFonts w:hint="cs"/>
          <w:rtl/>
        </w:rPr>
        <w:t>ال</w:t>
      </w:r>
      <w:r w:rsidRPr="00B5080E">
        <w:rPr>
          <w:rFonts w:hint="eastAsia"/>
          <w:rtl/>
        </w:rPr>
        <w:t>خراز</w:t>
      </w:r>
      <w:r w:rsidRPr="00B5080E">
        <w:rPr>
          <w:rFonts w:hint="cs"/>
          <w:rtl/>
        </w:rPr>
        <w:t>ي</w:t>
      </w:r>
      <w:r w:rsidRPr="00B5080E">
        <w:rPr>
          <w:rFonts w:hint="eastAsia"/>
          <w:rtl/>
        </w:rPr>
        <w:t>،</w:t>
      </w:r>
      <w:r w:rsidRPr="00B5080E">
        <w:rPr>
          <w:rtl/>
        </w:rPr>
        <w:t xml:space="preserve"> </w:t>
      </w:r>
      <w:r w:rsidRPr="00B5080E">
        <w:rPr>
          <w:rFonts w:hint="eastAsia"/>
          <w:rtl/>
        </w:rPr>
        <w:t>ال</w:t>
      </w:r>
      <w:r w:rsidRPr="00B5080E">
        <w:rPr>
          <w:rFonts w:hint="cs"/>
          <w:rtl/>
        </w:rPr>
        <w:t>أ</w:t>
      </w:r>
      <w:r w:rsidRPr="00B5080E">
        <w:rPr>
          <w:rFonts w:hint="eastAsia"/>
          <w:rtl/>
        </w:rPr>
        <w:t>مر</w:t>
      </w:r>
      <w:r w:rsidRPr="00B5080E">
        <w:rPr>
          <w:rtl/>
        </w:rPr>
        <w:t xml:space="preserve"> </w:t>
      </w:r>
      <w:r w:rsidRPr="00B5080E">
        <w:rPr>
          <w:rFonts w:hint="eastAsia"/>
          <w:rtl/>
        </w:rPr>
        <w:t>بالمعروف</w:t>
      </w:r>
      <w:r w:rsidRPr="00B5080E">
        <w:rPr>
          <w:rtl/>
        </w:rPr>
        <w:t xml:space="preserve"> </w:t>
      </w:r>
      <w:r w:rsidRPr="00B5080E">
        <w:rPr>
          <w:rFonts w:hint="eastAsia"/>
          <w:rtl/>
        </w:rPr>
        <w:t>والنه</w:t>
      </w:r>
      <w:r w:rsidRPr="00B5080E">
        <w:rPr>
          <w:rFonts w:hint="cs"/>
          <w:rtl/>
        </w:rPr>
        <w:t>ي</w:t>
      </w:r>
      <w:r w:rsidRPr="00B5080E">
        <w:rPr>
          <w:rtl/>
        </w:rPr>
        <w:t xml:space="preserve"> </w:t>
      </w:r>
      <w:r w:rsidRPr="00B5080E">
        <w:rPr>
          <w:rFonts w:hint="eastAsia"/>
          <w:rtl/>
        </w:rPr>
        <w:t>عن</w:t>
      </w:r>
      <w:r w:rsidRPr="00B5080E">
        <w:rPr>
          <w:rtl/>
        </w:rPr>
        <w:t>‏</w:t>
      </w:r>
      <w:r w:rsidRPr="00B5080E">
        <w:rPr>
          <w:rFonts w:hint="eastAsia"/>
          <w:rtl/>
        </w:rPr>
        <w:t>المنكر،</w:t>
      </w:r>
      <w:r w:rsidRPr="00B5080E">
        <w:rPr>
          <w:rtl/>
        </w:rPr>
        <w:t xml:space="preserve"> (</w:t>
      </w:r>
      <w:r w:rsidRPr="00B5080E">
        <w:rPr>
          <w:rFonts w:hint="eastAsia"/>
          <w:rtl/>
        </w:rPr>
        <w:t>قم،</w:t>
      </w:r>
      <w:r w:rsidRPr="00B5080E">
        <w:rPr>
          <w:rtl/>
        </w:rPr>
        <w:t xml:space="preserve"> 1415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محسن</w:t>
      </w:r>
      <w:r w:rsidRPr="00B5080E">
        <w:rPr>
          <w:rtl/>
        </w:rPr>
        <w:t xml:space="preserve"> </w:t>
      </w:r>
      <w:r w:rsidRPr="00B5080E">
        <w:rPr>
          <w:rFonts w:hint="cs"/>
          <w:rtl/>
        </w:rPr>
        <w:t>ال</w:t>
      </w:r>
      <w:r w:rsidRPr="00B5080E">
        <w:rPr>
          <w:rFonts w:hint="eastAsia"/>
          <w:rtl/>
        </w:rPr>
        <w:t>خراز</w:t>
      </w:r>
      <w:r w:rsidRPr="00B5080E">
        <w:rPr>
          <w:rFonts w:hint="cs"/>
          <w:rtl/>
        </w:rPr>
        <w:t>ي</w:t>
      </w:r>
      <w:r w:rsidRPr="00B5080E">
        <w:rPr>
          <w:rFonts w:hint="eastAsia"/>
          <w:rtl/>
        </w:rPr>
        <w:t>،</w:t>
      </w:r>
      <w:r w:rsidRPr="00B5080E">
        <w:rPr>
          <w:rtl/>
        </w:rPr>
        <w:t xml:space="preserve"> </w:t>
      </w:r>
      <w:r w:rsidRPr="00B5080E">
        <w:rPr>
          <w:rFonts w:hint="eastAsia"/>
          <w:rtl/>
        </w:rPr>
        <w:t>رسالة</w:t>
      </w:r>
      <w:r w:rsidRPr="00B5080E">
        <w:rPr>
          <w:rtl/>
        </w:rPr>
        <w:t xml:space="preserve"> </w:t>
      </w:r>
      <w:r w:rsidRPr="00B5080E">
        <w:rPr>
          <w:rFonts w:hint="eastAsia"/>
          <w:rtl/>
        </w:rPr>
        <w:t>قاعدة</w:t>
      </w:r>
      <w:r w:rsidRPr="00B5080E">
        <w:rPr>
          <w:rtl/>
        </w:rPr>
        <w:t xml:space="preserve"> </w:t>
      </w:r>
      <w:r w:rsidRPr="00B5080E">
        <w:rPr>
          <w:rFonts w:hint="eastAsia"/>
          <w:rtl/>
        </w:rPr>
        <w:t>اللطف،</w:t>
      </w:r>
      <w:r w:rsidRPr="00B5080E">
        <w:rPr>
          <w:rtl/>
        </w:rPr>
        <w:t xml:space="preserve"> </w:t>
      </w:r>
      <w:r w:rsidRPr="00B5080E">
        <w:rPr>
          <w:rFonts w:hint="eastAsia"/>
          <w:rtl/>
        </w:rPr>
        <w:t>المقالات</w:t>
      </w:r>
      <w:r w:rsidRPr="00B5080E">
        <w:rPr>
          <w:rtl/>
        </w:rPr>
        <w:t xml:space="preserve"> </w:t>
      </w:r>
      <w:r w:rsidRPr="00B5080E">
        <w:rPr>
          <w:rFonts w:hint="eastAsia"/>
          <w:rtl/>
        </w:rPr>
        <w:t>والرسالات</w:t>
      </w:r>
      <w:r w:rsidRPr="00B5080E">
        <w:rPr>
          <w:rFonts w:hint="cs"/>
          <w:rtl/>
        </w:rPr>
        <w:t>،</w:t>
      </w:r>
      <w:r w:rsidRPr="00B5080E">
        <w:rPr>
          <w:rtl/>
        </w:rPr>
        <w:t xml:space="preserve"> </w:t>
      </w:r>
      <w:r w:rsidRPr="00B5080E">
        <w:rPr>
          <w:rFonts w:hint="eastAsia"/>
          <w:rtl/>
        </w:rPr>
        <w:t>رقم</w:t>
      </w:r>
      <w:r w:rsidRPr="00B5080E">
        <w:rPr>
          <w:rtl/>
        </w:rPr>
        <w:t xml:space="preserve"> 30 </w:t>
      </w:r>
      <w:r w:rsidRPr="00B5080E">
        <w:rPr>
          <w:rFonts w:hint="eastAsia"/>
          <w:rtl/>
        </w:rPr>
        <w:t>من</w:t>
      </w:r>
      <w:r w:rsidRPr="00B5080E">
        <w:rPr>
          <w:rtl/>
        </w:rPr>
        <w:t xml:space="preserve"> </w:t>
      </w:r>
      <w:r w:rsidRPr="00B5080E">
        <w:rPr>
          <w:rFonts w:hint="eastAsia"/>
          <w:rtl/>
        </w:rPr>
        <w:t>الكتب</w:t>
      </w:r>
      <w:r w:rsidRPr="00B5080E">
        <w:rPr>
          <w:rtl/>
        </w:rPr>
        <w:t xml:space="preserve"> </w:t>
      </w:r>
      <w:r w:rsidRPr="00B5080E">
        <w:rPr>
          <w:rFonts w:hint="eastAsia"/>
          <w:rtl/>
        </w:rPr>
        <w:t>الصادرة</w:t>
      </w:r>
      <w:r w:rsidRPr="00B5080E">
        <w:rPr>
          <w:rtl/>
        </w:rPr>
        <w:t xml:space="preserve"> </w:t>
      </w:r>
      <w:r w:rsidRPr="00B5080E">
        <w:rPr>
          <w:rFonts w:hint="eastAsia"/>
          <w:rtl/>
        </w:rPr>
        <w:t>عن</w:t>
      </w:r>
      <w:r w:rsidRPr="00B5080E">
        <w:rPr>
          <w:rtl/>
        </w:rPr>
        <w:t xml:space="preserve"> </w:t>
      </w:r>
      <w:r w:rsidRPr="00B5080E">
        <w:rPr>
          <w:rFonts w:hint="eastAsia"/>
          <w:rtl/>
        </w:rPr>
        <w:t>مؤتمر</w:t>
      </w:r>
      <w:r w:rsidRPr="00B5080E">
        <w:rPr>
          <w:rtl/>
        </w:rPr>
        <w:t xml:space="preserve"> </w:t>
      </w:r>
      <w:r w:rsidRPr="00B5080E">
        <w:rPr>
          <w:rFonts w:hint="eastAsia"/>
          <w:rtl/>
        </w:rPr>
        <w:t>ألفية</w:t>
      </w:r>
      <w:r w:rsidRPr="00B5080E">
        <w:rPr>
          <w:rtl/>
        </w:rPr>
        <w:t xml:space="preserve"> </w:t>
      </w:r>
      <w:r w:rsidRPr="00B5080E">
        <w:rPr>
          <w:rFonts w:hint="eastAsia"/>
          <w:rtl/>
        </w:rPr>
        <w:t>الشيخ</w:t>
      </w:r>
      <w:r w:rsidRPr="00B5080E">
        <w:rPr>
          <w:rtl/>
        </w:rPr>
        <w:t xml:space="preserve"> </w:t>
      </w:r>
      <w:r w:rsidRPr="00B5080E">
        <w:rPr>
          <w:rFonts w:hint="eastAsia"/>
          <w:rtl/>
        </w:rPr>
        <w:t>المفيد</w:t>
      </w:r>
      <w:r w:rsidRPr="00B5080E">
        <w:rPr>
          <w:rtl/>
        </w:rPr>
        <w:t xml:space="preserve"> (</w:t>
      </w:r>
      <w:r w:rsidRPr="00B5080E">
        <w:rPr>
          <w:rFonts w:hint="eastAsia"/>
          <w:rtl/>
        </w:rPr>
        <w:t>قم،</w:t>
      </w:r>
      <w:r w:rsidRPr="00B5080E">
        <w:rPr>
          <w:rtl/>
        </w:rPr>
        <w:t xml:space="preserve"> 1413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خليل</w:t>
      </w:r>
      <w:r w:rsidRPr="00B5080E">
        <w:rPr>
          <w:rtl/>
        </w:rPr>
        <w:t xml:space="preserve"> </w:t>
      </w:r>
      <w:r w:rsidRPr="00B5080E">
        <w:rPr>
          <w:rFonts w:hint="eastAsia"/>
          <w:rtl/>
        </w:rPr>
        <w:t>بن</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الفراهيدي،</w:t>
      </w:r>
      <w:r w:rsidRPr="00B5080E">
        <w:rPr>
          <w:rtl/>
        </w:rPr>
        <w:t xml:space="preserve"> </w:t>
      </w:r>
      <w:r w:rsidRPr="00B5080E">
        <w:rPr>
          <w:rFonts w:hint="eastAsia"/>
          <w:rtl/>
        </w:rPr>
        <w:t>كتاب</w:t>
      </w:r>
      <w:r w:rsidRPr="00B5080E">
        <w:rPr>
          <w:rtl/>
        </w:rPr>
        <w:t xml:space="preserve"> </w:t>
      </w:r>
      <w:r w:rsidRPr="00B5080E">
        <w:rPr>
          <w:rFonts w:hint="eastAsia"/>
          <w:rtl/>
        </w:rPr>
        <w:t>العين،</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مهد</w:t>
      </w:r>
      <w:r w:rsidRPr="00B5080E">
        <w:rPr>
          <w:rFonts w:hint="cs"/>
          <w:rtl/>
        </w:rPr>
        <w:t>ي</w:t>
      </w:r>
      <w:r w:rsidRPr="00B5080E">
        <w:rPr>
          <w:rtl/>
        </w:rPr>
        <w:t xml:space="preserve"> </w:t>
      </w:r>
      <w:r w:rsidRPr="00B5080E">
        <w:rPr>
          <w:rFonts w:hint="eastAsia"/>
          <w:rtl/>
        </w:rPr>
        <w:t>مخزوم</w:t>
      </w:r>
      <w:r w:rsidRPr="00B5080E">
        <w:rPr>
          <w:rFonts w:hint="cs"/>
          <w:rtl/>
        </w:rPr>
        <w:t>ي</w:t>
      </w:r>
      <w:r w:rsidRPr="00B5080E">
        <w:rPr>
          <w:rtl/>
        </w:rPr>
        <w:t xml:space="preserve"> </w:t>
      </w:r>
      <w:r w:rsidRPr="00B5080E">
        <w:rPr>
          <w:rFonts w:hint="eastAsia"/>
          <w:rtl/>
        </w:rPr>
        <w:t>و</w:t>
      </w:r>
      <w:r w:rsidRPr="00B5080E">
        <w:rPr>
          <w:rFonts w:hint="cs"/>
          <w:rtl/>
        </w:rPr>
        <w:t>إ</w:t>
      </w:r>
      <w:r w:rsidRPr="00B5080E">
        <w:rPr>
          <w:rFonts w:hint="eastAsia"/>
          <w:rtl/>
        </w:rPr>
        <w:t>براهيم</w:t>
      </w:r>
      <w:r w:rsidRPr="00B5080E">
        <w:rPr>
          <w:rtl/>
        </w:rPr>
        <w:t xml:space="preserve"> </w:t>
      </w:r>
      <w:r w:rsidRPr="00B5080E">
        <w:rPr>
          <w:rFonts w:hint="eastAsia"/>
          <w:rtl/>
        </w:rPr>
        <w:t>سامرائ</w:t>
      </w:r>
      <w:r w:rsidRPr="00B5080E">
        <w:rPr>
          <w:rFonts w:hint="cs"/>
          <w:rtl/>
        </w:rPr>
        <w:t>ي</w:t>
      </w:r>
      <w:r w:rsidRPr="00B5080E">
        <w:rPr>
          <w:rFonts w:hint="eastAsia"/>
          <w:rtl/>
        </w:rPr>
        <w:t>،</w:t>
      </w:r>
      <w:r w:rsidRPr="00B5080E">
        <w:rPr>
          <w:rtl/>
        </w:rPr>
        <w:t xml:space="preserve"> 8 </w:t>
      </w:r>
      <w:r w:rsidRPr="00B5080E">
        <w:rPr>
          <w:rFonts w:hint="eastAsia"/>
          <w:rtl/>
        </w:rPr>
        <w:t>مجلدات،</w:t>
      </w:r>
      <w:r w:rsidRPr="00B5080E">
        <w:rPr>
          <w:rtl/>
        </w:rPr>
        <w:t xml:space="preserve"> (</w:t>
      </w:r>
      <w:r w:rsidRPr="00B5080E">
        <w:rPr>
          <w:rFonts w:hint="eastAsia"/>
          <w:rtl/>
        </w:rPr>
        <w:t>قم،</w:t>
      </w:r>
      <w:r w:rsidRPr="00B5080E">
        <w:rPr>
          <w:rtl/>
        </w:rPr>
        <w:t xml:space="preserve"> 1405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روح</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w:t>
      </w:r>
      <w:r w:rsidRPr="00B5080E">
        <w:rPr>
          <w:rFonts w:hint="eastAsia"/>
          <w:rtl/>
        </w:rPr>
        <w:t>كتاب</w:t>
      </w:r>
      <w:r w:rsidRPr="00B5080E">
        <w:rPr>
          <w:rtl/>
        </w:rPr>
        <w:t xml:space="preserve"> </w:t>
      </w:r>
      <w:r w:rsidRPr="00B5080E">
        <w:rPr>
          <w:rFonts w:hint="eastAsia"/>
          <w:rtl/>
        </w:rPr>
        <w:t>البيع،</w:t>
      </w:r>
      <w:r w:rsidRPr="00B5080E">
        <w:rPr>
          <w:rtl/>
        </w:rPr>
        <w:t xml:space="preserve"> 5 </w:t>
      </w:r>
      <w:r w:rsidRPr="00B5080E">
        <w:rPr>
          <w:rFonts w:hint="eastAsia"/>
          <w:rtl/>
        </w:rPr>
        <w:t>مجلد،</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روح</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w:t>
      </w:r>
      <w:r w:rsidRPr="00B5080E">
        <w:rPr>
          <w:rFonts w:hint="eastAsia"/>
          <w:rtl/>
        </w:rPr>
        <w:t>تحريرالوسيلة،</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روح</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w:t>
      </w:r>
      <w:r w:rsidRPr="00B5080E">
        <w:rPr>
          <w:rFonts w:hint="eastAsia"/>
          <w:rtl/>
        </w:rPr>
        <w:t>حاشية</w:t>
      </w:r>
      <w:r w:rsidRPr="00B5080E">
        <w:rPr>
          <w:rtl/>
        </w:rPr>
        <w:t xml:space="preserve"> </w:t>
      </w:r>
      <w:r w:rsidRPr="00B5080E">
        <w:rPr>
          <w:rFonts w:hint="eastAsia"/>
          <w:rtl/>
        </w:rPr>
        <w:t>شرح</w:t>
      </w:r>
      <w:r w:rsidRPr="00B5080E">
        <w:rPr>
          <w:rtl/>
        </w:rPr>
        <w:t xml:space="preserve"> </w:t>
      </w:r>
      <w:r w:rsidRPr="00B5080E">
        <w:rPr>
          <w:rFonts w:hint="eastAsia"/>
          <w:rtl/>
        </w:rPr>
        <w:t>فصوص</w:t>
      </w:r>
      <w:r w:rsidRPr="00B5080E">
        <w:rPr>
          <w:rtl/>
        </w:rPr>
        <w:t xml:space="preserve"> </w:t>
      </w:r>
      <w:r w:rsidRPr="00B5080E">
        <w:rPr>
          <w:rFonts w:hint="eastAsia"/>
          <w:rtl/>
        </w:rPr>
        <w:t>الحكم،</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روح</w:t>
      </w:r>
      <w:r w:rsidRPr="00B5080E">
        <w:rPr>
          <w:rtl/>
        </w:rPr>
        <w:t>‏</w:t>
      </w:r>
      <w:r w:rsidRPr="00B5080E">
        <w:rPr>
          <w:rFonts w:hint="cs"/>
          <w:rtl/>
        </w:rPr>
        <w:t xml:space="preserve"> </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w:t>
      </w:r>
      <w:r w:rsidRPr="00B5080E">
        <w:rPr>
          <w:rFonts w:hint="eastAsia"/>
          <w:rtl/>
        </w:rPr>
        <w:t>الرسائل،</w:t>
      </w:r>
      <w:r w:rsidRPr="00B5080E">
        <w:rPr>
          <w:rtl/>
        </w:rPr>
        <w:t xml:space="preserve"> (</w:t>
      </w:r>
      <w:r w:rsidRPr="00B5080E">
        <w:rPr>
          <w:rFonts w:hint="eastAsia"/>
          <w:rtl/>
        </w:rPr>
        <w:t>قم،</w:t>
      </w:r>
      <w:r w:rsidRPr="00B5080E">
        <w:rPr>
          <w:rtl/>
        </w:rPr>
        <w:t xml:space="preserve"> 1385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روح</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w:t>
      </w:r>
      <w:r w:rsidRPr="00B5080E">
        <w:rPr>
          <w:rFonts w:hint="eastAsia"/>
          <w:rtl/>
        </w:rPr>
        <w:t>مصباح</w:t>
      </w:r>
      <w:r w:rsidRPr="00B5080E">
        <w:rPr>
          <w:rtl/>
        </w:rPr>
        <w:t xml:space="preserve"> </w:t>
      </w:r>
      <w:r w:rsidRPr="00B5080E">
        <w:rPr>
          <w:rFonts w:hint="eastAsia"/>
          <w:rtl/>
        </w:rPr>
        <w:t>الهداية</w:t>
      </w:r>
      <w:r w:rsidRPr="00B5080E">
        <w:rPr>
          <w:rtl/>
        </w:rPr>
        <w:t xml:space="preserve"> </w:t>
      </w:r>
      <w:r w:rsidRPr="00B5080E">
        <w:rPr>
          <w:rFonts w:hint="cs"/>
          <w:rtl/>
        </w:rPr>
        <w:t>إ</w:t>
      </w:r>
      <w:r w:rsidRPr="00B5080E">
        <w:rPr>
          <w:rFonts w:hint="eastAsia"/>
          <w:rtl/>
        </w:rPr>
        <w:t>لى</w:t>
      </w:r>
      <w:r w:rsidRPr="00B5080E">
        <w:rPr>
          <w:rtl/>
        </w:rPr>
        <w:t xml:space="preserve"> </w:t>
      </w:r>
      <w:r w:rsidRPr="00B5080E">
        <w:rPr>
          <w:rFonts w:hint="eastAsia"/>
          <w:rtl/>
        </w:rPr>
        <w:t>الخلافة</w:t>
      </w:r>
      <w:r w:rsidRPr="00B5080E">
        <w:rPr>
          <w:rtl/>
        </w:rPr>
        <w:t xml:space="preserve"> </w:t>
      </w:r>
      <w:r w:rsidRPr="00B5080E">
        <w:rPr>
          <w:rFonts w:hint="eastAsia"/>
          <w:rtl/>
        </w:rPr>
        <w:t>والولاية،</w:t>
      </w:r>
      <w:r w:rsidRPr="00B5080E">
        <w:rPr>
          <w:rtl/>
        </w:rPr>
        <w:t xml:space="preserve"> (</w:t>
      </w:r>
      <w:r w:rsidRPr="00B5080E">
        <w:rPr>
          <w:rFonts w:hint="eastAsia"/>
          <w:rtl/>
        </w:rPr>
        <w:t>طهران،</w:t>
      </w:r>
      <w:r w:rsidRPr="00B5080E">
        <w:rPr>
          <w:rtl/>
        </w:rPr>
        <w:t xml:space="preserve"> 1360</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روح</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w:t>
      </w:r>
      <w:r w:rsidRPr="00B5080E">
        <w:rPr>
          <w:rFonts w:hint="eastAsia"/>
          <w:rtl/>
        </w:rPr>
        <w:t>المكاسب</w:t>
      </w:r>
      <w:r w:rsidRPr="00B5080E">
        <w:rPr>
          <w:rtl/>
        </w:rPr>
        <w:t xml:space="preserve"> </w:t>
      </w:r>
      <w:r w:rsidRPr="00B5080E">
        <w:rPr>
          <w:rFonts w:hint="eastAsia"/>
          <w:rtl/>
        </w:rPr>
        <w:t>المحر</w:t>
      </w:r>
      <w:r w:rsidRPr="00B5080E">
        <w:rPr>
          <w:rFonts w:hint="cs"/>
          <w:rtl/>
        </w:rPr>
        <w:t>َّ</w:t>
      </w:r>
      <w:r w:rsidRPr="00B5080E">
        <w:rPr>
          <w:rFonts w:hint="eastAsia"/>
          <w:rtl/>
        </w:rPr>
        <w:t>مة،</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 xml:space="preserve"> 1381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الخوانساري،</w:t>
      </w:r>
      <w:r w:rsidRPr="00B5080E">
        <w:rPr>
          <w:rtl/>
        </w:rPr>
        <w:t xml:space="preserve"> </w:t>
      </w:r>
      <w:r w:rsidRPr="00B5080E">
        <w:rPr>
          <w:rFonts w:hint="eastAsia"/>
          <w:rtl/>
        </w:rPr>
        <w:t>جامع</w:t>
      </w:r>
      <w:r w:rsidRPr="00B5080E">
        <w:rPr>
          <w:rtl/>
        </w:rPr>
        <w:t xml:space="preserve"> </w:t>
      </w:r>
      <w:r w:rsidRPr="00B5080E">
        <w:rPr>
          <w:rFonts w:hint="eastAsia"/>
          <w:rtl/>
        </w:rPr>
        <w:t>المدارك</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المختصر</w:t>
      </w:r>
      <w:r w:rsidRPr="00B5080E">
        <w:rPr>
          <w:rtl/>
        </w:rPr>
        <w:t xml:space="preserve"> </w:t>
      </w:r>
      <w:r w:rsidRPr="00B5080E">
        <w:rPr>
          <w:rFonts w:hint="eastAsia"/>
          <w:rtl/>
        </w:rPr>
        <w:t>النافع،</w:t>
      </w:r>
      <w:r w:rsidRPr="00B5080E">
        <w:rPr>
          <w:rtl/>
        </w:rPr>
        <w:t xml:space="preserve"> 7 </w:t>
      </w:r>
      <w:r w:rsidRPr="00B5080E">
        <w:rPr>
          <w:rFonts w:hint="eastAsia"/>
          <w:rtl/>
        </w:rPr>
        <w:t>مجلد</w:t>
      </w:r>
      <w:r w:rsidRPr="00B5080E">
        <w:rPr>
          <w:rtl/>
        </w:rPr>
        <w:t xml:space="preserve"> (</w:t>
      </w:r>
      <w:r w:rsidRPr="00B5080E">
        <w:rPr>
          <w:rFonts w:hint="eastAsia"/>
          <w:rtl/>
        </w:rPr>
        <w:t>طهران،</w:t>
      </w:r>
      <w:r w:rsidRPr="00B5080E">
        <w:rPr>
          <w:rtl/>
        </w:rPr>
        <w:t xml:space="preserve"> 1405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موسى</w:t>
      </w:r>
      <w:r w:rsidRPr="00B5080E">
        <w:rPr>
          <w:rtl/>
        </w:rPr>
        <w:t xml:space="preserve"> </w:t>
      </w:r>
      <w:r w:rsidRPr="00B5080E">
        <w:rPr>
          <w:rFonts w:hint="eastAsia"/>
          <w:rtl/>
        </w:rPr>
        <w:t>النجفي</w:t>
      </w:r>
      <w:r w:rsidRPr="00B5080E">
        <w:rPr>
          <w:rtl/>
        </w:rPr>
        <w:t xml:space="preserve"> </w:t>
      </w:r>
      <w:r w:rsidRPr="00B5080E">
        <w:rPr>
          <w:rFonts w:hint="eastAsia"/>
          <w:rtl/>
        </w:rPr>
        <w:t>الخوانساري،</w:t>
      </w:r>
      <w:r w:rsidRPr="00B5080E">
        <w:rPr>
          <w:rtl/>
        </w:rPr>
        <w:t xml:space="preserve"> </w:t>
      </w:r>
      <w:r w:rsidRPr="00B5080E">
        <w:rPr>
          <w:rFonts w:hint="eastAsia"/>
          <w:rtl/>
        </w:rPr>
        <w:t>منية</w:t>
      </w:r>
      <w:r w:rsidRPr="00B5080E">
        <w:rPr>
          <w:rtl/>
        </w:rPr>
        <w:t xml:space="preserve"> </w:t>
      </w:r>
      <w:r w:rsidRPr="00B5080E">
        <w:rPr>
          <w:rFonts w:hint="eastAsia"/>
          <w:rtl/>
        </w:rPr>
        <w:t>الطالب،</w:t>
      </w:r>
      <w:r w:rsidRPr="00B5080E">
        <w:rPr>
          <w:rtl/>
        </w:rPr>
        <w:t xml:space="preserve">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الميرزا</w:t>
      </w:r>
      <w:r w:rsidRPr="00B5080E">
        <w:rPr>
          <w:rFonts w:hint="cs"/>
          <w:rtl/>
        </w:rPr>
        <w:t xml:space="preserve"> </w:t>
      </w:r>
      <w:r w:rsidRPr="00B5080E">
        <w:rPr>
          <w:rFonts w:hint="eastAsia"/>
          <w:rtl/>
        </w:rPr>
        <w:t>محمّد</w:t>
      </w:r>
      <w:r w:rsidRPr="00B5080E">
        <w:rPr>
          <w:rtl/>
        </w:rPr>
        <w:t xml:space="preserve"> </w:t>
      </w:r>
      <w:r w:rsidRPr="00B5080E">
        <w:rPr>
          <w:rFonts w:hint="eastAsia"/>
          <w:rtl/>
        </w:rPr>
        <w:t>حسين</w:t>
      </w:r>
      <w:r w:rsidRPr="00B5080E">
        <w:rPr>
          <w:rtl/>
        </w:rPr>
        <w:t xml:space="preserve"> </w:t>
      </w:r>
      <w:r w:rsidRPr="00B5080E">
        <w:rPr>
          <w:rFonts w:hint="eastAsia"/>
          <w:rtl/>
        </w:rPr>
        <w:t>الغروي</w:t>
      </w:r>
      <w:r w:rsidRPr="00B5080E">
        <w:rPr>
          <w:rtl/>
        </w:rPr>
        <w:t xml:space="preserve"> </w:t>
      </w:r>
      <w:r w:rsidRPr="00B5080E">
        <w:rPr>
          <w:rFonts w:hint="eastAsia"/>
          <w:rtl/>
        </w:rPr>
        <w:t>النائيني،</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 xml:space="preserve"> 1373</w:t>
      </w:r>
      <w:r w:rsidRPr="00B5080E">
        <w:rPr>
          <w:rFonts w:hint="cs"/>
          <w:rtl/>
        </w:rPr>
        <w:t>هـ</w:t>
      </w:r>
      <w:r w:rsidRPr="00B5080E">
        <w:rPr>
          <w:rFonts w:hint="eastAsia"/>
          <w:rtl/>
        </w:rPr>
        <w:t>،</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الموسوي</w:t>
      </w:r>
      <w:r w:rsidRPr="00B5080E">
        <w:rPr>
          <w:rtl/>
        </w:rPr>
        <w:t xml:space="preserve"> </w:t>
      </w:r>
      <w:r w:rsidRPr="00B5080E">
        <w:rPr>
          <w:rFonts w:hint="eastAsia"/>
          <w:rtl/>
        </w:rPr>
        <w:t>الخوئي،</w:t>
      </w:r>
      <w:r w:rsidRPr="00B5080E">
        <w:rPr>
          <w:rtl/>
        </w:rPr>
        <w:t xml:space="preserve"> </w:t>
      </w:r>
      <w:r w:rsidRPr="00B5080E">
        <w:rPr>
          <w:rFonts w:hint="eastAsia"/>
          <w:rtl/>
        </w:rPr>
        <w:t>مبان</w:t>
      </w:r>
      <w:r w:rsidRPr="00B5080E">
        <w:rPr>
          <w:rFonts w:hint="cs"/>
          <w:rtl/>
        </w:rPr>
        <w:t>ي</w:t>
      </w:r>
      <w:r w:rsidRPr="00B5080E">
        <w:rPr>
          <w:rtl/>
        </w:rPr>
        <w:t xml:space="preserve"> </w:t>
      </w:r>
      <w:r w:rsidRPr="00B5080E">
        <w:rPr>
          <w:rFonts w:hint="eastAsia"/>
          <w:rtl/>
        </w:rPr>
        <w:t>تكلمة</w:t>
      </w:r>
      <w:r w:rsidRPr="00B5080E">
        <w:rPr>
          <w:rtl/>
        </w:rPr>
        <w:t xml:space="preserve"> </w:t>
      </w:r>
      <w:r w:rsidRPr="00B5080E">
        <w:rPr>
          <w:rFonts w:hint="eastAsia"/>
          <w:rtl/>
        </w:rPr>
        <w:t>ال</w:t>
      </w:r>
      <w:r w:rsidRPr="00B5080E">
        <w:rPr>
          <w:rFonts w:hint="cs"/>
          <w:rtl/>
        </w:rPr>
        <w:t>م</w:t>
      </w:r>
      <w:r w:rsidRPr="00B5080E">
        <w:rPr>
          <w:rFonts w:hint="eastAsia"/>
          <w:rtl/>
        </w:rPr>
        <w:t>نهاج،</w:t>
      </w:r>
      <w:r w:rsidRPr="00B5080E">
        <w:rPr>
          <w:rtl/>
        </w:rPr>
        <w:t xml:space="preserve"> 2 </w:t>
      </w:r>
      <w:r w:rsidRPr="00B5080E">
        <w:rPr>
          <w:rFonts w:hint="eastAsia"/>
          <w:rtl/>
        </w:rPr>
        <w:t>مجلد،</w:t>
      </w:r>
      <w:r w:rsidRPr="00B5080E">
        <w:rPr>
          <w:rtl/>
        </w:rPr>
        <w:t xml:space="preserve"> (</w:t>
      </w:r>
      <w:r w:rsidRPr="00B5080E">
        <w:rPr>
          <w:rFonts w:hint="eastAsia"/>
          <w:rtl/>
        </w:rPr>
        <w:t>بيروت</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الموسوي</w:t>
      </w:r>
      <w:r w:rsidRPr="00B5080E">
        <w:rPr>
          <w:rtl/>
        </w:rPr>
        <w:t xml:space="preserve"> </w:t>
      </w:r>
      <w:r w:rsidRPr="00B5080E">
        <w:rPr>
          <w:rFonts w:hint="eastAsia"/>
          <w:rtl/>
        </w:rPr>
        <w:t>الخوئي،</w:t>
      </w:r>
      <w:r w:rsidRPr="00B5080E">
        <w:rPr>
          <w:rtl/>
        </w:rPr>
        <w:t xml:space="preserve"> </w:t>
      </w:r>
      <w:r w:rsidRPr="00B5080E">
        <w:rPr>
          <w:rFonts w:hint="eastAsia"/>
          <w:rtl/>
        </w:rPr>
        <w:t>معجم</w:t>
      </w:r>
      <w:r w:rsidRPr="00B5080E">
        <w:rPr>
          <w:rtl/>
        </w:rPr>
        <w:t xml:space="preserve"> </w:t>
      </w:r>
      <w:r w:rsidRPr="00B5080E">
        <w:rPr>
          <w:rFonts w:hint="eastAsia"/>
          <w:rtl/>
        </w:rPr>
        <w:t>رجال</w:t>
      </w:r>
      <w:r w:rsidRPr="00B5080E">
        <w:rPr>
          <w:rtl/>
        </w:rPr>
        <w:t xml:space="preserve"> </w:t>
      </w:r>
      <w:r w:rsidRPr="00B5080E">
        <w:rPr>
          <w:rFonts w:hint="eastAsia"/>
          <w:rtl/>
        </w:rPr>
        <w:t>الحديث،</w:t>
      </w:r>
      <w:r w:rsidRPr="00B5080E">
        <w:rPr>
          <w:rtl/>
        </w:rPr>
        <w:t xml:space="preserve"> 23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الرابعة،</w:t>
      </w:r>
      <w:r w:rsidRPr="00B5080E">
        <w:rPr>
          <w:rtl/>
        </w:rPr>
        <w:t xml:space="preserve"> (</w:t>
      </w:r>
      <w:r w:rsidRPr="00B5080E">
        <w:rPr>
          <w:rFonts w:hint="eastAsia"/>
          <w:rtl/>
        </w:rPr>
        <w:t>بيروت،</w:t>
      </w:r>
      <w:r w:rsidRPr="00B5080E">
        <w:rPr>
          <w:rtl/>
        </w:rPr>
        <w:t xml:space="preserve"> 1409</w:t>
      </w:r>
      <w:r w:rsidRPr="00B5080E">
        <w:rPr>
          <w:rFonts w:hint="cs"/>
          <w:rtl/>
        </w:rPr>
        <w:t>هـ</w:t>
      </w:r>
      <w:r w:rsidRPr="00B5080E">
        <w:rPr>
          <w:rtl/>
        </w:rPr>
        <w:t>).</w:t>
      </w:r>
    </w:p>
    <w:p w:rsidR="00EA09EB" w:rsidRPr="007B5B5F" w:rsidRDefault="00EA09EB" w:rsidP="00B5080E">
      <w:pPr>
        <w:rPr>
          <w:sz w:val="26"/>
          <w:szCs w:val="28"/>
        </w:rPr>
      </w:pPr>
      <w:r w:rsidRPr="007B5B5F">
        <w:rPr>
          <w:rFonts w:hint="cs"/>
          <w:sz w:val="26"/>
          <w:szCs w:val="28"/>
          <w:rtl/>
        </w:rPr>
        <w:t xml:space="preserve">ـ </w:t>
      </w:r>
      <w:r w:rsidRPr="007B5B5F">
        <w:rPr>
          <w:rFonts w:hint="eastAsia"/>
          <w:sz w:val="26"/>
          <w:szCs w:val="28"/>
          <w:rtl/>
        </w:rPr>
        <w:t>السيد</w:t>
      </w:r>
      <w:r w:rsidRPr="007B5B5F">
        <w:rPr>
          <w:sz w:val="26"/>
          <w:szCs w:val="28"/>
          <w:rtl/>
        </w:rPr>
        <w:t xml:space="preserve"> </w:t>
      </w:r>
      <w:r w:rsidRPr="007B5B5F">
        <w:rPr>
          <w:rFonts w:hint="cs"/>
          <w:sz w:val="26"/>
          <w:szCs w:val="28"/>
          <w:rtl/>
        </w:rPr>
        <w:t>أ</w:t>
      </w:r>
      <w:r w:rsidRPr="007B5B5F">
        <w:rPr>
          <w:rFonts w:hint="eastAsia"/>
          <w:sz w:val="26"/>
          <w:szCs w:val="28"/>
          <w:rtl/>
        </w:rPr>
        <w:t>بو</w:t>
      </w:r>
      <w:r w:rsidRPr="007B5B5F">
        <w:rPr>
          <w:rFonts w:hint="cs"/>
          <w:sz w:val="26"/>
          <w:szCs w:val="28"/>
          <w:rtl/>
        </w:rPr>
        <w:t xml:space="preserve"> </w:t>
      </w:r>
      <w:r w:rsidRPr="007B5B5F">
        <w:rPr>
          <w:rFonts w:hint="eastAsia"/>
          <w:sz w:val="26"/>
          <w:szCs w:val="28"/>
          <w:rtl/>
        </w:rPr>
        <w:t>القاسم</w:t>
      </w:r>
      <w:r w:rsidRPr="007B5B5F">
        <w:rPr>
          <w:sz w:val="26"/>
          <w:szCs w:val="28"/>
          <w:rtl/>
        </w:rPr>
        <w:t xml:space="preserve"> </w:t>
      </w:r>
      <w:r w:rsidRPr="007B5B5F">
        <w:rPr>
          <w:rFonts w:hint="eastAsia"/>
          <w:sz w:val="26"/>
          <w:szCs w:val="28"/>
          <w:rtl/>
        </w:rPr>
        <w:t>الموسوي</w:t>
      </w:r>
      <w:r w:rsidRPr="007B5B5F">
        <w:rPr>
          <w:sz w:val="26"/>
          <w:szCs w:val="28"/>
          <w:rtl/>
        </w:rPr>
        <w:t xml:space="preserve"> </w:t>
      </w:r>
      <w:r w:rsidRPr="007B5B5F">
        <w:rPr>
          <w:rFonts w:hint="eastAsia"/>
          <w:sz w:val="26"/>
          <w:szCs w:val="28"/>
          <w:rtl/>
        </w:rPr>
        <w:t>الخوئي،</w:t>
      </w:r>
      <w:r w:rsidRPr="007B5B5F">
        <w:rPr>
          <w:sz w:val="26"/>
          <w:szCs w:val="28"/>
          <w:rtl/>
        </w:rPr>
        <w:t xml:space="preserve"> </w:t>
      </w:r>
      <w:r w:rsidRPr="007B5B5F">
        <w:rPr>
          <w:rFonts w:hint="eastAsia"/>
          <w:sz w:val="26"/>
          <w:szCs w:val="28"/>
          <w:rtl/>
        </w:rPr>
        <w:t>صراط</w:t>
      </w:r>
      <w:r w:rsidRPr="007B5B5F">
        <w:rPr>
          <w:sz w:val="26"/>
          <w:szCs w:val="28"/>
          <w:rtl/>
        </w:rPr>
        <w:t xml:space="preserve"> </w:t>
      </w:r>
      <w:r w:rsidRPr="007B5B5F">
        <w:rPr>
          <w:rFonts w:hint="eastAsia"/>
          <w:sz w:val="26"/>
          <w:szCs w:val="28"/>
          <w:rtl/>
        </w:rPr>
        <w:t>النجاة</w:t>
      </w:r>
      <w:r w:rsidRPr="007B5B5F">
        <w:rPr>
          <w:sz w:val="26"/>
          <w:szCs w:val="28"/>
          <w:rtl/>
        </w:rPr>
        <w:t xml:space="preserve"> </w:t>
      </w:r>
      <w:r w:rsidRPr="007B5B5F">
        <w:rPr>
          <w:rFonts w:hint="eastAsia"/>
          <w:sz w:val="26"/>
          <w:szCs w:val="28"/>
          <w:rtl/>
        </w:rPr>
        <w:t>ف</w:t>
      </w:r>
      <w:r w:rsidRPr="007B5B5F">
        <w:rPr>
          <w:rFonts w:hint="cs"/>
          <w:sz w:val="26"/>
          <w:szCs w:val="28"/>
          <w:rtl/>
        </w:rPr>
        <w:t>ي</w:t>
      </w:r>
      <w:r w:rsidRPr="007B5B5F">
        <w:rPr>
          <w:sz w:val="26"/>
          <w:szCs w:val="28"/>
          <w:rtl/>
        </w:rPr>
        <w:t xml:space="preserve"> </w:t>
      </w:r>
      <w:r w:rsidRPr="007B5B5F">
        <w:rPr>
          <w:rFonts w:hint="cs"/>
          <w:sz w:val="26"/>
          <w:szCs w:val="28"/>
          <w:rtl/>
        </w:rPr>
        <w:t>أ</w:t>
      </w:r>
      <w:r w:rsidRPr="007B5B5F">
        <w:rPr>
          <w:rFonts w:hint="eastAsia"/>
          <w:sz w:val="26"/>
          <w:szCs w:val="28"/>
          <w:rtl/>
        </w:rPr>
        <w:t>جوبة</w:t>
      </w:r>
      <w:r w:rsidRPr="007B5B5F">
        <w:rPr>
          <w:sz w:val="26"/>
          <w:szCs w:val="28"/>
          <w:rtl/>
        </w:rPr>
        <w:t xml:space="preserve"> </w:t>
      </w:r>
      <w:r w:rsidRPr="007B5B5F">
        <w:rPr>
          <w:rFonts w:hint="eastAsia"/>
          <w:sz w:val="26"/>
          <w:szCs w:val="28"/>
          <w:rtl/>
        </w:rPr>
        <w:t>الاستفتاءات،</w:t>
      </w:r>
      <w:r w:rsidRPr="007B5B5F">
        <w:rPr>
          <w:sz w:val="26"/>
          <w:szCs w:val="28"/>
          <w:rtl/>
        </w:rPr>
        <w:t xml:space="preserve"> (</w:t>
      </w:r>
      <w:r w:rsidRPr="007B5B5F">
        <w:rPr>
          <w:rFonts w:hint="eastAsia"/>
          <w:sz w:val="26"/>
          <w:szCs w:val="28"/>
          <w:rtl/>
        </w:rPr>
        <w:t>قم</w:t>
      </w:r>
      <w:r w:rsidRPr="007B5B5F">
        <w:rPr>
          <w:sz w:val="26"/>
          <w:szCs w:val="28"/>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الموسوي</w:t>
      </w:r>
      <w:r w:rsidRPr="00B5080E">
        <w:rPr>
          <w:rtl/>
        </w:rPr>
        <w:t xml:space="preserve"> </w:t>
      </w:r>
      <w:r w:rsidRPr="00B5080E">
        <w:rPr>
          <w:rFonts w:hint="eastAsia"/>
          <w:rtl/>
        </w:rPr>
        <w:t>الخوئي،</w:t>
      </w:r>
      <w:r w:rsidRPr="00B5080E">
        <w:rPr>
          <w:rtl/>
        </w:rPr>
        <w:t xml:space="preserve"> </w:t>
      </w:r>
      <w:r w:rsidRPr="00B5080E">
        <w:rPr>
          <w:rFonts w:hint="eastAsia"/>
          <w:rtl/>
        </w:rPr>
        <w:t>مسائل</w:t>
      </w:r>
      <w:r w:rsidRPr="00B5080E">
        <w:rPr>
          <w:rtl/>
        </w:rPr>
        <w:t xml:space="preserve"> </w:t>
      </w:r>
      <w:r w:rsidRPr="00B5080E">
        <w:rPr>
          <w:rFonts w:hint="eastAsia"/>
          <w:rtl/>
        </w:rPr>
        <w:t>وردود،</w:t>
      </w:r>
      <w:r w:rsidRPr="00B5080E">
        <w:rPr>
          <w:rtl/>
        </w:rPr>
        <w:t xml:space="preserve"> (</w:t>
      </w:r>
      <w:r w:rsidRPr="00B5080E">
        <w:rPr>
          <w:rFonts w:hint="eastAsia"/>
          <w:rtl/>
        </w:rPr>
        <w:t>قم،</w:t>
      </w:r>
      <w:r w:rsidRPr="00B5080E">
        <w:rPr>
          <w:rtl/>
        </w:rPr>
        <w:t xml:space="preserve"> 1411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محمّد</w:t>
      </w:r>
      <w:r w:rsidRPr="00B5080E">
        <w:rPr>
          <w:rtl/>
        </w:rPr>
        <w:t xml:space="preserve"> </w:t>
      </w:r>
      <w:r w:rsidRPr="00B5080E">
        <w:rPr>
          <w:rFonts w:hint="eastAsia"/>
          <w:rtl/>
        </w:rPr>
        <w:t>تق</w:t>
      </w:r>
      <w:r w:rsidRPr="00B5080E">
        <w:rPr>
          <w:rFonts w:hint="cs"/>
          <w:rtl/>
        </w:rPr>
        <w:t>ي</w:t>
      </w:r>
      <w:r w:rsidRPr="00B5080E">
        <w:rPr>
          <w:rtl/>
        </w:rPr>
        <w:t xml:space="preserve"> </w:t>
      </w:r>
      <w:r w:rsidRPr="00B5080E">
        <w:rPr>
          <w:rFonts w:hint="eastAsia"/>
          <w:rtl/>
        </w:rPr>
        <w:t>الخوئي،</w:t>
      </w:r>
      <w:r w:rsidRPr="00B5080E">
        <w:rPr>
          <w:rtl/>
        </w:rPr>
        <w:t xml:space="preserve"> </w:t>
      </w:r>
      <w:r w:rsidRPr="00B5080E">
        <w:rPr>
          <w:rFonts w:hint="eastAsia"/>
          <w:rtl/>
        </w:rPr>
        <w:t>مستند</w:t>
      </w:r>
      <w:r w:rsidRPr="00B5080E">
        <w:rPr>
          <w:rtl/>
        </w:rPr>
        <w:t xml:space="preserve"> </w:t>
      </w:r>
      <w:r w:rsidRPr="00B5080E">
        <w:rPr>
          <w:rFonts w:hint="eastAsia"/>
          <w:rtl/>
        </w:rPr>
        <w:t>العروة</w:t>
      </w:r>
      <w:r w:rsidRPr="00B5080E">
        <w:rPr>
          <w:rtl/>
        </w:rPr>
        <w:t xml:space="preserve"> </w:t>
      </w:r>
      <w:r w:rsidRPr="00B5080E">
        <w:rPr>
          <w:rFonts w:hint="eastAsia"/>
          <w:rtl/>
        </w:rPr>
        <w:t>الوثقى،</w:t>
      </w:r>
      <w:r w:rsidRPr="00B5080E">
        <w:rPr>
          <w:rtl/>
        </w:rPr>
        <w:t xml:space="preserve"> </w:t>
      </w:r>
      <w:r w:rsidRPr="00B5080E">
        <w:rPr>
          <w:rFonts w:hint="eastAsia"/>
          <w:rtl/>
        </w:rPr>
        <w:t>تقرير</w:t>
      </w:r>
      <w:r w:rsidRPr="00B5080E">
        <w:rPr>
          <w:rtl/>
        </w:rPr>
        <w:t xml:space="preserve"> </w:t>
      </w:r>
      <w:r w:rsidRPr="00B5080E">
        <w:rPr>
          <w:rFonts w:hint="cs"/>
          <w:rtl/>
        </w:rPr>
        <w:t>أب</w:t>
      </w:r>
      <w:r w:rsidRPr="00B5080E">
        <w:rPr>
          <w:rFonts w:hint="eastAsia"/>
          <w:rtl/>
        </w:rPr>
        <w:t>حاث</w:t>
      </w:r>
      <w:r w:rsidRPr="00B5080E">
        <w:rPr>
          <w:rtl/>
        </w:rPr>
        <w:t xml:space="preserve"> </w:t>
      </w:r>
      <w:r w:rsidRPr="00B5080E">
        <w:rPr>
          <w:rFonts w:hint="eastAsia"/>
          <w:rtl/>
        </w:rPr>
        <w:t>السيد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الخوئي،</w:t>
      </w:r>
      <w:r w:rsidRPr="00B5080E">
        <w:rPr>
          <w:rtl/>
        </w:rPr>
        <w:t xml:space="preserve"> </w:t>
      </w:r>
      <w:r w:rsidRPr="00B5080E">
        <w:rPr>
          <w:rFonts w:hint="eastAsia"/>
          <w:rtl/>
        </w:rPr>
        <w:t>كتاب</w:t>
      </w:r>
      <w:r w:rsidRPr="00B5080E">
        <w:rPr>
          <w:rtl/>
        </w:rPr>
        <w:t xml:space="preserve"> </w:t>
      </w:r>
      <w:r w:rsidRPr="00B5080E">
        <w:rPr>
          <w:rFonts w:hint="eastAsia"/>
          <w:rtl/>
        </w:rPr>
        <w:t>النكاح،</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فاضل</w:t>
      </w:r>
      <w:r w:rsidRPr="00B5080E">
        <w:rPr>
          <w:rtl/>
        </w:rPr>
        <w:t xml:space="preserve"> </w:t>
      </w:r>
      <w:r w:rsidRPr="00B5080E">
        <w:rPr>
          <w:rFonts w:hint="cs"/>
          <w:rtl/>
        </w:rPr>
        <w:t>ال</w:t>
      </w:r>
      <w:r w:rsidRPr="00B5080E">
        <w:rPr>
          <w:rFonts w:hint="eastAsia"/>
          <w:rtl/>
        </w:rPr>
        <w:t>دربند</w:t>
      </w:r>
      <w:r w:rsidRPr="00B5080E">
        <w:rPr>
          <w:rFonts w:hint="cs"/>
          <w:rtl/>
        </w:rPr>
        <w:t>ي</w:t>
      </w:r>
      <w:r w:rsidRPr="00B5080E">
        <w:rPr>
          <w:rFonts w:hint="eastAsia"/>
          <w:rtl/>
        </w:rPr>
        <w:t>،</w:t>
      </w:r>
      <w:r w:rsidRPr="00B5080E">
        <w:rPr>
          <w:rtl/>
        </w:rPr>
        <w:t xml:space="preserve"> </w:t>
      </w:r>
      <w:r w:rsidRPr="00B5080E">
        <w:rPr>
          <w:rFonts w:hint="eastAsia"/>
          <w:rtl/>
        </w:rPr>
        <w:t>خزائن</w:t>
      </w:r>
      <w:r w:rsidRPr="00B5080E">
        <w:rPr>
          <w:rtl/>
        </w:rPr>
        <w:t xml:space="preserve"> </w:t>
      </w:r>
      <w:r w:rsidRPr="00B5080E">
        <w:rPr>
          <w:rFonts w:hint="eastAsia"/>
          <w:rtl/>
        </w:rPr>
        <w:t>ال</w:t>
      </w:r>
      <w:r w:rsidRPr="00B5080E">
        <w:rPr>
          <w:rFonts w:hint="cs"/>
          <w:rtl/>
        </w:rPr>
        <w:t>أ</w:t>
      </w:r>
      <w:r w:rsidRPr="00B5080E">
        <w:rPr>
          <w:rFonts w:hint="eastAsia"/>
          <w:rtl/>
        </w:rPr>
        <w:t>حكام،</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الراغب</w:t>
      </w:r>
      <w:r w:rsidRPr="00B5080E">
        <w:rPr>
          <w:rtl/>
        </w:rPr>
        <w:t xml:space="preserve"> </w:t>
      </w:r>
      <w:r w:rsidRPr="00B5080E">
        <w:rPr>
          <w:rFonts w:hint="eastAsia"/>
          <w:rtl/>
        </w:rPr>
        <w:t>الأصفهاني،</w:t>
      </w:r>
      <w:r w:rsidRPr="00B5080E">
        <w:rPr>
          <w:rtl/>
        </w:rPr>
        <w:t xml:space="preserve"> </w:t>
      </w:r>
      <w:r w:rsidRPr="00B5080E">
        <w:rPr>
          <w:rFonts w:hint="eastAsia"/>
          <w:rtl/>
        </w:rPr>
        <w:t>معجم</w:t>
      </w:r>
      <w:r w:rsidRPr="00B5080E">
        <w:rPr>
          <w:rtl/>
        </w:rPr>
        <w:t xml:space="preserve"> </w:t>
      </w:r>
      <w:r w:rsidRPr="00B5080E">
        <w:rPr>
          <w:rFonts w:hint="eastAsia"/>
          <w:rtl/>
        </w:rPr>
        <w:t>مفردات</w:t>
      </w:r>
      <w:r w:rsidRPr="00B5080E">
        <w:rPr>
          <w:rtl/>
        </w:rPr>
        <w:t xml:space="preserve"> </w:t>
      </w:r>
      <w:r w:rsidRPr="00B5080E">
        <w:rPr>
          <w:rFonts w:hint="cs"/>
          <w:rtl/>
        </w:rPr>
        <w:t>أ</w:t>
      </w:r>
      <w:r w:rsidRPr="00B5080E">
        <w:rPr>
          <w:rFonts w:hint="eastAsia"/>
          <w:rtl/>
        </w:rPr>
        <w:t>لفاظ</w:t>
      </w:r>
      <w:r w:rsidRPr="00B5080E">
        <w:rPr>
          <w:rtl/>
        </w:rPr>
        <w:t xml:space="preserve"> </w:t>
      </w:r>
      <w:r w:rsidRPr="00B5080E">
        <w:rPr>
          <w:rFonts w:hint="eastAsia"/>
          <w:rtl/>
        </w:rPr>
        <w:t>القرآن</w:t>
      </w:r>
      <w:r w:rsidRPr="00B5080E">
        <w:rPr>
          <w:rtl/>
        </w:rPr>
        <w:t xml:space="preserve"> </w:t>
      </w:r>
      <w:r w:rsidRPr="00B5080E">
        <w:rPr>
          <w:rFonts w:hint="eastAsia"/>
          <w:rtl/>
        </w:rPr>
        <w:t>الكريم،</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نديم</w:t>
      </w:r>
      <w:r w:rsidRPr="00B5080E">
        <w:rPr>
          <w:rtl/>
        </w:rPr>
        <w:t xml:space="preserve"> </w:t>
      </w:r>
      <w:r w:rsidRPr="00B5080E">
        <w:rPr>
          <w:rFonts w:hint="eastAsia"/>
          <w:rtl/>
        </w:rPr>
        <w:t>مرعشل</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 xml:space="preserve">ـ </w:t>
      </w:r>
      <w:r w:rsidRPr="00B5080E">
        <w:rPr>
          <w:rFonts w:hint="eastAsia"/>
          <w:rtl/>
        </w:rPr>
        <w:t>قطب</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الراوندي،</w:t>
      </w:r>
      <w:r w:rsidRPr="00B5080E">
        <w:rPr>
          <w:rtl/>
        </w:rPr>
        <w:t xml:space="preserve"> </w:t>
      </w:r>
      <w:r w:rsidRPr="00B5080E">
        <w:rPr>
          <w:rFonts w:hint="eastAsia"/>
          <w:rtl/>
        </w:rPr>
        <w:t>الخرائج</w:t>
      </w:r>
      <w:r w:rsidRPr="00B5080E">
        <w:rPr>
          <w:rtl/>
        </w:rPr>
        <w:t xml:space="preserve"> </w:t>
      </w:r>
      <w:r w:rsidRPr="00B5080E">
        <w:rPr>
          <w:rFonts w:hint="eastAsia"/>
          <w:rtl/>
        </w:rPr>
        <w:t>والجرائح</w:t>
      </w:r>
      <w:r w:rsidRPr="00B5080E">
        <w:rPr>
          <w:rtl/>
        </w:rPr>
        <w:t>.</w:t>
      </w:r>
    </w:p>
    <w:p w:rsidR="00EA09EB" w:rsidRPr="00B5080E" w:rsidRDefault="00EA09EB" w:rsidP="00B5080E">
      <w:r w:rsidRPr="00B5080E">
        <w:rPr>
          <w:rFonts w:hint="cs"/>
          <w:rtl/>
        </w:rPr>
        <w:t>ـ ال</w:t>
      </w:r>
      <w:r w:rsidRPr="00B5080E">
        <w:rPr>
          <w:rFonts w:hint="eastAsia"/>
          <w:rtl/>
        </w:rPr>
        <w:t>زبيد</w:t>
      </w:r>
      <w:r w:rsidRPr="00B5080E">
        <w:rPr>
          <w:rFonts w:hint="cs"/>
          <w:rtl/>
        </w:rPr>
        <w:t>ي</w:t>
      </w:r>
      <w:r w:rsidRPr="00B5080E">
        <w:rPr>
          <w:rtl/>
        </w:rPr>
        <w:t xml:space="preserve"> (</w:t>
      </w:r>
      <w:r w:rsidRPr="00B5080E">
        <w:rPr>
          <w:rFonts w:hint="eastAsia"/>
          <w:rtl/>
        </w:rPr>
        <w:t>محمد</w:t>
      </w:r>
      <w:r w:rsidRPr="00B5080E">
        <w:rPr>
          <w:rtl/>
        </w:rPr>
        <w:t xml:space="preserve"> </w:t>
      </w:r>
      <w:r w:rsidRPr="00B5080E">
        <w:rPr>
          <w:rFonts w:hint="eastAsia"/>
          <w:rtl/>
        </w:rPr>
        <w:t>بن</w:t>
      </w:r>
      <w:r w:rsidRPr="00B5080E">
        <w:rPr>
          <w:rtl/>
        </w:rPr>
        <w:t xml:space="preserve"> </w:t>
      </w:r>
      <w:r w:rsidRPr="00B5080E">
        <w:rPr>
          <w:rFonts w:hint="eastAsia"/>
          <w:rtl/>
        </w:rPr>
        <w:t>محمّد</w:t>
      </w:r>
      <w:r w:rsidRPr="00B5080E">
        <w:rPr>
          <w:rtl/>
        </w:rPr>
        <w:t>)</w:t>
      </w:r>
      <w:r w:rsidRPr="00B5080E">
        <w:rPr>
          <w:rFonts w:hint="eastAsia"/>
          <w:rtl/>
        </w:rPr>
        <w:t>،</w:t>
      </w:r>
      <w:r w:rsidRPr="00B5080E">
        <w:rPr>
          <w:rtl/>
        </w:rPr>
        <w:t xml:space="preserve"> </w:t>
      </w:r>
      <w:r w:rsidRPr="00B5080E">
        <w:rPr>
          <w:rFonts w:hint="eastAsia"/>
          <w:rtl/>
        </w:rPr>
        <w:t>تاج</w:t>
      </w:r>
      <w:r w:rsidRPr="00B5080E">
        <w:rPr>
          <w:rtl/>
        </w:rPr>
        <w:t xml:space="preserve"> </w:t>
      </w:r>
      <w:r w:rsidRPr="00B5080E">
        <w:rPr>
          <w:rFonts w:hint="eastAsia"/>
          <w:rtl/>
        </w:rPr>
        <w:t>العروس</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القاموس،</w:t>
      </w:r>
      <w:r w:rsidRPr="00B5080E">
        <w:rPr>
          <w:rtl/>
        </w:rPr>
        <w:t xml:space="preserve"> (</w:t>
      </w:r>
      <w:r w:rsidRPr="00B5080E">
        <w:rPr>
          <w:rFonts w:hint="eastAsia"/>
          <w:rtl/>
        </w:rPr>
        <w:t>القاهرة،</w:t>
      </w:r>
      <w:r w:rsidRPr="00B5080E">
        <w:rPr>
          <w:rtl/>
        </w:rPr>
        <w:t xml:space="preserve"> 1306</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جار</w:t>
      </w:r>
      <w:r w:rsidRPr="00B5080E">
        <w:rPr>
          <w:rFonts w:hint="cs"/>
          <w:rtl/>
        </w:rPr>
        <w:t xml:space="preserve"> </w:t>
      </w:r>
      <w:r w:rsidRPr="00B5080E">
        <w:rPr>
          <w:rFonts w:hint="eastAsia"/>
          <w:rtl/>
        </w:rPr>
        <w:t>الله</w:t>
      </w:r>
      <w:r w:rsidRPr="00B5080E">
        <w:rPr>
          <w:rtl/>
        </w:rPr>
        <w:t xml:space="preserve"> </w:t>
      </w:r>
      <w:r w:rsidRPr="00B5080E">
        <w:rPr>
          <w:rFonts w:hint="eastAsia"/>
          <w:rtl/>
        </w:rPr>
        <w:t>الزمخشري،</w:t>
      </w:r>
      <w:r w:rsidRPr="00B5080E">
        <w:rPr>
          <w:rtl/>
        </w:rPr>
        <w:t xml:space="preserve"> </w:t>
      </w:r>
      <w:r w:rsidRPr="00B5080E">
        <w:rPr>
          <w:rFonts w:hint="cs"/>
          <w:rtl/>
        </w:rPr>
        <w:t>أ</w:t>
      </w:r>
      <w:r w:rsidRPr="00B5080E">
        <w:rPr>
          <w:rFonts w:hint="eastAsia"/>
          <w:rtl/>
        </w:rPr>
        <w:t>ساس</w:t>
      </w:r>
      <w:r w:rsidRPr="00B5080E">
        <w:rPr>
          <w:rtl/>
        </w:rPr>
        <w:t xml:space="preserve"> </w:t>
      </w:r>
      <w:r w:rsidRPr="00B5080E">
        <w:rPr>
          <w:rFonts w:hint="eastAsia"/>
          <w:rtl/>
        </w:rPr>
        <w:t>البلاغة،</w:t>
      </w:r>
      <w:r w:rsidRPr="00B5080E">
        <w:rPr>
          <w:rtl/>
        </w:rPr>
        <w:t xml:space="preserve"> (</w:t>
      </w:r>
      <w:r w:rsidRPr="00B5080E">
        <w:rPr>
          <w:rFonts w:hint="eastAsia"/>
          <w:rtl/>
        </w:rPr>
        <w:t>قم،</w:t>
      </w:r>
      <w:r w:rsidRPr="00B5080E">
        <w:rPr>
          <w:rtl/>
        </w:rPr>
        <w:t xml:space="preserve"> 1402</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جار</w:t>
      </w:r>
      <w:r w:rsidRPr="00B5080E">
        <w:rPr>
          <w:rFonts w:hint="cs"/>
          <w:rtl/>
        </w:rPr>
        <w:t xml:space="preserve"> </w:t>
      </w:r>
      <w:r w:rsidRPr="00B5080E">
        <w:rPr>
          <w:rFonts w:hint="eastAsia"/>
          <w:rtl/>
        </w:rPr>
        <w:t>الله</w:t>
      </w:r>
      <w:r w:rsidRPr="00B5080E">
        <w:rPr>
          <w:rtl/>
        </w:rPr>
        <w:t xml:space="preserve"> </w:t>
      </w:r>
      <w:r w:rsidRPr="00B5080E">
        <w:rPr>
          <w:rFonts w:hint="eastAsia"/>
          <w:rtl/>
        </w:rPr>
        <w:t>الزمخشري،</w:t>
      </w:r>
      <w:r w:rsidRPr="00B5080E">
        <w:rPr>
          <w:rtl/>
        </w:rPr>
        <w:t xml:space="preserve"> </w:t>
      </w:r>
      <w:r w:rsidRPr="00B5080E">
        <w:rPr>
          <w:rFonts w:hint="eastAsia"/>
          <w:rtl/>
        </w:rPr>
        <w:t>ربيع</w:t>
      </w:r>
      <w:r w:rsidRPr="00B5080E">
        <w:rPr>
          <w:rtl/>
        </w:rPr>
        <w:t xml:space="preserve"> </w:t>
      </w:r>
      <w:r w:rsidRPr="00B5080E">
        <w:rPr>
          <w:rFonts w:hint="eastAsia"/>
          <w:rtl/>
        </w:rPr>
        <w:t>ا</w:t>
      </w:r>
      <w:r w:rsidRPr="00B5080E">
        <w:rPr>
          <w:rFonts w:hint="cs"/>
          <w:rtl/>
        </w:rPr>
        <w:t>لأ</w:t>
      </w:r>
      <w:r w:rsidRPr="00B5080E">
        <w:rPr>
          <w:rFonts w:hint="eastAsia"/>
          <w:rtl/>
        </w:rPr>
        <w:t>برار،</w:t>
      </w:r>
      <w:r w:rsidRPr="00B5080E">
        <w:rPr>
          <w:rtl/>
        </w:rPr>
        <w:t xml:space="preserve"> 5 </w:t>
      </w:r>
      <w:r w:rsidRPr="00B5080E">
        <w:rPr>
          <w:rFonts w:hint="eastAsia"/>
          <w:rtl/>
        </w:rPr>
        <w:t>مجلد،</w:t>
      </w:r>
      <w:r w:rsidRPr="00B5080E">
        <w:rPr>
          <w:rtl/>
        </w:rPr>
        <w:t xml:space="preserve"> (</w:t>
      </w:r>
      <w:r w:rsidRPr="00B5080E">
        <w:rPr>
          <w:rFonts w:hint="eastAsia"/>
          <w:rtl/>
        </w:rPr>
        <w:t>قم،</w:t>
      </w:r>
      <w:r w:rsidRPr="00B5080E">
        <w:rPr>
          <w:rtl/>
        </w:rPr>
        <w:t xml:space="preserve"> 1405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جار</w:t>
      </w:r>
      <w:r w:rsidRPr="00B5080E">
        <w:rPr>
          <w:rFonts w:hint="cs"/>
          <w:rtl/>
        </w:rPr>
        <w:t xml:space="preserve"> </w:t>
      </w:r>
      <w:r w:rsidRPr="00B5080E">
        <w:rPr>
          <w:rFonts w:hint="eastAsia"/>
          <w:rtl/>
        </w:rPr>
        <w:t>الله</w:t>
      </w:r>
      <w:r w:rsidRPr="00B5080E">
        <w:rPr>
          <w:rtl/>
        </w:rPr>
        <w:t xml:space="preserve"> </w:t>
      </w:r>
      <w:r w:rsidRPr="00B5080E">
        <w:rPr>
          <w:rFonts w:hint="eastAsia"/>
          <w:rtl/>
        </w:rPr>
        <w:t>الزمخشري،</w:t>
      </w:r>
      <w:r w:rsidRPr="00B5080E">
        <w:rPr>
          <w:rtl/>
        </w:rPr>
        <w:t xml:space="preserve"> </w:t>
      </w:r>
      <w:r w:rsidRPr="00B5080E">
        <w:rPr>
          <w:rFonts w:hint="eastAsia"/>
          <w:rtl/>
        </w:rPr>
        <w:t>الكش</w:t>
      </w:r>
      <w:r w:rsidRPr="00B5080E">
        <w:rPr>
          <w:rFonts w:hint="cs"/>
          <w:rtl/>
        </w:rPr>
        <w:t>ّ</w:t>
      </w:r>
      <w:r w:rsidRPr="00B5080E">
        <w:rPr>
          <w:rFonts w:hint="eastAsia"/>
          <w:rtl/>
        </w:rPr>
        <w:t>اف</w:t>
      </w:r>
      <w:r w:rsidRPr="00B5080E">
        <w:rPr>
          <w:rtl/>
        </w:rPr>
        <w:t xml:space="preserve"> </w:t>
      </w:r>
      <w:r w:rsidRPr="00B5080E">
        <w:rPr>
          <w:rFonts w:hint="eastAsia"/>
          <w:rtl/>
        </w:rPr>
        <w:t>عن</w:t>
      </w:r>
      <w:r w:rsidRPr="00B5080E">
        <w:rPr>
          <w:rtl/>
        </w:rPr>
        <w:t xml:space="preserve"> </w:t>
      </w:r>
      <w:r w:rsidRPr="00B5080E">
        <w:rPr>
          <w:rFonts w:hint="eastAsia"/>
          <w:rtl/>
        </w:rPr>
        <w:t>حقائق</w:t>
      </w:r>
      <w:r w:rsidRPr="00B5080E">
        <w:rPr>
          <w:rtl/>
        </w:rPr>
        <w:t xml:space="preserve"> </w:t>
      </w:r>
      <w:r w:rsidRPr="00B5080E">
        <w:rPr>
          <w:rFonts w:hint="eastAsia"/>
          <w:rtl/>
        </w:rPr>
        <w:t>غوامض</w:t>
      </w:r>
      <w:r w:rsidRPr="00B5080E">
        <w:rPr>
          <w:rtl/>
        </w:rPr>
        <w:t xml:space="preserve"> </w:t>
      </w:r>
      <w:r w:rsidRPr="00B5080E">
        <w:rPr>
          <w:rFonts w:hint="eastAsia"/>
          <w:rtl/>
        </w:rPr>
        <w:t>التنزيل</w:t>
      </w:r>
      <w:r w:rsidRPr="00B5080E">
        <w:rPr>
          <w:rtl/>
        </w:rPr>
        <w:t xml:space="preserve"> و</w:t>
      </w:r>
      <w:r w:rsidRPr="00B5080E">
        <w:rPr>
          <w:rFonts w:hint="eastAsia"/>
          <w:rtl/>
        </w:rPr>
        <w:t>عيون</w:t>
      </w:r>
      <w:r w:rsidRPr="00B5080E">
        <w:rPr>
          <w:rtl/>
        </w:rPr>
        <w:t xml:space="preserve"> </w:t>
      </w:r>
      <w:r w:rsidRPr="00B5080E">
        <w:rPr>
          <w:rFonts w:hint="eastAsia"/>
          <w:rtl/>
        </w:rPr>
        <w:t>ال</w:t>
      </w:r>
      <w:r w:rsidRPr="00B5080E">
        <w:rPr>
          <w:rFonts w:hint="cs"/>
          <w:rtl/>
        </w:rPr>
        <w:t>أ</w:t>
      </w:r>
      <w:r w:rsidRPr="00B5080E">
        <w:rPr>
          <w:rFonts w:hint="eastAsia"/>
          <w:rtl/>
        </w:rPr>
        <w:t>قاويل</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وجوه</w:t>
      </w:r>
      <w:r w:rsidRPr="00B5080E">
        <w:rPr>
          <w:rtl/>
        </w:rPr>
        <w:t xml:space="preserve"> </w:t>
      </w:r>
      <w:r w:rsidRPr="00B5080E">
        <w:rPr>
          <w:rFonts w:hint="eastAsia"/>
          <w:rtl/>
        </w:rPr>
        <w:t>التأويل،</w:t>
      </w:r>
      <w:r w:rsidRPr="00B5080E">
        <w:rPr>
          <w:rtl/>
        </w:rPr>
        <w:t xml:space="preserve"> (</w:t>
      </w:r>
      <w:r w:rsidRPr="00B5080E">
        <w:rPr>
          <w:rFonts w:hint="eastAsia"/>
          <w:rtl/>
        </w:rPr>
        <w:t>قم،</w:t>
      </w:r>
      <w:r w:rsidRPr="00B5080E">
        <w:rPr>
          <w:rtl/>
        </w:rPr>
        <w:t xml:space="preserve"> 1405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جعفر</w:t>
      </w:r>
      <w:r w:rsidRPr="00B5080E">
        <w:rPr>
          <w:rtl/>
        </w:rPr>
        <w:t xml:space="preserve"> </w:t>
      </w:r>
      <w:r w:rsidRPr="00B5080E">
        <w:rPr>
          <w:rFonts w:hint="eastAsia"/>
          <w:rtl/>
        </w:rPr>
        <w:t>السبحاني،</w:t>
      </w:r>
      <w:r w:rsidRPr="00B5080E">
        <w:rPr>
          <w:rtl/>
        </w:rPr>
        <w:t xml:space="preserve"> </w:t>
      </w:r>
      <w:r w:rsidRPr="00B5080E">
        <w:rPr>
          <w:rFonts w:hint="eastAsia"/>
          <w:rtl/>
        </w:rPr>
        <w:t>تهذيب</w:t>
      </w:r>
      <w:r w:rsidRPr="00B5080E">
        <w:rPr>
          <w:rtl/>
        </w:rPr>
        <w:t xml:space="preserve"> </w:t>
      </w:r>
      <w:r w:rsidRPr="00B5080E">
        <w:rPr>
          <w:rFonts w:hint="eastAsia"/>
          <w:rtl/>
        </w:rPr>
        <w:t>ال</w:t>
      </w:r>
      <w:r w:rsidRPr="00B5080E">
        <w:rPr>
          <w:rFonts w:hint="cs"/>
          <w:rtl/>
        </w:rPr>
        <w:t>أ</w:t>
      </w:r>
      <w:r w:rsidRPr="00B5080E">
        <w:rPr>
          <w:rFonts w:hint="eastAsia"/>
          <w:rtl/>
        </w:rPr>
        <w:t>صول،</w:t>
      </w:r>
      <w:r w:rsidRPr="00B5080E">
        <w:rPr>
          <w:rtl/>
        </w:rPr>
        <w:t xml:space="preserve">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السيد</w:t>
      </w:r>
      <w:r w:rsidRPr="00B5080E">
        <w:rPr>
          <w:rtl/>
        </w:rPr>
        <w:t xml:space="preserve"> </w:t>
      </w:r>
      <w:r w:rsidRPr="00B5080E">
        <w:rPr>
          <w:rFonts w:hint="eastAsia"/>
          <w:rtl/>
        </w:rPr>
        <w:t>روح</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3 </w:t>
      </w:r>
      <w:r w:rsidRPr="00B5080E">
        <w:rPr>
          <w:rFonts w:hint="eastAsia"/>
          <w:rtl/>
        </w:rPr>
        <w:t>مجلد،</w:t>
      </w:r>
      <w:r w:rsidRPr="00B5080E">
        <w:rPr>
          <w:rtl/>
        </w:rPr>
        <w:t xml:space="preserve"> (</w:t>
      </w:r>
      <w:r w:rsidRPr="00B5080E">
        <w:rPr>
          <w:rFonts w:hint="eastAsia"/>
          <w:rtl/>
        </w:rPr>
        <w:t>قم،</w:t>
      </w:r>
      <w:r w:rsidRPr="00B5080E">
        <w:rPr>
          <w:rtl/>
        </w:rPr>
        <w:t xml:space="preserve"> 1363</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عبد</w:t>
      </w:r>
      <w:r w:rsidRPr="00B5080E">
        <w:rPr>
          <w:rFonts w:hint="cs"/>
          <w:rtl/>
        </w:rPr>
        <w:t xml:space="preserve"> </w:t>
      </w:r>
      <w:r w:rsidRPr="00B5080E">
        <w:rPr>
          <w:rFonts w:hint="eastAsia"/>
          <w:rtl/>
        </w:rPr>
        <w:t>ال</w:t>
      </w:r>
      <w:r w:rsidRPr="00B5080E">
        <w:rPr>
          <w:rFonts w:hint="cs"/>
          <w:rtl/>
        </w:rPr>
        <w:t>أ</w:t>
      </w:r>
      <w:r w:rsidRPr="00B5080E">
        <w:rPr>
          <w:rFonts w:hint="eastAsia"/>
          <w:rtl/>
        </w:rPr>
        <w:t>على</w:t>
      </w:r>
      <w:r w:rsidRPr="00B5080E">
        <w:rPr>
          <w:rtl/>
        </w:rPr>
        <w:t xml:space="preserve"> </w:t>
      </w:r>
      <w:r w:rsidRPr="00B5080E">
        <w:rPr>
          <w:rFonts w:hint="eastAsia"/>
          <w:rtl/>
        </w:rPr>
        <w:t>السبزواري،</w:t>
      </w:r>
      <w:r w:rsidRPr="00B5080E">
        <w:rPr>
          <w:rtl/>
        </w:rPr>
        <w:t xml:space="preserve"> </w:t>
      </w:r>
      <w:r w:rsidRPr="00B5080E">
        <w:rPr>
          <w:rFonts w:hint="eastAsia"/>
          <w:rtl/>
        </w:rPr>
        <w:t>مهذ</w:t>
      </w:r>
      <w:r w:rsidRPr="00B5080E">
        <w:rPr>
          <w:rFonts w:hint="cs"/>
          <w:rtl/>
        </w:rPr>
        <w:t>ّ</w:t>
      </w:r>
      <w:r w:rsidRPr="00B5080E">
        <w:rPr>
          <w:rFonts w:hint="eastAsia"/>
          <w:rtl/>
        </w:rPr>
        <w:t>ب</w:t>
      </w:r>
      <w:r w:rsidRPr="00B5080E">
        <w:rPr>
          <w:rtl/>
        </w:rPr>
        <w:t xml:space="preserve"> </w:t>
      </w:r>
      <w:r w:rsidRPr="00B5080E">
        <w:rPr>
          <w:rFonts w:hint="eastAsia"/>
          <w:rtl/>
        </w:rPr>
        <w:t>ال</w:t>
      </w:r>
      <w:r w:rsidRPr="00B5080E">
        <w:rPr>
          <w:rFonts w:hint="cs"/>
          <w:rtl/>
        </w:rPr>
        <w:t>أ</w:t>
      </w:r>
      <w:r w:rsidRPr="00B5080E">
        <w:rPr>
          <w:rFonts w:hint="eastAsia"/>
          <w:rtl/>
        </w:rPr>
        <w:t>حكام،</w:t>
      </w:r>
      <w:r w:rsidRPr="00B5080E">
        <w:rPr>
          <w:rtl/>
        </w:rPr>
        <w:t xml:space="preserve"> </w:t>
      </w:r>
      <w:r w:rsidRPr="00B5080E">
        <w:rPr>
          <w:rFonts w:hint="eastAsia"/>
          <w:rtl/>
        </w:rPr>
        <w:t>الطبعة</w:t>
      </w:r>
      <w:r w:rsidRPr="00B5080E">
        <w:rPr>
          <w:rtl/>
        </w:rPr>
        <w:t xml:space="preserve"> </w:t>
      </w:r>
      <w:r w:rsidRPr="00B5080E">
        <w:rPr>
          <w:rFonts w:hint="eastAsia"/>
          <w:rtl/>
        </w:rPr>
        <w:t>الأولى،</w:t>
      </w:r>
      <w:r w:rsidRPr="00B5080E">
        <w:rPr>
          <w:rtl/>
        </w:rPr>
        <w:t xml:space="preserve"> (</w:t>
      </w:r>
      <w:r w:rsidRPr="00B5080E">
        <w:rPr>
          <w:rFonts w:hint="eastAsia"/>
          <w:rtl/>
        </w:rPr>
        <w:t>النجف</w:t>
      </w:r>
      <w:r w:rsidRPr="00B5080E">
        <w:rPr>
          <w:rtl/>
        </w:rPr>
        <w:t>).</w:t>
      </w:r>
    </w:p>
    <w:p w:rsidR="00EA09EB" w:rsidRPr="00B5080E" w:rsidRDefault="00EA09EB" w:rsidP="00B5080E">
      <w:r w:rsidRPr="00B5080E">
        <w:rPr>
          <w:rFonts w:hint="cs"/>
          <w:rtl/>
        </w:rPr>
        <w:t xml:space="preserve">ـ </w:t>
      </w:r>
      <w:r w:rsidRPr="00B5080E">
        <w:rPr>
          <w:rFonts w:hint="eastAsia"/>
          <w:rtl/>
        </w:rPr>
        <w:t>سلاّر</w:t>
      </w:r>
      <w:r w:rsidRPr="00B5080E">
        <w:rPr>
          <w:rtl/>
        </w:rPr>
        <w:t xml:space="preserve"> </w:t>
      </w:r>
      <w:r w:rsidRPr="00B5080E">
        <w:rPr>
          <w:rFonts w:hint="cs"/>
          <w:rtl/>
        </w:rPr>
        <w:t>ال</w:t>
      </w:r>
      <w:r w:rsidRPr="00B5080E">
        <w:rPr>
          <w:rFonts w:hint="eastAsia"/>
          <w:rtl/>
        </w:rPr>
        <w:t>ديلم</w:t>
      </w:r>
      <w:r w:rsidRPr="00B5080E">
        <w:rPr>
          <w:rFonts w:hint="cs"/>
          <w:rtl/>
        </w:rPr>
        <w:t>ي</w:t>
      </w:r>
      <w:r w:rsidRPr="00B5080E">
        <w:rPr>
          <w:rFonts w:hint="eastAsia"/>
          <w:rtl/>
        </w:rPr>
        <w:t>،</w:t>
      </w:r>
      <w:r w:rsidRPr="00B5080E">
        <w:rPr>
          <w:rtl/>
        </w:rPr>
        <w:t xml:space="preserve"> </w:t>
      </w:r>
      <w:r w:rsidRPr="00B5080E">
        <w:rPr>
          <w:rFonts w:hint="eastAsia"/>
          <w:rtl/>
        </w:rPr>
        <w:t>المراسم</w:t>
      </w:r>
      <w:r w:rsidRPr="00B5080E">
        <w:rPr>
          <w:rtl/>
        </w:rPr>
        <w:t xml:space="preserve"> </w:t>
      </w:r>
      <w:r w:rsidRPr="00B5080E">
        <w:rPr>
          <w:rFonts w:hint="eastAsia"/>
          <w:rtl/>
        </w:rPr>
        <w:t>العلوية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ال</w:t>
      </w:r>
      <w:r w:rsidRPr="00B5080E">
        <w:rPr>
          <w:rFonts w:hint="cs"/>
          <w:rtl/>
        </w:rPr>
        <w:t>أ</w:t>
      </w:r>
      <w:r w:rsidRPr="00B5080E">
        <w:rPr>
          <w:rFonts w:hint="eastAsia"/>
          <w:rtl/>
        </w:rPr>
        <w:t>حكام</w:t>
      </w:r>
      <w:r w:rsidRPr="00B5080E">
        <w:rPr>
          <w:rtl/>
        </w:rPr>
        <w:t xml:space="preserve"> </w:t>
      </w:r>
      <w:r w:rsidRPr="00B5080E">
        <w:rPr>
          <w:rFonts w:hint="eastAsia"/>
          <w:rtl/>
        </w:rPr>
        <w:t>النبوية،</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السيد</w:t>
      </w:r>
      <w:r w:rsidRPr="00B5080E">
        <w:rPr>
          <w:rtl/>
        </w:rPr>
        <w:t xml:space="preserve"> </w:t>
      </w:r>
      <w:r w:rsidRPr="00B5080E">
        <w:rPr>
          <w:rFonts w:hint="eastAsia"/>
          <w:rtl/>
        </w:rPr>
        <w:t>محسن</w:t>
      </w:r>
      <w:r w:rsidRPr="00B5080E">
        <w:rPr>
          <w:rtl/>
        </w:rPr>
        <w:t xml:space="preserve"> </w:t>
      </w:r>
      <w:r w:rsidRPr="00B5080E">
        <w:rPr>
          <w:rFonts w:hint="cs"/>
          <w:rtl/>
        </w:rPr>
        <w:t>ال</w:t>
      </w:r>
      <w:r w:rsidRPr="00B5080E">
        <w:rPr>
          <w:rFonts w:hint="eastAsia"/>
          <w:rtl/>
        </w:rPr>
        <w:t>حسين</w:t>
      </w:r>
      <w:r w:rsidRPr="00B5080E">
        <w:rPr>
          <w:rFonts w:hint="cs"/>
          <w:rtl/>
        </w:rPr>
        <w:t>ي</w:t>
      </w:r>
      <w:r w:rsidRPr="00B5080E">
        <w:rPr>
          <w:rtl/>
        </w:rPr>
        <w:t xml:space="preserve"> </w:t>
      </w:r>
      <w:r w:rsidRPr="00B5080E">
        <w:rPr>
          <w:rFonts w:hint="eastAsia"/>
          <w:rtl/>
        </w:rPr>
        <w:t>الأميني،</w:t>
      </w:r>
      <w:r w:rsidRPr="00B5080E">
        <w:rPr>
          <w:rtl/>
        </w:rPr>
        <w:t xml:space="preserve"> (</w:t>
      </w:r>
      <w:r w:rsidRPr="00B5080E">
        <w:rPr>
          <w:rFonts w:hint="eastAsia"/>
          <w:rtl/>
        </w:rPr>
        <w:t>قم،</w:t>
      </w:r>
      <w:r w:rsidRPr="00B5080E">
        <w:rPr>
          <w:rtl/>
        </w:rPr>
        <w:t xml:space="preserve"> 1414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شهاب</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cs"/>
          <w:rtl/>
        </w:rPr>
        <w:t>ال</w:t>
      </w:r>
      <w:r w:rsidRPr="00B5080E">
        <w:rPr>
          <w:rFonts w:hint="eastAsia"/>
          <w:rtl/>
        </w:rPr>
        <w:t>سهرورد</w:t>
      </w:r>
      <w:r w:rsidRPr="00B5080E">
        <w:rPr>
          <w:rFonts w:hint="cs"/>
          <w:rtl/>
        </w:rPr>
        <w:t>ي</w:t>
      </w:r>
      <w:r w:rsidRPr="00B5080E">
        <w:rPr>
          <w:rFonts w:hint="eastAsia"/>
          <w:rtl/>
        </w:rPr>
        <w:t>،</w:t>
      </w:r>
      <w:r w:rsidRPr="00B5080E">
        <w:rPr>
          <w:rtl/>
        </w:rPr>
        <w:t xml:space="preserve"> </w:t>
      </w:r>
      <w:r w:rsidRPr="00B5080E">
        <w:rPr>
          <w:rFonts w:hint="eastAsia"/>
          <w:rtl/>
        </w:rPr>
        <w:t>حكمة</w:t>
      </w:r>
      <w:r w:rsidRPr="00B5080E">
        <w:rPr>
          <w:rtl/>
        </w:rPr>
        <w:t xml:space="preserve"> </w:t>
      </w:r>
      <w:r w:rsidRPr="00B5080E">
        <w:rPr>
          <w:rFonts w:hint="eastAsia"/>
          <w:rtl/>
        </w:rPr>
        <w:t>ال</w:t>
      </w:r>
      <w:r w:rsidRPr="00B5080E">
        <w:rPr>
          <w:rFonts w:hint="cs"/>
          <w:rtl/>
        </w:rPr>
        <w:t>إ</w:t>
      </w:r>
      <w:r w:rsidRPr="00B5080E">
        <w:rPr>
          <w:rFonts w:hint="eastAsia"/>
          <w:rtl/>
        </w:rPr>
        <w:t>شراق،</w:t>
      </w:r>
      <w:r w:rsidRPr="00B5080E">
        <w:rPr>
          <w:rtl/>
        </w:rPr>
        <w:t xml:space="preserve"> </w:t>
      </w:r>
      <w:r w:rsidRPr="00B5080E">
        <w:rPr>
          <w:rFonts w:hint="eastAsia"/>
          <w:rtl/>
        </w:rPr>
        <w:t>مجموع</w:t>
      </w:r>
      <w:r w:rsidRPr="00B5080E">
        <w:rPr>
          <w:rtl/>
        </w:rPr>
        <w:t xml:space="preserve"> </w:t>
      </w:r>
      <w:r w:rsidRPr="00B5080E">
        <w:rPr>
          <w:rFonts w:hint="eastAsia"/>
          <w:rtl/>
        </w:rPr>
        <w:t>مصن</w:t>
      </w:r>
      <w:r w:rsidRPr="00B5080E">
        <w:rPr>
          <w:rFonts w:hint="cs"/>
          <w:rtl/>
        </w:rPr>
        <w:t>َّ</w:t>
      </w:r>
      <w:r w:rsidRPr="00B5080E">
        <w:rPr>
          <w:rFonts w:hint="eastAsia"/>
          <w:rtl/>
        </w:rPr>
        <w:t>فات</w:t>
      </w:r>
      <w:r w:rsidRPr="00B5080E">
        <w:rPr>
          <w:rtl/>
        </w:rPr>
        <w:t xml:space="preserve"> </w:t>
      </w:r>
      <w:r w:rsidRPr="00B5080E">
        <w:rPr>
          <w:rFonts w:hint="eastAsia"/>
          <w:rtl/>
        </w:rPr>
        <w:t>شيخ</w:t>
      </w:r>
      <w:r w:rsidRPr="00B5080E">
        <w:rPr>
          <w:rtl/>
        </w:rPr>
        <w:t xml:space="preserve"> </w:t>
      </w:r>
      <w:r w:rsidRPr="00B5080E">
        <w:rPr>
          <w:rFonts w:hint="cs"/>
          <w:rtl/>
        </w:rPr>
        <w:t>الإ</w:t>
      </w:r>
      <w:r w:rsidRPr="00B5080E">
        <w:rPr>
          <w:rFonts w:hint="eastAsia"/>
          <w:rtl/>
        </w:rPr>
        <w:t>شراق،</w:t>
      </w:r>
      <w:r w:rsidRPr="00B5080E">
        <w:rPr>
          <w:rtl/>
        </w:rPr>
        <w:t xml:space="preserve"> </w:t>
      </w:r>
      <w:r w:rsidRPr="00B5080E">
        <w:rPr>
          <w:rFonts w:hint="eastAsia"/>
          <w:rtl/>
        </w:rPr>
        <w:t>مجلد</w:t>
      </w:r>
      <w:r w:rsidRPr="00B5080E">
        <w:rPr>
          <w:rtl/>
        </w:rPr>
        <w:t xml:space="preserve"> 2</w:t>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هنر</w:t>
      </w:r>
      <w:r w:rsidRPr="00B5080E">
        <w:rPr>
          <w:rFonts w:hint="cs"/>
          <w:rtl/>
        </w:rPr>
        <w:t>ي</w:t>
      </w:r>
      <w:r w:rsidRPr="00B5080E">
        <w:rPr>
          <w:rtl/>
        </w:rPr>
        <w:t xml:space="preserve"> </w:t>
      </w:r>
      <w:r w:rsidRPr="00B5080E">
        <w:rPr>
          <w:rFonts w:hint="eastAsia"/>
          <w:rtl/>
        </w:rPr>
        <w:t>ك</w:t>
      </w:r>
      <w:r w:rsidRPr="00B5080E">
        <w:rPr>
          <w:rFonts w:hint="cs"/>
          <w:rtl/>
        </w:rPr>
        <w:t>و</w:t>
      </w:r>
      <w:r w:rsidRPr="00B5080E">
        <w:rPr>
          <w:rFonts w:hint="eastAsia"/>
          <w:rtl/>
        </w:rPr>
        <w:t>رب</w:t>
      </w:r>
      <w:r w:rsidRPr="00B5080E">
        <w:rPr>
          <w:rFonts w:hint="cs"/>
          <w:rtl/>
        </w:rPr>
        <w:t>ا</w:t>
      </w:r>
      <w:r w:rsidRPr="00B5080E">
        <w:rPr>
          <w:rFonts w:hint="eastAsia"/>
          <w:rtl/>
        </w:rPr>
        <w:t>ن،</w:t>
      </w:r>
      <w:r w:rsidRPr="00B5080E">
        <w:rPr>
          <w:rtl/>
        </w:rPr>
        <w:t xml:space="preserve"> (</w:t>
      </w:r>
      <w:r w:rsidRPr="00B5080E">
        <w:rPr>
          <w:rFonts w:hint="eastAsia"/>
          <w:rtl/>
        </w:rPr>
        <w:t>طهران،</w:t>
      </w:r>
      <w:r w:rsidRPr="00B5080E">
        <w:rPr>
          <w:rtl/>
        </w:rPr>
        <w:t xml:space="preserve"> 1397</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Fonts w:hint="cs"/>
          <w:rtl/>
        </w:rPr>
        <w:t xml:space="preserve"> ا</w:t>
      </w:r>
      <w:r w:rsidRPr="00B5080E">
        <w:rPr>
          <w:rFonts w:hint="eastAsia"/>
          <w:rtl/>
        </w:rPr>
        <w:t>بن</w:t>
      </w:r>
      <w:r w:rsidRPr="00B5080E">
        <w:rPr>
          <w:rtl/>
        </w:rPr>
        <w:t xml:space="preserve"> </w:t>
      </w:r>
      <w:r w:rsidRPr="00B5080E">
        <w:rPr>
          <w:rFonts w:hint="eastAsia"/>
          <w:rtl/>
        </w:rPr>
        <w:t>زهرة،</w:t>
      </w:r>
      <w:r w:rsidRPr="00B5080E">
        <w:rPr>
          <w:rtl/>
        </w:rPr>
        <w:t xml:space="preserve"> </w:t>
      </w:r>
      <w:r w:rsidRPr="00B5080E">
        <w:rPr>
          <w:rFonts w:hint="eastAsia"/>
          <w:rtl/>
        </w:rPr>
        <w:t>غنيه</w:t>
      </w:r>
      <w:r w:rsidRPr="00B5080E">
        <w:rPr>
          <w:rtl/>
        </w:rPr>
        <w:t xml:space="preserve"> </w:t>
      </w:r>
      <w:r w:rsidRPr="00B5080E">
        <w:rPr>
          <w:rFonts w:hint="eastAsia"/>
          <w:rtl/>
        </w:rPr>
        <w:t>النزوع،</w:t>
      </w:r>
      <w:r w:rsidRPr="00B5080E">
        <w:rPr>
          <w:rtl/>
        </w:rPr>
        <w:t xml:space="preserve"> </w:t>
      </w:r>
      <w:r w:rsidRPr="00B5080E">
        <w:rPr>
          <w:rFonts w:hint="eastAsia"/>
          <w:rtl/>
        </w:rPr>
        <w:t>الجوامع</w:t>
      </w:r>
      <w:r w:rsidRPr="00B5080E">
        <w:rPr>
          <w:rtl/>
        </w:rPr>
        <w:t xml:space="preserve"> </w:t>
      </w:r>
      <w:r w:rsidRPr="00B5080E">
        <w:rPr>
          <w:rFonts w:hint="eastAsia"/>
          <w:rtl/>
        </w:rPr>
        <w:t>الفقهي</w:t>
      </w:r>
      <w:r w:rsidRPr="00B5080E">
        <w:rPr>
          <w:rFonts w:hint="cs"/>
          <w:rtl/>
        </w:rPr>
        <w:t>ة</w:t>
      </w:r>
      <w:r w:rsidRPr="00B5080E">
        <w:rPr>
          <w:rFonts w:hint="eastAsia"/>
          <w:rtl/>
        </w:rPr>
        <w:t>،</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cs"/>
          <w:rtl/>
        </w:rPr>
        <w:t>ال</w:t>
      </w:r>
      <w:r w:rsidRPr="00B5080E">
        <w:rPr>
          <w:rFonts w:hint="eastAsia"/>
          <w:rtl/>
        </w:rPr>
        <w:t>رض</w:t>
      </w:r>
      <w:r w:rsidRPr="00B5080E">
        <w:rPr>
          <w:rFonts w:hint="cs"/>
          <w:rtl/>
        </w:rPr>
        <w:t>ي</w:t>
      </w:r>
      <w:r w:rsidRPr="00B5080E">
        <w:rPr>
          <w:rFonts w:hint="eastAsia"/>
          <w:rtl/>
        </w:rPr>
        <w:t>،</w:t>
      </w:r>
      <w:r w:rsidRPr="00B5080E">
        <w:rPr>
          <w:rtl/>
        </w:rPr>
        <w:t xml:space="preserve"> </w:t>
      </w:r>
      <w:r w:rsidRPr="00B5080E">
        <w:rPr>
          <w:rFonts w:hint="eastAsia"/>
          <w:rtl/>
        </w:rPr>
        <w:t>نهج</w:t>
      </w:r>
      <w:r w:rsidRPr="00B5080E">
        <w:rPr>
          <w:rFonts w:hint="cs"/>
          <w:rtl/>
        </w:rPr>
        <w:t xml:space="preserve"> </w:t>
      </w:r>
      <w:r w:rsidRPr="00B5080E">
        <w:rPr>
          <w:rtl/>
        </w:rPr>
        <w:t>‏</w:t>
      </w:r>
      <w:r w:rsidRPr="00B5080E">
        <w:rPr>
          <w:rFonts w:hint="eastAsia"/>
          <w:rtl/>
        </w:rPr>
        <w:t>البلاغة،</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صبح</w:t>
      </w:r>
      <w:r w:rsidRPr="00B5080E">
        <w:rPr>
          <w:rFonts w:hint="cs"/>
          <w:rtl/>
        </w:rPr>
        <w:t>ي</w:t>
      </w:r>
      <w:r w:rsidRPr="00B5080E">
        <w:rPr>
          <w:rtl/>
        </w:rPr>
        <w:t xml:space="preserve"> </w:t>
      </w:r>
      <w:r w:rsidRPr="00B5080E">
        <w:rPr>
          <w:rFonts w:hint="eastAsia"/>
          <w:rtl/>
        </w:rPr>
        <w:t>صالح،</w:t>
      </w:r>
      <w:r w:rsidRPr="00B5080E">
        <w:rPr>
          <w:rtl/>
        </w:rPr>
        <w:t xml:space="preserve"> (</w:t>
      </w:r>
      <w:r w:rsidRPr="00B5080E">
        <w:rPr>
          <w:rFonts w:hint="eastAsia"/>
          <w:rtl/>
        </w:rPr>
        <w:t>بيروت،</w:t>
      </w:r>
      <w:r w:rsidRPr="00B5080E">
        <w:rPr>
          <w:rtl/>
        </w:rPr>
        <w:t xml:space="preserve"> 1387</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cs"/>
          <w:rtl/>
        </w:rPr>
        <w:t>ال</w:t>
      </w:r>
      <w:r w:rsidRPr="00B5080E">
        <w:rPr>
          <w:rFonts w:hint="eastAsia"/>
          <w:rtl/>
        </w:rPr>
        <w:t>مرتضى،</w:t>
      </w:r>
      <w:r w:rsidRPr="00B5080E">
        <w:rPr>
          <w:rtl/>
        </w:rPr>
        <w:t xml:space="preserve"> </w:t>
      </w:r>
      <w:r w:rsidRPr="00B5080E">
        <w:rPr>
          <w:rFonts w:hint="eastAsia"/>
          <w:rtl/>
        </w:rPr>
        <w:t>الذريعة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علم</w:t>
      </w:r>
      <w:r w:rsidRPr="00B5080E">
        <w:rPr>
          <w:rtl/>
        </w:rPr>
        <w:t xml:space="preserve"> </w:t>
      </w:r>
      <w:r w:rsidRPr="00B5080E">
        <w:rPr>
          <w:rFonts w:hint="eastAsia"/>
          <w:rtl/>
        </w:rPr>
        <w:t>الكلام،</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السيد</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cs"/>
          <w:rtl/>
        </w:rPr>
        <w:t>ال</w:t>
      </w:r>
      <w:r w:rsidRPr="00B5080E">
        <w:rPr>
          <w:rFonts w:hint="eastAsia"/>
          <w:rtl/>
        </w:rPr>
        <w:t>حسين</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1411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cs"/>
          <w:rtl/>
        </w:rPr>
        <w:t>ال</w:t>
      </w:r>
      <w:r w:rsidRPr="00B5080E">
        <w:rPr>
          <w:rFonts w:hint="eastAsia"/>
          <w:rtl/>
        </w:rPr>
        <w:t>مرتضى،</w:t>
      </w:r>
      <w:r w:rsidRPr="00B5080E">
        <w:rPr>
          <w:rtl/>
        </w:rPr>
        <w:t xml:space="preserve"> </w:t>
      </w:r>
      <w:r w:rsidRPr="00B5080E">
        <w:rPr>
          <w:rFonts w:hint="eastAsia"/>
          <w:rtl/>
        </w:rPr>
        <w:t>الشافي</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ال</w:t>
      </w:r>
      <w:r w:rsidRPr="00B5080E">
        <w:rPr>
          <w:rFonts w:hint="cs"/>
          <w:rtl/>
        </w:rPr>
        <w:t>إ</w:t>
      </w:r>
      <w:r w:rsidRPr="00B5080E">
        <w:rPr>
          <w:rFonts w:hint="eastAsia"/>
          <w:rtl/>
        </w:rPr>
        <w:t>مامة،</w:t>
      </w:r>
      <w:r w:rsidRPr="00B5080E">
        <w:rPr>
          <w:rtl/>
        </w:rPr>
        <w:t xml:space="preserve"> 4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الثانية،</w:t>
      </w:r>
      <w:r w:rsidRPr="00B5080E">
        <w:rPr>
          <w:rtl/>
        </w:rPr>
        <w:t xml:space="preserve"> (</w:t>
      </w:r>
      <w:r w:rsidRPr="00B5080E">
        <w:rPr>
          <w:rFonts w:hint="eastAsia"/>
          <w:rtl/>
        </w:rPr>
        <w:t>قم،</w:t>
      </w:r>
      <w:r w:rsidRPr="00B5080E">
        <w:rPr>
          <w:rtl/>
        </w:rPr>
        <w:t xml:space="preserve"> 1410</w:t>
      </w:r>
      <w:r w:rsidRPr="00B5080E">
        <w:rPr>
          <w:rFonts w:hint="cs"/>
          <w:rtl/>
        </w:rPr>
        <w:t>هـ</w:t>
      </w:r>
      <w:r w:rsidRPr="00B5080E">
        <w:rPr>
          <w:rtl/>
        </w:rPr>
        <w:t>).</w:t>
      </w:r>
    </w:p>
    <w:p w:rsidR="00EA09EB" w:rsidRPr="00B5080E" w:rsidRDefault="00EA09EB" w:rsidP="00B5080E">
      <w:r w:rsidRPr="00B5080E">
        <w:rPr>
          <w:rFonts w:hint="cs"/>
          <w:rtl/>
        </w:rPr>
        <w:t>ـ ال</w:t>
      </w:r>
      <w:r w:rsidRPr="00B5080E">
        <w:rPr>
          <w:rFonts w:hint="eastAsia"/>
          <w:rtl/>
        </w:rPr>
        <w:t>شرتون</w:t>
      </w:r>
      <w:r w:rsidRPr="00B5080E">
        <w:rPr>
          <w:rFonts w:hint="cs"/>
          <w:rtl/>
        </w:rPr>
        <w:t>ي</w:t>
      </w:r>
      <w:r w:rsidRPr="00B5080E">
        <w:rPr>
          <w:rFonts w:hint="eastAsia"/>
          <w:rtl/>
        </w:rPr>
        <w:t>،</w:t>
      </w:r>
      <w:r w:rsidRPr="00B5080E">
        <w:rPr>
          <w:rtl/>
        </w:rPr>
        <w:t xml:space="preserve"> </w:t>
      </w:r>
      <w:r w:rsidRPr="00B5080E">
        <w:rPr>
          <w:rFonts w:hint="cs"/>
          <w:rtl/>
        </w:rPr>
        <w:t>أ</w:t>
      </w:r>
      <w:r w:rsidRPr="00B5080E">
        <w:rPr>
          <w:rFonts w:hint="eastAsia"/>
          <w:rtl/>
        </w:rPr>
        <w:t>قرب</w:t>
      </w:r>
      <w:r w:rsidRPr="00B5080E">
        <w:rPr>
          <w:rtl/>
        </w:rPr>
        <w:t xml:space="preserve"> </w:t>
      </w:r>
      <w:r w:rsidRPr="00B5080E">
        <w:rPr>
          <w:rFonts w:hint="eastAsia"/>
          <w:rtl/>
        </w:rPr>
        <w:t>الموارد،</w:t>
      </w:r>
      <w:r w:rsidRPr="00B5080E">
        <w:rPr>
          <w:rtl/>
        </w:rPr>
        <w:t xml:space="preserve"> 3 </w:t>
      </w:r>
      <w:r w:rsidRPr="00B5080E">
        <w:rPr>
          <w:rFonts w:hint="eastAsia"/>
          <w:rtl/>
        </w:rPr>
        <w:t>مجلد،</w:t>
      </w:r>
      <w:r w:rsidRPr="00B5080E">
        <w:rPr>
          <w:rtl/>
        </w:rPr>
        <w:t xml:space="preserve"> (</w:t>
      </w:r>
      <w:r w:rsidRPr="00B5080E">
        <w:rPr>
          <w:rFonts w:hint="eastAsia"/>
          <w:rtl/>
        </w:rPr>
        <w:t>قم،</w:t>
      </w:r>
      <w:r w:rsidRPr="00B5080E">
        <w:rPr>
          <w:rtl/>
        </w:rPr>
        <w:t xml:space="preserve"> 1403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تاج</w:t>
      </w:r>
      <w:r w:rsidRPr="00B5080E">
        <w:rPr>
          <w:rtl/>
        </w:rPr>
        <w:t xml:space="preserve"> </w:t>
      </w:r>
      <w:r w:rsidRPr="00B5080E">
        <w:rPr>
          <w:rFonts w:hint="eastAsia"/>
          <w:rtl/>
        </w:rPr>
        <w:t>الدين</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eastAsia"/>
          <w:rtl/>
        </w:rPr>
        <w:t>محمّد</w:t>
      </w:r>
      <w:r w:rsidRPr="00B5080E">
        <w:rPr>
          <w:rtl/>
        </w:rPr>
        <w:t xml:space="preserve"> </w:t>
      </w:r>
      <w:r w:rsidRPr="00B5080E">
        <w:rPr>
          <w:rFonts w:hint="cs"/>
          <w:rtl/>
        </w:rPr>
        <w:t>ال</w:t>
      </w:r>
      <w:r w:rsidRPr="00B5080E">
        <w:rPr>
          <w:rFonts w:hint="eastAsia"/>
          <w:rtl/>
        </w:rPr>
        <w:t>شعير</w:t>
      </w:r>
      <w:r w:rsidRPr="00B5080E">
        <w:rPr>
          <w:rFonts w:hint="cs"/>
          <w:rtl/>
        </w:rPr>
        <w:t>ي</w:t>
      </w:r>
      <w:r w:rsidRPr="00B5080E">
        <w:rPr>
          <w:rFonts w:hint="eastAsia"/>
          <w:rtl/>
        </w:rPr>
        <w:t>،</w:t>
      </w:r>
      <w:r w:rsidRPr="00B5080E">
        <w:rPr>
          <w:rtl/>
        </w:rPr>
        <w:t xml:space="preserve"> </w:t>
      </w:r>
      <w:r w:rsidRPr="00B5080E">
        <w:rPr>
          <w:rFonts w:hint="eastAsia"/>
          <w:rtl/>
        </w:rPr>
        <w:t>جامع</w:t>
      </w:r>
      <w:r w:rsidRPr="00B5080E">
        <w:rPr>
          <w:rtl/>
        </w:rPr>
        <w:t xml:space="preserve"> </w:t>
      </w:r>
      <w:r w:rsidRPr="00B5080E">
        <w:rPr>
          <w:rFonts w:hint="eastAsia"/>
          <w:rtl/>
        </w:rPr>
        <w:t>ال</w:t>
      </w:r>
      <w:r w:rsidRPr="00B5080E">
        <w:rPr>
          <w:rFonts w:hint="cs"/>
          <w:rtl/>
        </w:rPr>
        <w:t>أ</w:t>
      </w:r>
      <w:r w:rsidRPr="00B5080E">
        <w:rPr>
          <w:rFonts w:hint="eastAsia"/>
          <w:rtl/>
        </w:rPr>
        <w:t>خبار،</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الشهيد</w:t>
      </w:r>
      <w:r w:rsidRPr="00B5080E">
        <w:rPr>
          <w:rtl/>
        </w:rPr>
        <w:t xml:space="preserve"> </w:t>
      </w:r>
      <w:r w:rsidRPr="00B5080E">
        <w:rPr>
          <w:rFonts w:hint="eastAsia"/>
          <w:rtl/>
        </w:rPr>
        <w:t>الأوّل</w:t>
      </w:r>
      <w:r w:rsidRPr="00B5080E">
        <w:rPr>
          <w:rtl/>
        </w:rPr>
        <w:t xml:space="preserve"> (</w:t>
      </w:r>
      <w:r w:rsidRPr="00B5080E">
        <w:rPr>
          <w:rFonts w:hint="eastAsia"/>
          <w:rtl/>
        </w:rPr>
        <w:t>شمس</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محمد</w:t>
      </w:r>
      <w:r w:rsidRPr="00B5080E">
        <w:rPr>
          <w:rtl/>
        </w:rPr>
        <w:t xml:space="preserve"> </w:t>
      </w:r>
      <w:r w:rsidRPr="00B5080E">
        <w:rPr>
          <w:rFonts w:hint="eastAsia"/>
          <w:rtl/>
        </w:rPr>
        <w:t>العاملي</w:t>
      </w:r>
      <w:r w:rsidRPr="00B5080E">
        <w:rPr>
          <w:rtl/>
        </w:rPr>
        <w:t>)</w:t>
      </w:r>
      <w:r w:rsidRPr="00B5080E">
        <w:rPr>
          <w:rFonts w:hint="eastAsia"/>
          <w:rtl/>
        </w:rPr>
        <w:t>،</w:t>
      </w:r>
      <w:r w:rsidRPr="00B5080E">
        <w:rPr>
          <w:rtl/>
        </w:rPr>
        <w:t xml:space="preserve"> </w:t>
      </w:r>
      <w:r w:rsidRPr="00B5080E">
        <w:rPr>
          <w:rFonts w:hint="eastAsia"/>
          <w:rtl/>
        </w:rPr>
        <w:t>الدروس</w:t>
      </w:r>
      <w:r w:rsidRPr="00B5080E">
        <w:rPr>
          <w:rtl/>
        </w:rPr>
        <w:t xml:space="preserve"> </w:t>
      </w:r>
      <w:r w:rsidRPr="00B5080E">
        <w:rPr>
          <w:rFonts w:hint="eastAsia"/>
          <w:rtl/>
        </w:rPr>
        <w:t>الشرعية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فقه</w:t>
      </w:r>
      <w:r w:rsidRPr="00B5080E">
        <w:rPr>
          <w:rtl/>
        </w:rPr>
        <w:t xml:space="preserve"> </w:t>
      </w:r>
      <w:r w:rsidRPr="00B5080E">
        <w:rPr>
          <w:rFonts w:hint="eastAsia"/>
          <w:rtl/>
        </w:rPr>
        <w:t>ال</w:t>
      </w:r>
      <w:r w:rsidRPr="00B5080E">
        <w:rPr>
          <w:rFonts w:hint="cs"/>
          <w:rtl/>
        </w:rPr>
        <w:t>إ</w:t>
      </w:r>
      <w:r w:rsidRPr="00B5080E">
        <w:rPr>
          <w:rFonts w:hint="eastAsia"/>
          <w:rtl/>
        </w:rPr>
        <w:t>مامية،</w:t>
      </w:r>
      <w:r w:rsidRPr="00B5080E">
        <w:rPr>
          <w:rtl/>
        </w:rPr>
        <w:t xml:space="preserve"> 3 </w:t>
      </w:r>
      <w:r w:rsidRPr="00B5080E">
        <w:rPr>
          <w:rFonts w:hint="eastAsia"/>
          <w:rtl/>
        </w:rPr>
        <w:t>مجلد،</w:t>
      </w:r>
      <w:r w:rsidRPr="00B5080E">
        <w:rPr>
          <w:rtl/>
        </w:rPr>
        <w:t xml:space="preserve"> (</w:t>
      </w:r>
      <w:r w:rsidRPr="00B5080E">
        <w:rPr>
          <w:rFonts w:hint="eastAsia"/>
          <w:rtl/>
        </w:rPr>
        <w:t>قم،</w:t>
      </w:r>
      <w:r w:rsidRPr="00B5080E">
        <w:rPr>
          <w:rtl/>
        </w:rPr>
        <w:t xml:space="preserve"> 1414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الشهيد</w:t>
      </w:r>
      <w:r w:rsidRPr="00B5080E">
        <w:rPr>
          <w:rtl/>
        </w:rPr>
        <w:t xml:space="preserve"> </w:t>
      </w:r>
      <w:r w:rsidRPr="00B5080E">
        <w:rPr>
          <w:rFonts w:hint="eastAsia"/>
          <w:rtl/>
        </w:rPr>
        <w:t>الثاني</w:t>
      </w:r>
      <w:r w:rsidRPr="00B5080E">
        <w:rPr>
          <w:rFonts w:hint="cs"/>
          <w:rtl/>
        </w:rPr>
        <w:t xml:space="preserve"> </w:t>
      </w:r>
      <w:r w:rsidRPr="00B5080E">
        <w:rPr>
          <w:rtl/>
        </w:rPr>
        <w:t>(</w:t>
      </w:r>
      <w:r w:rsidRPr="00B5080E">
        <w:rPr>
          <w:rFonts w:hint="eastAsia"/>
          <w:rtl/>
        </w:rPr>
        <w:t>الشيخ</w:t>
      </w:r>
      <w:r w:rsidRPr="00B5080E">
        <w:rPr>
          <w:rtl/>
        </w:rPr>
        <w:t xml:space="preserve"> </w:t>
      </w:r>
      <w:r w:rsidRPr="00B5080E">
        <w:rPr>
          <w:rFonts w:hint="eastAsia"/>
          <w:rtl/>
        </w:rPr>
        <w:t>زين</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العاملي</w:t>
      </w:r>
      <w:r w:rsidRPr="00B5080E">
        <w:rPr>
          <w:rtl/>
        </w:rPr>
        <w:t>)</w:t>
      </w:r>
      <w:r w:rsidRPr="00B5080E">
        <w:rPr>
          <w:rFonts w:hint="eastAsia"/>
          <w:rtl/>
        </w:rPr>
        <w:t>،</w:t>
      </w:r>
      <w:r w:rsidRPr="00B5080E">
        <w:rPr>
          <w:rtl/>
        </w:rPr>
        <w:t xml:space="preserve"> </w:t>
      </w:r>
      <w:r w:rsidRPr="00B5080E">
        <w:rPr>
          <w:rFonts w:hint="eastAsia"/>
          <w:rtl/>
        </w:rPr>
        <w:t>الدراية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علم</w:t>
      </w:r>
      <w:r w:rsidRPr="00B5080E">
        <w:rPr>
          <w:rtl/>
        </w:rPr>
        <w:t xml:space="preserve"> </w:t>
      </w:r>
      <w:r w:rsidRPr="00B5080E">
        <w:rPr>
          <w:rFonts w:hint="eastAsia"/>
          <w:rtl/>
        </w:rPr>
        <w:t>مصطلح</w:t>
      </w:r>
      <w:r w:rsidRPr="00B5080E">
        <w:rPr>
          <w:rtl/>
        </w:rPr>
        <w:t xml:space="preserve"> </w:t>
      </w:r>
      <w:r w:rsidRPr="00B5080E">
        <w:rPr>
          <w:rFonts w:hint="eastAsia"/>
          <w:rtl/>
        </w:rPr>
        <w:t>الحديث،</w:t>
      </w:r>
      <w:r w:rsidRPr="00B5080E">
        <w:rPr>
          <w:rtl/>
        </w:rPr>
        <w:t xml:space="preserve"> (</w:t>
      </w:r>
      <w:r w:rsidRPr="00B5080E">
        <w:rPr>
          <w:rFonts w:hint="eastAsia"/>
          <w:rtl/>
        </w:rPr>
        <w:t>النجف</w:t>
      </w:r>
      <w:r w:rsidRPr="00B5080E">
        <w:rPr>
          <w:rtl/>
        </w:rPr>
        <w:t>).</w:t>
      </w:r>
    </w:p>
    <w:p w:rsidR="00EA09EB" w:rsidRPr="00B5080E" w:rsidRDefault="00EA09EB" w:rsidP="00B5080E">
      <w:r w:rsidRPr="00B5080E">
        <w:rPr>
          <w:rFonts w:hint="cs"/>
          <w:rtl/>
        </w:rPr>
        <w:t xml:space="preserve">ـ </w:t>
      </w:r>
      <w:r w:rsidRPr="00B5080E">
        <w:rPr>
          <w:rFonts w:hint="eastAsia"/>
          <w:rtl/>
        </w:rPr>
        <w:t>الشهيد</w:t>
      </w:r>
      <w:r w:rsidRPr="00B5080E">
        <w:rPr>
          <w:rtl/>
        </w:rPr>
        <w:t xml:space="preserve"> </w:t>
      </w:r>
      <w:r w:rsidRPr="00B5080E">
        <w:rPr>
          <w:rFonts w:hint="eastAsia"/>
          <w:rtl/>
        </w:rPr>
        <w:t>الثاني</w:t>
      </w:r>
      <w:r w:rsidRPr="00B5080E">
        <w:rPr>
          <w:rFonts w:hint="cs"/>
          <w:rtl/>
        </w:rPr>
        <w:t xml:space="preserve"> </w:t>
      </w:r>
      <w:r w:rsidRPr="00B5080E">
        <w:rPr>
          <w:rtl/>
        </w:rPr>
        <w:t>(</w:t>
      </w:r>
      <w:r w:rsidRPr="00B5080E">
        <w:rPr>
          <w:rFonts w:hint="eastAsia"/>
          <w:rtl/>
        </w:rPr>
        <w:t>الشيخ</w:t>
      </w:r>
      <w:r w:rsidRPr="00B5080E">
        <w:rPr>
          <w:rtl/>
        </w:rPr>
        <w:t xml:space="preserve"> </w:t>
      </w:r>
      <w:r w:rsidRPr="00B5080E">
        <w:rPr>
          <w:rFonts w:hint="eastAsia"/>
          <w:rtl/>
        </w:rPr>
        <w:t>زين</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العاملي</w:t>
      </w:r>
      <w:r w:rsidRPr="00B5080E">
        <w:rPr>
          <w:rtl/>
        </w:rPr>
        <w:t>)</w:t>
      </w:r>
      <w:r w:rsidRPr="00B5080E">
        <w:rPr>
          <w:rFonts w:hint="eastAsia"/>
          <w:rtl/>
        </w:rPr>
        <w:t>،</w:t>
      </w:r>
      <w:r w:rsidRPr="00B5080E">
        <w:rPr>
          <w:rtl/>
        </w:rPr>
        <w:t xml:space="preserve"> </w:t>
      </w:r>
      <w:r w:rsidRPr="00B5080E">
        <w:rPr>
          <w:rFonts w:hint="eastAsia"/>
          <w:rtl/>
        </w:rPr>
        <w:t>الروضة</w:t>
      </w:r>
      <w:r w:rsidRPr="00B5080E">
        <w:rPr>
          <w:rtl/>
        </w:rPr>
        <w:t xml:space="preserve"> </w:t>
      </w:r>
      <w:r w:rsidRPr="00B5080E">
        <w:rPr>
          <w:rFonts w:hint="eastAsia"/>
          <w:rtl/>
        </w:rPr>
        <w:t>البهية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اللمعة</w:t>
      </w:r>
      <w:r w:rsidRPr="00B5080E">
        <w:rPr>
          <w:rtl/>
        </w:rPr>
        <w:t xml:space="preserve"> </w:t>
      </w:r>
      <w:r w:rsidRPr="00B5080E">
        <w:rPr>
          <w:rFonts w:hint="eastAsia"/>
          <w:rtl/>
        </w:rPr>
        <w:t>الدمشقية،</w:t>
      </w:r>
      <w:r w:rsidRPr="00B5080E">
        <w:rPr>
          <w:rtl/>
        </w:rPr>
        <w:t xml:space="preserve"> 2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الشهيد</w:t>
      </w:r>
      <w:r w:rsidRPr="00B5080E">
        <w:rPr>
          <w:rtl/>
        </w:rPr>
        <w:t xml:space="preserve"> </w:t>
      </w:r>
      <w:r w:rsidRPr="00B5080E">
        <w:rPr>
          <w:rFonts w:hint="eastAsia"/>
          <w:rtl/>
        </w:rPr>
        <w:t>الثاني</w:t>
      </w:r>
      <w:r w:rsidRPr="00B5080E">
        <w:rPr>
          <w:rFonts w:hint="cs"/>
          <w:rtl/>
        </w:rPr>
        <w:t xml:space="preserve"> </w:t>
      </w:r>
      <w:r w:rsidRPr="00B5080E">
        <w:rPr>
          <w:rtl/>
        </w:rPr>
        <w:t>(</w:t>
      </w:r>
      <w:r w:rsidRPr="00B5080E">
        <w:rPr>
          <w:rFonts w:hint="eastAsia"/>
          <w:rtl/>
        </w:rPr>
        <w:t>الشيخ</w:t>
      </w:r>
      <w:r w:rsidRPr="00B5080E">
        <w:rPr>
          <w:rtl/>
        </w:rPr>
        <w:t xml:space="preserve"> </w:t>
      </w:r>
      <w:r w:rsidRPr="00B5080E">
        <w:rPr>
          <w:rFonts w:hint="eastAsia"/>
          <w:rtl/>
        </w:rPr>
        <w:t>زين</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العاملي</w:t>
      </w:r>
      <w:r w:rsidRPr="00B5080E">
        <w:rPr>
          <w:rtl/>
        </w:rPr>
        <w:t>)</w:t>
      </w:r>
      <w:r w:rsidRPr="00B5080E">
        <w:rPr>
          <w:rFonts w:hint="eastAsia"/>
          <w:rtl/>
        </w:rPr>
        <w:t>،</w:t>
      </w:r>
      <w:r w:rsidRPr="00B5080E">
        <w:rPr>
          <w:rtl/>
        </w:rPr>
        <w:t xml:space="preserve"> </w:t>
      </w:r>
      <w:r w:rsidRPr="00B5080E">
        <w:rPr>
          <w:rFonts w:hint="eastAsia"/>
          <w:rtl/>
        </w:rPr>
        <w:t>مسالك</w:t>
      </w:r>
      <w:r w:rsidRPr="00B5080E">
        <w:rPr>
          <w:rtl/>
        </w:rPr>
        <w:t xml:space="preserve"> </w:t>
      </w:r>
      <w:r w:rsidRPr="00B5080E">
        <w:rPr>
          <w:rFonts w:hint="eastAsia"/>
          <w:rtl/>
        </w:rPr>
        <w:t>ال</w:t>
      </w:r>
      <w:r w:rsidRPr="00B5080E">
        <w:rPr>
          <w:rFonts w:hint="cs"/>
          <w:rtl/>
        </w:rPr>
        <w:t>أ</w:t>
      </w:r>
      <w:r w:rsidRPr="00B5080E">
        <w:rPr>
          <w:rFonts w:hint="eastAsia"/>
          <w:rtl/>
        </w:rPr>
        <w:t>فهام</w:t>
      </w:r>
      <w:r w:rsidRPr="00B5080E">
        <w:rPr>
          <w:rtl/>
        </w:rPr>
        <w:t xml:space="preserve"> </w:t>
      </w:r>
      <w:r w:rsidRPr="00B5080E">
        <w:rPr>
          <w:rFonts w:hint="eastAsia"/>
          <w:rtl/>
        </w:rPr>
        <w:t>ف</w:t>
      </w:r>
      <w:r w:rsidRPr="00B5080E">
        <w:rPr>
          <w:rFonts w:hint="cs"/>
          <w:rtl/>
        </w:rPr>
        <w:t xml:space="preserve">ي </w:t>
      </w:r>
      <w:r w:rsidRPr="00B5080E">
        <w:rPr>
          <w:rtl/>
        </w:rPr>
        <w:t>‏</w:t>
      </w:r>
      <w:r w:rsidRPr="00B5080E">
        <w:rPr>
          <w:rFonts w:hint="eastAsia"/>
          <w:rtl/>
        </w:rPr>
        <w:t>شرح</w:t>
      </w:r>
      <w:r w:rsidRPr="00B5080E">
        <w:rPr>
          <w:rtl/>
        </w:rPr>
        <w:t xml:space="preserve"> </w:t>
      </w:r>
      <w:r w:rsidRPr="00B5080E">
        <w:rPr>
          <w:rFonts w:hint="eastAsia"/>
          <w:rtl/>
        </w:rPr>
        <w:t>شرايع</w:t>
      </w:r>
      <w:r w:rsidRPr="00B5080E">
        <w:rPr>
          <w:rtl/>
        </w:rPr>
        <w:t xml:space="preserve"> </w:t>
      </w:r>
      <w:r w:rsidRPr="00B5080E">
        <w:rPr>
          <w:rFonts w:hint="eastAsia"/>
          <w:rtl/>
        </w:rPr>
        <w:t>ال</w:t>
      </w:r>
      <w:r w:rsidRPr="00B5080E">
        <w:rPr>
          <w:rFonts w:hint="cs"/>
          <w:rtl/>
        </w:rPr>
        <w:t>إ</w:t>
      </w:r>
      <w:r w:rsidRPr="00B5080E">
        <w:rPr>
          <w:rFonts w:hint="eastAsia"/>
          <w:rtl/>
        </w:rPr>
        <w:t>سلام،</w:t>
      </w:r>
      <w:r w:rsidRPr="00B5080E">
        <w:rPr>
          <w:rtl/>
        </w:rPr>
        <w:t xml:space="preserve"> 2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الشهيد</w:t>
      </w:r>
      <w:r w:rsidRPr="00B5080E">
        <w:rPr>
          <w:rtl/>
        </w:rPr>
        <w:t xml:space="preserve"> </w:t>
      </w:r>
      <w:r w:rsidRPr="00B5080E">
        <w:rPr>
          <w:rFonts w:hint="eastAsia"/>
          <w:rtl/>
        </w:rPr>
        <w:t>الثاني</w:t>
      </w:r>
      <w:r w:rsidRPr="00B5080E">
        <w:rPr>
          <w:rFonts w:hint="cs"/>
          <w:rtl/>
        </w:rPr>
        <w:t xml:space="preserve"> </w:t>
      </w:r>
      <w:r w:rsidRPr="00B5080E">
        <w:rPr>
          <w:rtl/>
        </w:rPr>
        <w:t>(</w:t>
      </w:r>
      <w:r w:rsidRPr="00B5080E">
        <w:rPr>
          <w:rFonts w:hint="eastAsia"/>
          <w:rtl/>
        </w:rPr>
        <w:t>الشيخ</w:t>
      </w:r>
      <w:r w:rsidRPr="00B5080E">
        <w:rPr>
          <w:rtl/>
        </w:rPr>
        <w:t xml:space="preserve"> </w:t>
      </w:r>
      <w:r w:rsidRPr="00B5080E">
        <w:rPr>
          <w:rFonts w:hint="eastAsia"/>
          <w:rtl/>
        </w:rPr>
        <w:t>زين</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العاملي</w:t>
      </w:r>
      <w:r w:rsidRPr="00B5080E">
        <w:rPr>
          <w:rtl/>
        </w:rPr>
        <w:t>)</w:t>
      </w:r>
      <w:r w:rsidRPr="00B5080E">
        <w:rPr>
          <w:rFonts w:hint="eastAsia"/>
          <w:rtl/>
        </w:rPr>
        <w:t>،</w:t>
      </w:r>
      <w:r w:rsidRPr="00B5080E">
        <w:rPr>
          <w:rtl/>
        </w:rPr>
        <w:t xml:space="preserve"> </w:t>
      </w:r>
      <w:r w:rsidRPr="00B5080E">
        <w:rPr>
          <w:rFonts w:hint="eastAsia"/>
          <w:rtl/>
        </w:rPr>
        <w:t>منية</w:t>
      </w:r>
      <w:r w:rsidRPr="00B5080E">
        <w:rPr>
          <w:rtl/>
        </w:rPr>
        <w:t xml:space="preserve"> </w:t>
      </w:r>
      <w:r w:rsidRPr="00B5080E">
        <w:rPr>
          <w:rFonts w:hint="eastAsia"/>
          <w:rtl/>
        </w:rPr>
        <w:t>المريد،</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الشيخ</w:t>
      </w:r>
      <w:r w:rsidRPr="00B5080E">
        <w:rPr>
          <w:rFonts w:hint="cs"/>
          <w:rtl/>
        </w:rPr>
        <w:t xml:space="preserve"> </w:t>
      </w:r>
      <w:r w:rsidRPr="00B5080E">
        <w:rPr>
          <w:rtl/>
        </w:rPr>
        <w:t>‏</w:t>
      </w:r>
      <w:r w:rsidRPr="00B5080E">
        <w:rPr>
          <w:rFonts w:hint="eastAsia"/>
          <w:rtl/>
        </w:rPr>
        <w:t>رضا</w:t>
      </w:r>
      <w:r w:rsidRPr="00B5080E">
        <w:rPr>
          <w:rtl/>
        </w:rPr>
        <w:t xml:space="preserve"> </w:t>
      </w:r>
      <w:r w:rsidRPr="00B5080E">
        <w:rPr>
          <w:rFonts w:hint="eastAsia"/>
          <w:rtl/>
        </w:rPr>
        <w:t>مختار</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1409</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eastAsia"/>
          <w:rtl/>
        </w:rPr>
        <w:t>الشيرازي،</w:t>
      </w:r>
      <w:r w:rsidRPr="00B5080E">
        <w:rPr>
          <w:rtl/>
        </w:rPr>
        <w:t xml:space="preserve"> </w:t>
      </w:r>
      <w:r w:rsidRPr="00B5080E">
        <w:rPr>
          <w:rFonts w:hint="eastAsia"/>
          <w:rtl/>
        </w:rPr>
        <w:t>كتاب</w:t>
      </w:r>
      <w:r w:rsidRPr="00B5080E">
        <w:rPr>
          <w:rtl/>
        </w:rPr>
        <w:t xml:space="preserve"> </w:t>
      </w:r>
      <w:r w:rsidRPr="00B5080E">
        <w:rPr>
          <w:rFonts w:hint="eastAsia"/>
          <w:rtl/>
        </w:rPr>
        <w:t>القضاء،</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صابر</w:t>
      </w:r>
      <w:r w:rsidRPr="00B5080E">
        <w:rPr>
          <w:rFonts w:hint="cs"/>
          <w:rtl/>
        </w:rPr>
        <w:t>ي</w:t>
      </w:r>
      <w:r w:rsidRPr="00B5080E">
        <w:rPr>
          <w:rtl/>
        </w:rPr>
        <w:t xml:space="preserve"> </w:t>
      </w:r>
      <w:r w:rsidRPr="00B5080E">
        <w:rPr>
          <w:rFonts w:hint="eastAsia"/>
          <w:rtl/>
        </w:rPr>
        <w:t>الهمداني،</w:t>
      </w:r>
      <w:r w:rsidRPr="00B5080E">
        <w:rPr>
          <w:rtl/>
        </w:rPr>
        <w:t xml:space="preserve"> </w:t>
      </w:r>
      <w:r w:rsidRPr="00B5080E">
        <w:rPr>
          <w:rFonts w:hint="eastAsia"/>
          <w:rtl/>
        </w:rPr>
        <w:t>الهداية</w:t>
      </w:r>
      <w:r w:rsidRPr="00B5080E">
        <w:rPr>
          <w:rtl/>
        </w:rPr>
        <w:t xml:space="preserve"> </w:t>
      </w:r>
      <w:r w:rsidRPr="00B5080E">
        <w:rPr>
          <w:rFonts w:hint="cs"/>
          <w:rtl/>
        </w:rPr>
        <w:t>إ</w:t>
      </w:r>
      <w:r w:rsidRPr="00B5080E">
        <w:rPr>
          <w:rFonts w:hint="eastAsia"/>
          <w:rtl/>
        </w:rPr>
        <w:t>لى</w:t>
      </w:r>
      <w:r w:rsidRPr="00B5080E">
        <w:rPr>
          <w:rtl/>
        </w:rPr>
        <w:t xml:space="preserve"> </w:t>
      </w:r>
      <w:r w:rsidRPr="00B5080E">
        <w:rPr>
          <w:rFonts w:hint="eastAsia"/>
          <w:rtl/>
        </w:rPr>
        <w:t>م</w:t>
      </w:r>
      <w:r w:rsidRPr="00B5080E">
        <w:rPr>
          <w:rFonts w:hint="cs"/>
          <w:rtl/>
        </w:rPr>
        <w:t>َ</w:t>
      </w:r>
      <w:r w:rsidRPr="00B5080E">
        <w:rPr>
          <w:rFonts w:hint="eastAsia"/>
          <w:rtl/>
        </w:rPr>
        <w:t>ن</w:t>
      </w:r>
      <w:r w:rsidRPr="00B5080E">
        <w:rPr>
          <w:rFonts w:hint="cs"/>
          <w:rtl/>
        </w:rPr>
        <w:t>ْ</w:t>
      </w:r>
      <w:r w:rsidRPr="00B5080E">
        <w:rPr>
          <w:rtl/>
        </w:rPr>
        <w:t xml:space="preserve"> </w:t>
      </w:r>
      <w:r w:rsidRPr="00B5080E">
        <w:rPr>
          <w:rFonts w:hint="eastAsia"/>
          <w:rtl/>
        </w:rPr>
        <w:t>له</w:t>
      </w:r>
      <w:r w:rsidRPr="00B5080E">
        <w:rPr>
          <w:rtl/>
        </w:rPr>
        <w:t xml:space="preserve"> </w:t>
      </w:r>
      <w:r w:rsidRPr="00B5080E">
        <w:rPr>
          <w:rFonts w:hint="eastAsia"/>
          <w:rtl/>
        </w:rPr>
        <w:t>الولاية،</w:t>
      </w:r>
      <w:r w:rsidRPr="00B5080E">
        <w:rPr>
          <w:rtl/>
        </w:rPr>
        <w:t xml:space="preserve"> </w:t>
      </w:r>
      <w:r w:rsidRPr="00B5080E">
        <w:rPr>
          <w:rFonts w:hint="eastAsia"/>
          <w:rtl/>
        </w:rPr>
        <w:t>تقرير</w:t>
      </w:r>
      <w:r w:rsidRPr="00B5080E">
        <w:rPr>
          <w:rtl/>
        </w:rPr>
        <w:t xml:space="preserve"> </w:t>
      </w:r>
      <w:r w:rsidRPr="00B5080E">
        <w:rPr>
          <w:rFonts w:hint="cs"/>
          <w:rtl/>
        </w:rPr>
        <w:t>أب</w:t>
      </w:r>
      <w:r w:rsidRPr="00B5080E">
        <w:rPr>
          <w:rFonts w:hint="eastAsia"/>
          <w:rtl/>
        </w:rPr>
        <w:t>حاث</w:t>
      </w:r>
      <w:r w:rsidRPr="00B5080E">
        <w:rPr>
          <w:rtl/>
        </w:rPr>
        <w:t xml:space="preserve"> </w:t>
      </w:r>
      <w:r w:rsidRPr="00B5080E">
        <w:rPr>
          <w:rFonts w:hint="eastAsia"/>
          <w:rtl/>
        </w:rPr>
        <w:t>السيد</w:t>
      </w:r>
      <w:r w:rsidRPr="00B5080E">
        <w:rPr>
          <w:rFonts w:hint="cs"/>
          <w:rtl/>
        </w:rPr>
        <w:t xml:space="preserve"> </w:t>
      </w:r>
      <w:r w:rsidRPr="00B5080E">
        <w:rPr>
          <w:rFonts w:hint="eastAsia"/>
          <w:rtl/>
        </w:rPr>
        <w:t>محمّد</w:t>
      </w:r>
      <w:r w:rsidRPr="00B5080E">
        <w:rPr>
          <w:rFonts w:hint="cs"/>
          <w:rtl/>
        </w:rPr>
        <w:t xml:space="preserve"> </w:t>
      </w:r>
      <w:r w:rsidRPr="00B5080E">
        <w:rPr>
          <w:rFonts w:hint="eastAsia"/>
          <w:rtl/>
        </w:rPr>
        <w:t>رضا</w:t>
      </w:r>
      <w:r w:rsidRPr="00B5080E">
        <w:rPr>
          <w:rtl/>
        </w:rPr>
        <w:t xml:space="preserve"> </w:t>
      </w:r>
      <w:r w:rsidRPr="00B5080E">
        <w:rPr>
          <w:rFonts w:hint="eastAsia"/>
          <w:rtl/>
        </w:rPr>
        <w:t>الموسوي</w:t>
      </w:r>
      <w:r w:rsidRPr="00B5080E">
        <w:rPr>
          <w:rtl/>
        </w:rPr>
        <w:t xml:space="preserve"> </w:t>
      </w:r>
      <w:r w:rsidRPr="00B5080E">
        <w:rPr>
          <w:rFonts w:hint="eastAsia"/>
          <w:rtl/>
        </w:rPr>
        <w:t>الگلبايگاني،</w:t>
      </w:r>
      <w:r w:rsidRPr="00B5080E">
        <w:rPr>
          <w:rtl/>
        </w:rPr>
        <w:t xml:space="preserve"> (</w:t>
      </w:r>
      <w:r w:rsidRPr="00B5080E">
        <w:rPr>
          <w:rFonts w:hint="eastAsia"/>
          <w:rtl/>
        </w:rPr>
        <w:t>قم،</w:t>
      </w:r>
      <w:r w:rsidRPr="00B5080E">
        <w:rPr>
          <w:rtl/>
        </w:rPr>
        <w:t xml:space="preserve"> 1383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لطف</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صاف</w:t>
      </w:r>
      <w:r w:rsidRPr="00B5080E">
        <w:rPr>
          <w:rFonts w:hint="cs"/>
          <w:rtl/>
        </w:rPr>
        <w:t>ي</w:t>
      </w:r>
      <w:r w:rsidRPr="00B5080E">
        <w:rPr>
          <w:rtl/>
        </w:rPr>
        <w:t xml:space="preserve"> </w:t>
      </w:r>
      <w:r w:rsidRPr="00B5080E">
        <w:rPr>
          <w:rFonts w:hint="eastAsia"/>
          <w:rtl/>
        </w:rPr>
        <w:t>الگلبايگاني،</w:t>
      </w:r>
      <w:r w:rsidRPr="00B5080E">
        <w:rPr>
          <w:rtl/>
        </w:rPr>
        <w:t xml:space="preserve"> </w:t>
      </w:r>
      <w:r w:rsidRPr="00B5080E">
        <w:rPr>
          <w:rFonts w:hint="eastAsia"/>
          <w:rtl/>
        </w:rPr>
        <w:t>ضرورة</w:t>
      </w:r>
      <w:r w:rsidRPr="00B5080E">
        <w:rPr>
          <w:rtl/>
        </w:rPr>
        <w:t xml:space="preserve"> </w:t>
      </w:r>
      <w:r w:rsidRPr="00B5080E">
        <w:rPr>
          <w:rFonts w:hint="eastAsia"/>
          <w:rtl/>
        </w:rPr>
        <w:t>وجود</w:t>
      </w:r>
      <w:r w:rsidRPr="00B5080E">
        <w:rPr>
          <w:rtl/>
        </w:rPr>
        <w:t xml:space="preserve"> </w:t>
      </w:r>
      <w:r w:rsidRPr="00B5080E">
        <w:rPr>
          <w:rFonts w:hint="eastAsia"/>
          <w:rtl/>
        </w:rPr>
        <w:t>الحكومة</w:t>
      </w:r>
      <w:r w:rsidRPr="00B5080E">
        <w:rPr>
          <w:rtl/>
        </w:rPr>
        <w:t xml:space="preserve"> </w:t>
      </w:r>
      <w:r w:rsidRPr="00B5080E">
        <w:rPr>
          <w:rFonts w:hint="cs"/>
          <w:rtl/>
        </w:rPr>
        <w:t>أ</w:t>
      </w:r>
      <w:r w:rsidRPr="00B5080E">
        <w:rPr>
          <w:rFonts w:hint="eastAsia"/>
          <w:rtl/>
        </w:rPr>
        <w:t>و</w:t>
      </w:r>
      <w:r w:rsidRPr="00B5080E">
        <w:rPr>
          <w:rtl/>
        </w:rPr>
        <w:t xml:space="preserve"> </w:t>
      </w:r>
      <w:r w:rsidRPr="00B5080E">
        <w:rPr>
          <w:rFonts w:hint="eastAsia"/>
          <w:rtl/>
        </w:rPr>
        <w:t>ولاية</w:t>
      </w:r>
      <w:r w:rsidRPr="00B5080E">
        <w:rPr>
          <w:rtl/>
        </w:rPr>
        <w:t xml:space="preserve"> </w:t>
      </w:r>
      <w:r w:rsidRPr="00B5080E">
        <w:rPr>
          <w:rFonts w:hint="eastAsia"/>
          <w:rtl/>
        </w:rPr>
        <w:t>الفقهاء</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عصر</w:t>
      </w:r>
      <w:r w:rsidRPr="00B5080E">
        <w:rPr>
          <w:rtl/>
        </w:rPr>
        <w:t xml:space="preserve"> </w:t>
      </w:r>
      <w:r w:rsidRPr="00B5080E">
        <w:rPr>
          <w:rFonts w:hint="eastAsia"/>
          <w:rtl/>
        </w:rPr>
        <w:t>الغ</w:t>
      </w:r>
      <w:r w:rsidRPr="00B5080E">
        <w:rPr>
          <w:rFonts w:hint="cs"/>
          <w:rtl/>
        </w:rPr>
        <w:t>َ</w:t>
      </w:r>
      <w:r w:rsidRPr="00B5080E">
        <w:rPr>
          <w:rFonts w:hint="eastAsia"/>
          <w:rtl/>
        </w:rPr>
        <w:t>ي</w:t>
      </w:r>
      <w:r w:rsidRPr="00B5080E">
        <w:rPr>
          <w:rFonts w:hint="cs"/>
          <w:rtl/>
        </w:rPr>
        <w:t>ْ</w:t>
      </w:r>
      <w:r w:rsidRPr="00B5080E">
        <w:rPr>
          <w:rFonts w:hint="eastAsia"/>
          <w:rtl/>
        </w:rPr>
        <w:t>بة،</w:t>
      </w:r>
      <w:r w:rsidRPr="00B5080E">
        <w:rPr>
          <w:rtl/>
        </w:rPr>
        <w:t xml:space="preserve"> (</w:t>
      </w:r>
      <w:r w:rsidRPr="00B5080E">
        <w:rPr>
          <w:rFonts w:hint="eastAsia"/>
          <w:rtl/>
        </w:rPr>
        <w:t>قم،</w:t>
      </w:r>
      <w:r w:rsidRPr="00B5080E">
        <w:rPr>
          <w:rtl/>
        </w:rPr>
        <w:t xml:space="preserve"> 1415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محمّد</w:t>
      </w:r>
      <w:r w:rsidRPr="00B5080E">
        <w:rPr>
          <w:rtl/>
        </w:rPr>
        <w:t xml:space="preserve"> </w:t>
      </w:r>
      <w:r w:rsidRPr="00B5080E">
        <w:rPr>
          <w:rFonts w:hint="eastAsia"/>
          <w:rtl/>
        </w:rPr>
        <w:t>باقر</w:t>
      </w:r>
      <w:r w:rsidRPr="00B5080E">
        <w:rPr>
          <w:rtl/>
        </w:rPr>
        <w:t xml:space="preserve"> </w:t>
      </w:r>
      <w:r w:rsidRPr="00B5080E">
        <w:rPr>
          <w:rFonts w:hint="eastAsia"/>
          <w:rtl/>
        </w:rPr>
        <w:t>الصدر،</w:t>
      </w:r>
      <w:r w:rsidRPr="00B5080E">
        <w:rPr>
          <w:rtl/>
        </w:rPr>
        <w:t xml:space="preserve"> </w:t>
      </w:r>
      <w:r w:rsidRPr="00B5080E">
        <w:rPr>
          <w:rFonts w:hint="eastAsia"/>
          <w:rtl/>
        </w:rPr>
        <w:t>ال</w:t>
      </w:r>
      <w:r w:rsidRPr="00B5080E">
        <w:rPr>
          <w:rFonts w:hint="cs"/>
          <w:rtl/>
        </w:rPr>
        <w:t>إ</w:t>
      </w:r>
      <w:r w:rsidRPr="00B5080E">
        <w:rPr>
          <w:rFonts w:hint="eastAsia"/>
          <w:rtl/>
        </w:rPr>
        <w:t>سلام</w:t>
      </w:r>
      <w:r w:rsidRPr="00B5080E">
        <w:rPr>
          <w:rtl/>
        </w:rPr>
        <w:t xml:space="preserve"> </w:t>
      </w:r>
      <w:r w:rsidRPr="00B5080E">
        <w:rPr>
          <w:rFonts w:hint="eastAsia"/>
          <w:rtl/>
        </w:rPr>
        <w:t>يقود</w:t>
      </w:r>
      <w:r w:rsidRPr="00B5080E">
        <w:rPr>
          <w:rtl/>
        </w:rPr>
        <w:t xml:space="preserve"> </w:t>
      </w:r>
      <w:r w:rsidRPr="00B5080E">
        <w:rPr>
          <w:rFonts w:hint="eastAsia"/>
          <w:rtl/>
        </w:rPr>
        <w:t>الحياة،</w:t>
      </w:r>
      <w:r w:rsidRPr="00B5080E">
        <w:rPr>
          <w:rtl/>
        </w:rPr>
        <w:t xml:space="preserve"> (</w:t>
      </w:r>
      <w:r w:rsidRPr="00B5080E">
        <w:rPr>
          <w:rFonts w:hint="eastAsia"/>
          <w:rtl/>
        </w:rPr>
        <w:t>بيروت،</w:t>
      </w:r>
      <w:r w:rsidRPr="00B5080E">
        <w:rPr>
          <w:rtl/>
        </w:rPr>
        <w:t xml:space="preserve"> 1399</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الصدوق،</w:t>
      </w:r>
      <w:r w:rsidRPr="00B5080E">
        <w:rPr>
          <w:rtl/>
        </w:rPr>
        <w:t xml:space="preserve"> </w:t>
      </w:r>
      <w:r w:rsidRPr="00B5080E">
        <w:rPr>
          <w:rFonts w:hint="cs"/>
          <w:rtl/>
        </w:rPr>
        <w:t>إ</w:t>
      </w:r>
      <w:r w:rsidRPr="00B5080E">
        <w:rPr>
          <w:rFonts w:hint="eastAsia"/>
          <w:rtl/>
        </w:rPr>
        <w:t>كمال</w:t>
      </w:r>
      <w:r w:rsidRPr="00B5080E">
        <w:rPr>
          <w:rtl/>
        </w:rPr>
        <w:t xml:space="preserve"> </w:t>
      </w:r>
      <w:r w:rsidRPr="00B5080E">
        <w:rPr>
          <w:rFonts w:hint="eastAsia"/>
          <w:rtl/>
        </w:rPr>
        <w:t>الدين</w:t>
      </w:r>
      <w:r w:rsidRPr="00B5080E">
        <w:rPr>
          <w:rtl/>
        </w:rPr>
        <w:t xml:space="preserve"> </w:t>
      </w:r>
      <w:r w:rsidRPr="00B5080E">
        <w:rPr>
          <w:rFonts w:hint="eastAsia"/>
          <w:rtl/>
        </w:rPr>
        <w:t>و</w:t>
      </w:r>
      <w:r w:rsidRPr="00B5080E">
        <w:rPr>
          <w:rFonts w:hint="cs"/>
          <w:rtl/>
        </w:rPr>
        <w:t>إ</w:t>
      </w:r>
      <w:r w:rsidRPr="00B5080E">
        <w:rPr>
          <w:rFonts w:hint="eastAsia"/>
          <w:rtl/>
        </w:rPr>
        <w:t>تمام</w:t>
      </w:r>
      <w:r w:rsidRPr="00B5080E">
        <w:rPr>
          <w:rtl/>
        </w:rPr>
        <w:t xml:space="preserve"> </w:t>
      </w:r>
      <w:r w:rsidRPr="00B5080E">
        <w:rPr>
          <w:rFonts w:hint="eastAsia"/>
          <w:rtl/>
        </w:rPr>
        <w:t>النعمة،</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cs"/>
          <w:rtl/>
        </w:rPr>
        <w:t>أ</w:t>
      </w:r>
      <w:r w:rsidRPr="00B5080E">
        <w:rPr>
          <w:rFonts w:hint="eastAsia"/>
          <w:rtl/>
        </w:rPr>
        <w:t>كبر</w:t>
      </w:r>
      <w:r w:rsidRPr="00B5080E">
        <w:rPr>
          <w:rtl/>
        </w:rPr>
        <w:t xml:space="preserve"> </w:t>
      </w:r>
      <w:r w:rsidRPr="00B5080E">
        <w:rPr>
          <w:rFonts w:hint="eastAsia"/>
          <w:rtl/>
        </w:rPr>
        <w:t>غفاري،</w:t>
      </w:r>
      <w:r w:rsidRPr="00B5080E">
        <w:rPr>
          <w:rtl/>
        </w:rPr>
        <w:t xml:space="preserve"> (</w:t>
      </w:r>
      <w:r w:rsidRPr="00B5080E">
        <w:rPr>
          <w:rFonts w:hint="eastAsia"/>
          <w:rtl/>
        </w:rPr>
        <w:t>قم،</w:t>
      </w:r>
      <w:r w:rsidRPr="00B5080E">
        <w:rPr>
          <w:rtl/>
        </w:rPr>
        <w:t xml:space="preserve"> 1405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الصدوق،</w:t>
      </w:r>
      <w:r w:rsidRPr="00B5080E">
        <w:rPr>
          <w:rtl/>
        </w:rPr>
        <w:t xml:space="preserve"> </w:t>
      </w:r>
      <w:r w:rsidRPr="00B5080E">
        <w:rPr>
          <w:rFonts w:hint="eastAsia"/>
          <w:rtl/>
        </w:rPr>
        <w:t>ال</w:t>
      </w:r>
      <w:r w:rsidRPr="00B5080E">
        <w:rPr>
          <w:rFonts w:hint="cs"/>
          <w:rtl/>
        </w:rPr>
        <w:t>أ</w:t>
      </w:r>
      <w:r w:rsidRPr="00B5080E">
        <w:rPr>
          <w:rFonts w:hint="eastAsia"/>
          <w:rtl/>
        </w:rPr>
        <w:t>مال</w:t>
      </w:r>
      <w:r w:rsidRPr="00B5080E">
        <w:rPr>
          <w:rFonts w:hint="cs"/>
          <w:rtl/>
        </w:rPr>
        <w:t>ي</w:t>
      </w:r>
      <w:r w:rsidRPr="00B5080E">
        <w:rPr>
          <w:rFonts w:hint="eastAsia"/>
          <w:rtl/>
        </w:rPr>
        <w:t>،</w:t>
      </w:r>
      <w:r w:rsidRPr="00B5080E">
        <w:rPr>
          <w:rtl/>
        </w:rPr>
        <w:t xml:space="preserve"> </w:t>
      </w:r>
      <w:r w:rsidRPr="00B5080E">
        <w:rPr>
          <w:rFonts w:hint="eastAsia"/>
          <w:rtl/>
        </w:rPr>
        <w:t>تحقيق</w:t>
      </w:r>
      <w:r w:rsidRPr="00B5080E">
        <w:rPr>
          <w:rtl/>
        </w:rPr>
        <w:t xml:space="preserve"> </w:t>
      </w:r>
      <w:r w:rsidRPr="00B5080E">
        <w:rPr>
          <w:rFonts w:hint="eastAsia"/>
          <w:rtl/>
        </w:rPr>
        <w:t>مؤسسة</w:t>
      </w:r>
      <w:r w:rsidRPr="00B5080E">
        <w:rPr>
          <w:rtl/>
        </w:rPr>
        <w:t xml:space="preserve"> </w:t>
      </w:r>
      <w:r w:rsidRPr="00B5080E">
        <w:rPr>
          <w:rFonts w:hint="eastAsia"/>
          <w:rtl/>
        </w:rPr>
        <w:t>البعثة</w:t>
      </w:r>
      <w:r w:rsidRPr="00B5080E">
        <w:rPr>
          <w:rtl/>
        </w:rPr>
        <w:t xml:space="preserve"> (</w:t>
      </w:r>
      <w:r w:rsidRPr="00B5080E">
        <w:rPr>
          <w:rFonts w:hint="eastAsia"/>
          <w:rtl/>
        </w:rPr>
        <w:t>طهران،</w:t>
      </w:r>
      <w:r w:rsidRPr="00B5080E">
        <w:rPr>
          <w:rtl/>
        </w:rPr>
        <w:t xml:space="preserve"> 1417</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الصدوق،</w:t>
      </w:r>
      <w:r w:rsidRPr="00B5080E">
        <w:rPr>
          <w:rtl/>
        </w:rPr>
        <w:t xml:space="preserve"> </w:t>
      </w:r>
      <w:r w:rsidRPr="00B5080E">
        <w:rPr>
          <w:rFonts w:hint="eastAsia"/>
          <w:rtl/>
        </w:rPr>
        <w:t>ثواب</w:t>
      </w:r>
      <w:r w:rsidRPr="00B5080E">
        <w:rPr>
          <w:rtl/>
        </w:rPr>
        <w:t xml:space="preserve"> </w:t>
      </w:r>
      <w:r w:rsidRPr="00B5080E">
        <w:rPr>
          <w:rFonts w:hint="eastAsia"/>
          <w:rtl/>
        </w:rPr>
        <w:t>ال</w:t>
      </w:r>
      <w:r w:rsidRPr="00B5080E">
        <w:rPr>
          <w:rFonts w:hint="cs"/>
          <w:rtl/>
        </w:rPr>
        <w:t>أ</w:t>
      </w:r>
      <w:r w:rsidRPr="00B5080E">
        <w:rPr>
          <w:rFonts w:hint="eastAsia"/>
          <w:rtl/>
        </w:rPr>
        <w:t>عمال</w:t>
      </w:r>
      <w:r w:rsidRPr="00B5080E">
        <w:rPr>
          <w:rtl/>
        </w:rPr>
        <w:t xml:space="preserve"> </w:t>
      </w:r>
      <w:r w:rsidRPr="00B5080E">
        <w:rPr>
          <w:rFonts w:hint="eastAsia"/>
          <w:rtl/>
        </w:rPr>
        <w:t>وعقاب</w:t>
      </w:r>
      <w:r w:rsidRPr="00B5080E">
        <w:rPr>
          <w:rtl/>
        </w:rPr>
        <w:t xml:space="preserve"> </w:t>
      </w:r>
      <w:r w:rsidRPr="00B5080E">
        <w:rPr>
          <w:rFonts w:hint="eastAsia"/>
          <w:rtl/>
        </w:rPr>
        <w:t>ال</w:t>
      </w:r>
      <w:r w:rsidRPr="00B5080E">
        <w:rPr>
          <w:rFonts w:hint="cs"/>
          <w:rtl/>
        </w:rPr>
        <w:t>أ</w:t>
      </w:r>
      <w:r w:rsidRPr="00B5080E">
        <w:rPr>
          <w:rFonts w:hint="eastAsia"/>
          <w:rtl/>
        </w:rPr>
        <w:t>عمال،</w:t>
      </w:r>
      <w:r w:rsidRPr="00B5080E">
        <w:rPr>
          <w:rtl/>
        </w:rPr>
        <w:t xml:space="preserve"> </w:t>
      </w:r>
      <w:r w:rsidRPr="00B5080E">
        <w:rPr>
          <w:rFonts w:hint="eastAsia"/>
          <w:rtl/>
        </w:rPr>
        <w:t>الطبعة</w:t>
      </w:r>
      <w:r w:rsidRPr="00B5080E">
        <w:rPr>
          <w:rtl/>
        </w:rPr>
        <w:t xml:space="preserve"> </w:t>
      </w:r>
      <w:r w:rsidRPr="00B5080E">
        <w:rPr>
          <w:rFonts w:hint="eastAsia"/>
          <w:rtl/>
        </w:rPr>
        <w:t>الثانية،</w:t>
      </w:r>
      <w:r w:rsidRPr="00B5080E">
        <w:rPr>
          <w:rtl/>
        </w:rPr>
        <w:t xml:space="preserve"> (</w:t>
      </w:r>
      <w:r w:rsidRPr="00B5080E">
        <w:rPr>
          <w:rFonts w:hint="eastAsia"/>
          <w:rtl/>
        </w:rPr>
        <w:t>قم،</w:t>
      </w:r>
      <w:r w:rsidRPr="00B5080E">
        <w:rPr>
          <w:rtl/>
        </w:rPr>
        <w:t xml:space="preserve"> 1364</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الصدوق،</w:t>
      </w:r>
      <w:r w:rsidRPr="00B5080E">
        <w:rPr>
          <w:rtl/>
        </w:rPr>
        <w:t xml:space="preserve"> </w:t>
      </w:r>
      <w:r w:rsidRPr="00B5080E">
        <w:rPr>
          <w:rFonts w:hint="eastAsia"/>
          <w:rtl/>
        </w:rPr>
        <w:t>عيون</w:t>
      </w:r>
      <w:r w:rsidRPr="00B5080E">
        <w:rPr>
          <w:rtl/>
        </w:rPr>
        <w:t xml:space="preserve"> </w:t>
      </w:r>
      <w:r w:rsidRPr="00B5080E">
        <w:rPr>
          <w:rFonts w:hint="cs"/>
          <w:rtl/>
        </w:rPr>
        <w:t>أ</w:t>
      </w:r>
      <w:r w:rsidRPr="00B5080E">
        <w:rPr>
          <w:rFonts w:hint="eastAsia"/>
          <w:rtl/>
        </w:rPr>
        <w:t>خبار</w:t>
      </w:r>
      <w:r w:rsidRPr="00B5080E">
        <w:rPr>
          <w:rtl/>
        </w:rPr>
        <w:t xml:space="preserve"> </w:t>
      </w:r>
      <w:r w:rsidRPr="00B5080E">
        <w:rPr>
          <w:rFonts w:hint="eastAsia"/>
          <w:rtl/>
        </w:rPr>
        <w:t>الرضا</w:t>
      </w:r>
      <w:r w:rsidRPr="00B5080E">
        <w:rPr>
          <w:rFonts w:hint="cs"/>
          <w:rtl/>
        </w:rPr>
        <w:t>×</w:t>
      </w:r>
      <w:r w:rsidRPr="00B5080E">
        <w:rPr>
          <w:rFonts w:hint="eastAsia"/>
          <w:rtl/>
        </w:rPr>
        <w:t>،</w:t>
      </w:r>
      <w:r w:rsidRPr="00B5080E">
        <w:rPr>
          <w:rtl/>
        </w:rPr>
        <w:t xml:space="preserve"> (</w:t>
      </w:r>
      <w:r w:rsidRPr="00B5080E">
        <w:rPr>
          <w:rFonts w:hint="eastAsia"/>
          <w:rtl/>
        </w:rPr>
        <w:t>النجف،</w:t>
      </w:r>
      <w:r w:rsidRPr="00B5080E">
        <w:rPr>
          <w:rtl/>
        </w:rPr>
        <w:t xml:space="preserve"> 1390</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الصدوق،</w:t>
      </w:r>
      <w:r w:rsidRPr="00B5080E">
        <w:rPr>
          <w:rtl/>
        </w:rPr>
        <w:t xml:space="preserve"> </w:t>
      </w:r>
      <w:r w:rsidRPr="00B5080E">
        <w:rPr>
          <w:rFonts w:hint="eastAsia"/>
          <w:rtl/>
        </w:rPr>
        <w:t>معان</w:t>
      </w:r>
      <w:r w:rsidRPr="00B5080E">
        <w:rPr>
          <w:rFonts w:hint="cs"/>
          <w:rtl/>
        </w:rPr>
        <w:t>ي</w:t>
      </w:r>
      <w:r w:rsidRPr="00B5080E">
        <w:rPr>
          <w:rtl/>
        </w:rPr>
        <w:t xml:space="preserve"> </w:t>
      </w:r>
      <w:r w:rsidRPr="00B5080E">
        <w:rPr>
          <w:rFonts w:hint="eastAsia"/>
          <w:rtl/>
        </w:rPr>
        <w:t>ال</w:t>
      </w:r>
      <w:r w:rsidRPr="00B5080E">
        <w:rPr>
          <w:rFonts w:hint="cs"/>
          <w:rtl/>
        </w:rPr>
        <w:t>أ</w:t>
      </w:r>
      <w:r w:rsidRPr="00B5080E">
        <w:rPr>
          <w:rFonts w:hint="eastAsia"/>
          <w:rtl/>
        </w:rPr>
        <w:t>خبار،</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cs"/>
          <w:rtl/>
        </w:rPr>
        <w:t>أ</w:t>
      </w:r>
      <w:r w:rsidRPr="00B5080E">
        <w:rPr>
          <w:rFonts w:hint="eastAsia"/>
          <w:rtl/>
        </w:rPr>
        <w:t>كبر</w:t>
      </w:r>
      <w:r w:rsidRPr="00B5080E">
        <w:rPr>
          <w:rtl/>
        </w:rPr>
        <w:t xml:space="preserve"> </w:t>
      </w:r>
      <w:r w:rsidRPr="00B5080E">
        <w:rPr>
          <w:rFonts w:hint="eastAsia"/>
          <w:rtl/>
        </w:rPr>
        <w:t>غفاري،</w:t>
      </w:r>
      <w:r w:rsidRPr="00B5080E">
        <w:rPr>
          <w:rtl/>
        </w:rPr>
        <w:t xml:space="preserve"> (</w:t>
      </w:r>
      <w:r w:rsidRPr="00B5080E">
        <w:rPr>
          <w:rFonts w:hint="eastAsia"/>
          <w:rtl/>
        </w:rPr>
        <w:t>بيروت،</w:t>
      </w:r>
      <w:r w:rsidRPr="00B5080E">
        <w:rPr>
          <w:rtl/>
        </w:rPr>
        <w:t xml:space="preserve"> 1399</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الصدوق،</w:t>
      </w:r>
      <w:r w:rsidRPr="00B5080E">
        <w:rPr>
          <w:rtl/>
        </w:rPr>
        <w:t xml:space="preserve"> </w:t>
      </w:r>
      <w:r w:rsidRPr="00B5080E">
        <w:rPr>
          <w:rFonts w:hint="eastAsia"/>
          <w:rtl/>
        </w:rPr>
        <w:t>م</w:t>
      </w:r>
      <w:r w:rsidRPr="00B5080E">
        <w:rPr>
          <w:rFonts w:hint="cs"/>
          <w:rtl/>
        </w:rPr>
        <w:t>َ</w:t>
      </w:r>
      <w:r w:rsidRPr="00B5080E">
        <w:rPr>
          <w:rFonts w:hint="eastAsia"/>
          <w:rtl/>
        </w:rPr>
        <w:t>ن</w:t>
      </w:r>
      <w:r w:rsidRPr="00B5080E">
        <w:rPr>
          <w:rFonts w:hint="cs"/>
          <w:rtl/>
        </w:rPr>
        <w:t>ْ</w:t>
      </w:r>
      <w:r w:rsidRPr="00B5080E">
        <w:rPr>
          <w:rtl/>
        </w:rPr>
        <w:t xml:space="preserve"> </w:t>
      </w:r>
      <w:r w:rsidRPr="00B5080E">
        <w:rPr>
          <w:rFonts w:hint="eastAsia"/>
          <w:rtl/>
        </w:rPr>
        <w:t>لايحضره</w:t>
      </w:r>
      <w:r w:rsidRPr="00B5080E">
        <w:rPr>
          <w:rtl/>
        </w:rPr>
        <w:t xml:space="preserve"> </w:t>
      </w:r>
      <w:r w:rsidRPr="00B5080E">
        <w:rPr>
          <w:rFonts w:hint="eastAsia"/>
          <w:rtl/>
        </w:rPr>
        <w:t>الفقيه،</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عل</w:t>
      </w:r>
      <w:r w:rsidRPr="00B5080E">
        <w:rPr>
          <w:rFonts w:hint="cs"/>
          <w:rtl/>
        </w:rPr>
        <w:t xml:space="preserve">ي </w:t>
      </w:r>
      <w:r w:rsidRPr="00B5080E">
        <w:rPr>
          <w:rtl/>
        </w:rPr>
        <w:t>‏</w:t>
      </w:r>
      <w:r w:rsidRPr="00B5080E">
        <w:rPr>
          <w:rFonts w:hint="cs"/>
          <w:rtl/>
        </w:rPr>
        <w:t>أك</w:t>
      </w:r>
      <w:r w:rsidRPr="00B5080E">
        <w:rPr>
          <w:rFonts w:hint="eastAsia"/>
          <w:rtl/>
        </w:rPr>
        <w:t>بر</w:t>
      </w:r>
      <w:r w:rsidRPr="00B5080E">
        <w:rPr>
          <w:rtl/>
        </w:rPr>
        <w:t xml:space="preserve"> </w:t>
      </w:r>
      <w:r w:rsidRPr="00B5080E">
        <w:rPr>
          <w:rFonts w:hint="eastAsia"/>
          <w:rtl/>
        </w:rPr>
        <w:t>غفاري،</w:t>
      </w:r>
      <w:r w:rsidRPr="00B5080E">
        <w:rPr>
          <w:rtl/>
        </w:rPr>
        <w:t xml:space="preserve"> 4 </w:t>
      </w:r>
      <w:r w:rsidRPr="00B5080E">
        <w:rPr>
          <w:rFonts w:hint="eastAsia"/>
          <w:rtl/>
        </w:rPr>
        <w:t>مجلد،</w:t>
      </w:r>
      <w:r w:rsidRPr="00B5080E">
        <w:rPr>
          <w:rtl/>
        </w:rPr>
        <w:t xml:space="preserve"> (</w:t>
      </w:r>
      <w:r w:rsidRPr="00B5080E">
        <w:rPr>
          <w:rFonts w:hint="eastAsia"/>
          <w:rtl/>
        </w:rPr>
        <w:t>طهران،</w:t>
      </w:r>
      <w:r w:rsidRPr="00B5080E">
        <w:rPr>
          <w:rtl/>
        </w:rPr>
        <w:t xml:space="preserve"> 1392</w:t>
      </w:r>
      <w:r w:rsidRPr="00B5080E">
        <w:rPr>
          <w:rFonts w:hint="cs"/>
          <w:rtl/>
        </w:rPr>
        <w:t>هـ</w:t>
      </w:r>
      <w:r w:rsidRPr="00B5080E">
        <w:rPr>
          <w:rtl/>
        </w:rPr>
        <w:t>).</w:t>
      </w:r>
    </w:p>
    <w:p w:rsidR="00EA09EB" w:rsidRPr="00B5080E" w:rsidRDefault="00EA09EB" w:rsidP="00B5080E">
      <w:r w:rsidRPr="00B5080E">
        <w:rPr>
          <w:rFonts w:hint="cs"/>
          <w:rtl/>
        </w:rPr>
        <w:t>ـ 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eastAsia"/>
          <w:rtl/>
        </w:rPr>
        <w:t>بن</w:t>
      </w:r>
      <w:r w:rsidRPr="00B5080E">
        <w:rPr>
          <w:rtl/>
        </w:rPr>
        <w:t xml:space="preserve"> </w:t>
      </w:r>
      <w:r w:rsidRPr="00B5080E">
        <w:rPr>
          <w:rFonts w:hint="eastAsia"/>
          <w:rtl/>
        </w:rPr>
        <w:t>فروخ</w:t>
      </w:r>
      <w:r w:rsidRPr="00B5080E">
        <w:rPr>
          <w:rtl/>
        </w:rPr>
        <w:t xml:space="preserve"> </w:t>
      </w:r>
      <w:r w:rsidRPr="00B5080E">
        <w:rPr>
          <w:rFonts w:hint="cs"/>
          <w:rtl/>
        </w:rPr>
        <w:t>ال</w:t>
      </w:r>
      <w:r w:rsidRPr="00B5080E">
        <w:rPr>
          <w:rFonts w:hint="eastAsia"/>
          <w:rtl/>
        </w:rPr>
        <w:t>صف</w:t>
      </w:r>
      <w:r w:rsidRPr="00B5080E">
        <w:rPr>
          <w:rFonts w:hint="cs"/>
          <w:rtl/>
        </w:rPr>
        <w:t>ّ</w:t>
      </w:r>
      <w:r w:rsidRPr="00B5080E">
        <w:rPr>
          <w:rFonts w:hint="eastAsia"/>
          <w:rtl/>
        </w:rPr>
        <w:t>ار،</w:t>
      </w:r>
      <w:r w:rsidRPr="00B5080E">
        <w:rPr>
          <w:rtl/>
        </w:rPr>
        <w:t xml:space="preserve"> </w:t>
      </w:r>
      <w:r w:rsidRPr="00B5080E">
        <w:rPr>
          <w:rFonts w:hint="eastAsia"/>
          <w:rtl/>
        </w:rPr>
        <w:t>بصائر</w:t>
      </w:r>
      <w:r w:rsidRPr="00B5080E">
        <w:rPr>
          <w:rtl/>
        </w:rPr>
        <w:t xml:space="preserve"> </w:t>
      </w:r>
      <w:r w:rsidRPr="00B5080E">
        <w:rPr>
          <w:rFonts w:hint="eastAsia"/>
          <w:rtl/>
        </w:rPr>
        <w:t>الدرجات</w:t>
      </w:r>
      <w:r w:rsidRPr="00B5080E">
        <w:rPr>
          <w:rtl/>
        </w:rPr>
        <w:t xml:space="preserve"> </w:t>
      </w:r>
      <w:r w:rsidRPr="00B5080E">
        <w:rPr>
          <w:rFonts w:hint="eastAsia"/>
          <w:rtl/>
        </w:rPr>
        <w:t>الكبرى</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فضائل</w:t>
      </w:r>
      <w:r w:rsidRPr="00B5080E">
        <w:rPr>
          <w:rtl/>
        </w:rPr>
        <w:t xml:space="preserve"> </w:t>
      </w:r>
      <w:r w:rsidRPr="00B5080E">
        <w:rPr>
          <w:rFonts w:hint="eastAsia"/>
          <w:rtl/>
        </w:rPr>
        <w:t>آل</w:t>
      </w:r>
      <w:r w:rsidRPr="00B5080E">
        <w:rPr>
          <w:rtl/>
        </w:rPr>
        <w:t xml:space="preserve"> </w:t>
      </w:r>
      <w:r w:rsidRPr="00B5080E">
        <w:rPr>
          <w:rFonts w:hint="eastAsia"/>
          <w:rtl/>
        </w:rPr>
        <w:t>محمّد</w:t>
      </w:r>
      <w:r w:rsidRPr="00B5080E">
        <w:rPr>
          <w:rFonts w:hint="cs"/>
          <w:rtl/>
        </w:rPr>
        <w:sym w:font="Roumouz" w:char="F02D"/>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الميرزا</w:t>
      </w:r>
      <w:r w:rsidRPr="00B5080E">
        <w:rPr>
          <w:rtl/>
        </w:rPr>
        <w:t xml:space="preserve"> </w:t>
      </w:r>
      <w:r w:rsidRPr="00B5080E">
        <w:rPr>
          <w:rFonts w:hint="eastAsia"/>
          <w:rtl/>
        </w:rPr>
        <w:t>محسن</w:t>
      </w:r>
      <w:r w:rsidRPr="00B5080E">
        <w:rPr>
          <w:rtl/>
        </w:rPr>
        <w:t xml:space="preserve"> </w:t>
      </w:r>
      <w:r w:rsidRPr="00B5080E">
        <w:rPr>
          <w:rFonts w:hint="eastAsia"/>
          <w:rtl/>
        </w:rPr>
        <w:t>كوجه</w:t>
      </w:r>
      <w:r w:rsidRPr="00B5080E">
        <w:rPr>
          <w:rtl/>
        </w:rPr>
        <w:t xml:space="preserve"> </w:t>
      </w:r>
      <w:r w:rsidRPr="00B5080E">
        <w:rPr>
          <w:rFonts w:hint="eastAsia"/>
          <w:rtl/>
        </w:rPr>
        <w:t>باغ</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1404</w:t>
      </w:r>
      <w:r w:rsidRPr="00B5080E">
        <w:rPr>
          <w:rFonts w:hint="cs"/>
          <w:rtl/>
        </w:rPr>
        <w:t>هـ</w:t>
      </w:r>
      <w:r w:rsidRPr="00B5080E">
        <w:rPr>
          <w:rtl/>
        </w:rPr>
        <w:t>).</w:t>
      </w:r>
    </w:p>
    <w:p w:rsidR="00EA09EB" w:rsidRPr="00B5080E" w:rsidRDefault="00EA09EB" w:rsidP="00B5080E">
      <w:r w:rsidRPr="00B5080E">
        <w:rPr>
          <w:rFonts w:hint="cs"/>
          <w:rtl/>
        </w:rPr>
        <w:t>ـ ال</w:t>
      </w:r>
      <w:r w:rsidRPr="00B5080E">
        <w:rPr>
          <w:rFonts w:hint="eastAsia"/>
          <w:rtl/>
        </w:rPr>
        <w:t>صهرشت</w:t>
      </w:r>
      <w:r w:rsidRPr="00B5080E">
        <w:rPr>
          <w:rFonts w:hint="cs"/>
          <w:rtl/>
        </w:rPr>
        <w:t>ي</w:t>
      </w:r>
      <w:r w:rsidRPr="00B5080E">
        <w:rPr>
          <w:rFonts w:hint="eastAsia"/>
          <w:rtl/>
        </w:rPr>
        <w:t>،</w:t>
      </w:r>
      <w:r w:rsidRPr="00B5080E">
        <w:rPr>
          <w:rtl/>
        </w:rPr>
        <w:t xml:space="preserve"> </w:t>
      </w:r>
      <w:r w:rsidRPr="00B5080E">
        <w:rPr>
          <w:rFonts w:hint="cs"/>
          <w:rtl/>
        </w:rPr>
        <w:t>إ</w:t>
      </w:r>
      <w:r w:rsidRPr="00B5080E">
        <w:rPr>
          <w:rFonts w:hint="eastAsia"/>
          <w:rtl/>
        </w:rPr>
        <w:t>صباح</w:t>
      </w:r>
      <w:r w:rsidRPr="00B5080E">
        <w:rPr>
          <w:rtl/>
        </w:rPr>
        <w:t xml:space="preserve"> </w:t>
      </w:r>
      <w:r w:rsidRPr="00B5080E">
        <w:rPr>
          <w:rFonts w:hint="eastAsia"/>
          <w:rtl/>
        </w:rPr>
        <w:t>الشيعة</w:t>
      </w:r>
      <w:r w:rsidRPr="00B5080E">
        <w:rPr>
          <w:rtl/>
        </w:rPr>
        <w:t xml:space="preserve"> </w:t>
      </w:r>
      <w:r w:rsidRPr="00B5080E">
        <w:rPr>
          <w:rFonts w:hint="eastAsia"/>
          <w:rtl/>
        </w:rPr>
        <w:t>بمصباح</w:t>
      </w:r>
      <w:r w:rsidRPr="00B5080E">
        <w:rPr>
          <w:rtl/>
        </w:rPr>
        <w:t xml:space="preserve"> </w:t>
      </w:r>
      <w:r w:rsidRPr="00B5080E">
        <w:rPr>
          <w:rFonts w:hint="eastAsia"/>
          <w:rtl/>
        </w:rPr>
        <w:t>الشريعة،</w:t>
      </w:r>
      <w:r w:rsidRPr="00B5080E">
        <w:rPr>
          <w:rtl/>
        </w:rPr>
        <w:t xml:space="preserve"> </w:t>
      </w:r>
      <w:r w:rsidRPr="00B5080E">
        <w:rPr>
          <w:rFonts w:hint="eastAsia"/>
          <w:rtl/>
        </w:rPr>
        <w:t>سلسلة</w:t>
      </w:r>
      <w:r w:rsidRPr="00B5080E">
        <w:rPr>
          <w:rtl/>
        </w:rPr>
        <w:t xml:space="preserve"> </w:t>
      </w:r>
      <w:r w:rsidRPr="00B5080E">
        <w:rPr>
          <w:rFonts w:hint="eastAsia"/>
          <w:rtl/>
        </w:rPr>
        <w:t>الينابيع</w:t>
      </w:r>
      <w:r w:rsidRPr="00B5080E">
        <w:rPr>
          <w:rtl/>
        </w:rPr>
        <w:t xml:space="preserve"> </w:t>
      </w:r>
      <w:r w:rsidRPr="00B5080E">
        <w:rPr>
          <w:rFonts w:hint="eastAsia"/>
          <w:rtl/>
        </w:rPr>
        <w:t>الفقهية</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حسن</w:t>
      </w:r>
      <w:r w:rsidRPr="00B5080E">
        <w:rPr>
          <w:rtl/>
        </w:rPr>
        <w:t xml:space="preserve"> </w:t>
      </w:r>
      <w:r w:rsidRPr="00B5080E">
        <w:rPr>
          <w:rFonts w:hint="eastAsia"/>
          <w:rtl/>
        </w:rPr>
        <w:t>طاهر</w:t>
      </w:r>
      <w:r w:rsidRPr="00B5080E">
        <w:rPr>
          <w:rFonts w:hint="cs"/>
          <w:rtl/>
        </w:rPr>
        <w:t>ي</w:t>
      </w:r>
      <w:r w:rsidRPr="00B5080E">
        <w:rPr>
          <w:rtl/>
        </w:rPr>
        <w:t xml:space="preserve"> </w:t>
      </w:r>
      <w:r w:rsidRPr="00B5080E">
        <w:rPr>
          <w:rFonts w:hint="cs"/>
          <w:rtl/>
        </w:rPr>
        <w:t>ال</w:t>
      </w:r>
      <w:r w:rsidRPr="00B5080E">
        <w:rPr>
          <w:rFonts w:hint="eastAsia"/>
          <w:rtl/>
        </w:rPr>
        <w:t>خ</w:t>
      </w:r>
      <w:r w:rsidRPr="00B5080E">
        <w:rPr>
          <w:rFonts w:hint="cs"/>
          <w:rtl/>
        </w:rPr>
        <w:t>ُ</w:t>
      </w:r>
      <w:r w:rsidRPr="00B5080E">
        <w:rPr>
          <w:rFonts w:hint="eastAsia"/>
          <w:rtl/>
        </w:rPr>
        <w:t>ر</w:t>
      </w:r>
      <w:r w:rsidRPr="00B5080E">
        <w:rPr>
          <w:rFonts w:hint="cs"/>
          <w:rtl/>
        </w:rPr>
        <w:t>َّ</w:t>
      </w:r>
      <w:r w:rsidRPr="00B5080E">
        <w:rPr>
          <w:rFonts w:hint="eastAsia"/>
          <w:rtl/>
        </w:rPr>
        <w:t>م</w:t>
      </w:r>
      <w:r w:rsidRPr="00B5080E">
        <w:rPr>
          <w:rtl/>
        </w:rPr>
        <w:t>‏</w:t>
      </w:r>
      <w:r w:rsidRPr="00B5080E">
        <w:rPr>
          <w:rFonts w:hint="eastAsia"/>
          <w:rtl/>
        </w:rPr>
        <w:t>آباد</w:t>
      </w:r>
      <w:r w:rsidRPr="00B5080E">
        <w:rPr>
          <w:rFonts w:hint="cs"/>
          <w:rtl/>
        </w:rPr>
        <w:t>ي</w:t>
      </w:r>
      <w:r w:rsidRPr="00B5080E">
        <w:rPr>
          <w:rFonts w:hint="eastAsia"/>
          <w:rtl/>
        </w:rPr>
        <w:t>،</w:t>
      </w:r>
      <w:r w:rsidRPr="00B5080E">
        <w:rPr>
          <w:rtl/>
        </w:rPr>
        <w:t xml:space="preserve"> </w:t>
      </w:r>
      <w:r w:rsidRPr="00B5080E">
        <w:rPr>
          <w:rFonts w:hint="eastAsia"/>
          <w:rtl/>
        </w:rPr>
        <w:t>رسالة</w:t>
      </w:r>
      <w:r w:rsidRPr="00B5080E">
        <w:rPr>
          <w:rtl/>
        </w:rPr>
        <w:t xml:space="preserve"> </w:t>
      </w:r>
      <w:r w:rsidRPr="00B5080E">
        <w:rPr>
          <w:rFonts w:hint="eastAsia"/>
          <w:rtl/>
        </w:rPr>
        <w:t>الجهاد</w:t>
      </w:r>
      <w:r w:rsidRPr="00B5080E">
        <w:rPr>
          <w:rtl/>
        </w:rPr>
        <w:t xml:space="preserve"> </w:t>
      </w:r>
      <w:r w:rsidRPr="00B5080E">
        <w:rPr>
          <w:rFonts w:hint="eastAsia"/>
          <w:rtl/>
        </w:rPr>
        <w:t>والدفاع</w:t>
      </w:r>
      <w:r w:rsidRPr="00B5080E">
        <w:rPr>
          <w:rtl/>
        </w:rPr>
        <w:t xml:space="preserve">. </w:t>
      </w:r>
      <w:r w:rsidRPr="00B5080E">
        <w:rPr>
          <w:rFonts w:hint="eastAsia"/>
          <w:rtl/>
        </w:rPr>
        <w:t>المؤتمر</w:t>
      </w:r>
      <w:r w:rsidRPr="00B5080E">
        <w:rPr>
          <w:rtl/>
        </w:rPr>
        <w:t xml:space="preserve"> </w:t>
      </w:r>
      <w:r w:rsidRPr="00B5080E">
        <w:rPr>
          <w:rFonts w:hint="eastAsia"/>
          <w:rtl/>
        </w:rPr>
        <w:t>العالمي</w:t>
      </w:r>
      <w:r w:rsidRPr="00B5080E">
        <w:rPr>
          <w:rtl/>
        </w:rPr>
        <w:t xml:space="preserve"> </w:t>
      </w:r>
      <w:r w:rsidRPr="00B5080E">
        <w:rPr>
          <w:rFonts w:hint="eastAsia"/>
          <w:rtl/>
        </w:rPr>
        <w:t>للإمام</w:t>
      </w:r>
      <w:r w:rsidRPr="00B5080E">
        <w:rPr>
          <w:rtl/>
        </w:rPr>
        <w:t xml:space="preserve"> </w:t>
      </w:r>
      <w:r w:rsidRPr="00B5080E">
        <w:rPr>
          <w:rFonts w:hint="eastAsia"/>
          <w:rtl/>
        </w:rPr>
        <w:t>الرضا</w:t>
      </w:r>
      <w:r w:rsidRPr="00B5080E">
        <w:rPr>
          <w:rFonts w:hint="cs"/>
          <w:rtl/>
        </w:rPr>
        <w:t>×</w:t>
      </w:r>
      <w:r w:rsidRPr="00B5080E">
        <w:rPr>
          <w:rFonts w:hint="eastAsia"/>
          <w:rtl/>
        </w:rPr>
        <w:t>،</w:t>
      </w:r>
      <w:r w:rsidRPr="00B5080E">
        <w:rPr>
          <w:rtl/>
        </w:rPr>
        <w:t xml:space="preserve"> (</w:t>
      </w:r>
      <w:r w:rsidRPr="00B5080E">
        <w:rPr>
          <w:rFonts w:hint="eastAsia"/>
          <w:rtl/>
        </w:rPr>
        <w:t>مشهد</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الطباطبائي،</w:t>
      </w:r>
      <w:r w:rsidRPr="00B5080E">
        <w:rPr>
          <w:rtl/>
        </w:rPr>
        <w:t xml:space="preserve"> </w:t>
      </w:r>
      <w:r w:rsidRPr="00B5080E">
        <w:rPr>
          <w:rFonts w:hint="eastAsia"/>
          <w:rtl/>
        </w:rPr>
        <w:t>رياض</w:t>
      </w:r>
      <w:r w:rsidRPr="00B5080E">
        <w:rPr>
          <w:rtl/>
        </w:rPr>
        <w:t xml:space="preserve"> </w:t>
      </w:r>
      <w:r w:rsidRPr="00B5080E">
        <w:rPr>
          <w:rFonts w:hint="eastAsia"/>
          <w:rtl/>
        </w:rPr>
        <w:t>المسائل،</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محمّد</w:t>
      </w:r>
      <w:r w:rsidRPr="00B5080E">
        <w:rPr>
          <w:rtl/>
        </w:rPr>
        <w:t xml:space="preserve"> </w:t>
      </w:r>
      <w:r w:rsidRPr="00B5080E">
        <w:rPr>
          <w:rFonts w:hint="eastAsia"/>
          <w:rtl/>
        </w:rPr>
        <w:t>حسين</w:t>
      </w:r>
      <w:r w:rsidRPr="00B5080E">
        <w:rPr>
          <w:rtl/>
        </w:rPr>
        <w:t xml:space="preserve"> </w:t>
      </w:r>
      <w:r w:rsidRPr="00B5080E">
        <w:rPr>
          <w:rFonts w:hint="eastAsia"/>
          <w:rtl/>
        </w:rPr>
        <w:t>الطباطبائي،</w:t>
      </w:r>
      <w:r w:rsidRPr="00B5080E">
        <w:rPr>
          <w:rtl/>
        </w:rPr>
        <w:t xml:space="preserve"> </w:t>
      </w:r>
      <w:r w:rsidRPr="00B5080E">
        <w:rPr>
          <w:rFonts w:hint="eastAsia"/>
          <w:rtl/>
        </w:rPr>
        <w:t>الميزان</w:t>
      </w:r>
      <w:r w:rsidRPr="00B5080E">
        <w:rPr>
          <w:rtl/>
        </w:rPr>
        <w:t xml:space="preserve"> </w:t>
      </w:r>
      <w:r w:rsidRPr="00B5080E">
        <w:rPr>
          <w:rFonts w:hint="eastAsia"/>
          <w:rtl/>
        </w:rPr>
        <w:t>فى</w:t>
      </w:r>
      <w:r w:rsidRPr="00B5080E">
        <w:rPr>
          <w:rtl/>
        </w:rPr>
        <w:t xml:space="preserve"> </w:t>
      </w:r>
      <w:r w:rsidRPr="00B5080E">
        <w:rPr>
          <w:rFonts w:hint="eastAsia"/>
          <w:rtl/>
        </w:rPr>
        <w:t>تفسير</w:t>
      </w:r>
      <w:r w:rsidRPr="00B5080E">
        <w:rPr>
          <w:rtl/>
        </w:rPr>
        <w:t xml:space="preserve"> </w:t>
      </w:r>
      <w:r w:rsidRPr="00B5080E">
        <w:rPr>
          <w:rFonts w:hint="eastAsia"/>
          <w:rtl/>
        </w:rPr>
        <w:t>القرآن،</w:t>
      </w:r>
      <w:r w:rsidRPr="00B5080E">
        <w:rPr>
          <w:rtl/>
        </w:rPr>
        <w:t xml:space="preserve"> 20 </w:t>
      </w:r>
      <w:r w:rsidRPr="00B5080E">
        <w:rPr>
          <w:rFonts w:hint="eastAsia"/>
          <w:rtl/>
        </w:rPr>
        <w:t>مجلد،</w:t>
      </w:r>
      <w:r w:rsidRPr="00B5080E">
        <w:rPr>
          <w:rtl/>
        </w:rPr>
        <w:t xml:space="preserve"> (</w:t>
      </w:r>
      <w:r w:rsidRPr="00B5080E">
        <w:rPr>
          <w:rFonts w:hint="eastAsia"/>
          <w:rtl/>
        </w:rPr>
        <w:t>بيروت،</w:t>
      </w:r>
      <w:r w:rsidRPr="00B5080E">
        <w:rPr>
          <w:rtl/>
        </w:rPr>
        <w:t xml:space="preserve"> 1394</w:t>
      </w:r>
      <w:r w:rsidRPr="00B5080E">
        <w:rPr>
          <w:rFonts w:hint="cs"/>
          <w:rtl/>
        </w:rPr>
        <w:t>هـ</w:t>
      </w:r>
      <w:r w:rsidRPr="00B5080E">
        <w:rPr>
          <w:rtl/>
        </w:rPr>
        <w:t>).</w:t>
      </w:r>
    </w:p>
    <w:p w:rsidR="00EA09EB" w:rsidRPr="00B5080E" w:rsidRDefault="00EA09EB" w:rsidP="00B5080E">
      <w:r w:rsidRPr="00B5080E">
        <w:rPr>
          <w:rFonts w:hint="cs"/>
          <w:rtl/>
        </w:rPr>
        <w:t>ـ أم</w:t>
      </w:r>
      <w:r w:rsidRPr="00B5080E">
        <w:rPr>
          <w:rFonts w:hint="eastAsia"/>
          <w:rtl/>
        </w:rPr>
        <w:t>ين</w:t>
      </w:r>
      <w:r w:rsidRPr="00B5080E">
        <w:rPr>
          <w:rtl/>
        </w:rPr>
        <w:t xml:space="preserve"> </w:t>
      </w:r>
      <w:r w:rsidRPr="00B5080E">
        <w:rPr>
          <w:rFonts w:hint="eastAsia"/>
          <w:rtl/>
        </w:rPr>
        <w:t>ال</w:t>
      </w:r>
      <w:r w:rsidRPr="00B5080E">
        <w:rPr>
          <w:rFonts w:hint="cs"/>
          <w:rtl/>
        </w:rPr>
        <w:t>إ</w:t>
      </w:r>
      <w:r w:rsidRPr="00B5080E">
        <w:rPr>
          <w:rFonts w:hint="eastAsia"/>
          <w:rtl/>
        </w:rPr>
        <w:t>سلام</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فضل</w:t>
      </w:r>
      <w:r w:rsidRPr="00B5080E">
        <w:rPr>
          <w:rtl/>
        </w:rPr>
        <w:t xml:space="preserve"> </w:t>
      </w:r>
      <w:r w:rsidRPr="00B5080E">
        <w:rPr>
          <w:rFonts w:hint="eastAsia"/>
          <w:rtl/>
        </w:rPr>
        <w:t>بن</w:t>
      </w:r>
      <w:r w:rsidRPr="00B5080E">
        <w:rPr>
          <w:rtl/>
        </w:rPr>
        <w:t xml:space="preserve"> </w:t>
      </w:r>
      <w:r w:rsidRPr="00B5080E">
        <w:rPr>
          <w:rFonts w:hint="eastAsia"/>
          <w:rtl/>
        </w:rPr>
        <w:t>حسن</w:t>
      </w:r>
      <w:r w:rsidRPr="00B5080E">
        <w:rPr>
          <w:rtl/>
        </w:rPr>
        <w:t xml:space="preserve"> </w:t>
      </w:r>
      <w:r w:rsidRPr="00B5080E">
        <w:rPr>
          <w:rFonts w:hint="eastAsia"/>
          <w:rtl/>
        </w:rPr>
        <w:t>الطبرسي،</w:t>
      </w:r>
      <w:r w:rsidRPr="00B5080E">
        <w:rPr>
          <w:rtl/>
        </w:rPr>
        <w:t xml:space="preserve"> </w:t>
      </w:r>
      <w:r w:rsidRPr="00B5080E">
        <w:rPr>
          <w:rFonts w:hint="eastAsia"/>
          <w:rtl/>
        </w:rPr>
        <w:t>تفسير</w:t>
      </w:r>
      <w:r w:rsidRPr="00B5080E">
        <w:rPr>
          <w:rtl/>
        </w:rPr>
        <w:t xml:space="preserve"> </w:t>
      </w:r>
      <w:r w:rsidRPr="00B5080E">
        <w:rPr>
          <w:rFonts w:hint="eastAsia"/>
          <w:rtl/>
        </w:rPr>
        <w:t>مجمع</w:t>
      </w:r>
      <w:r w:rsidRPr="00B5080E">
        <w:rPr>
          <w:rFonts w:hint="cs"/>
          <w:rtl/>
        </w:rPr>
        <w:t xml:space="preserve"> </w:t>
      </w:r>
      <w:r w:rsidRPr="00B5080E">
        <w:rPr>
          <w:rtl/>
        </w:rPr>
        <w:t>‏</w:t>
      </w:r>
      <w:r w:rsidRPr="00B5080E">
        <w:rPr>
          <w:rFonts w:hint="eastAsia"/>
          <w:rtl/>
        </w:rPr>
        <w:t>البيان،</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الميرزا</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الحسن</w:t>
      </w:r>
      <w:r w:rsidRPr="00B5080E">
        <w:rPr>
          <w:rtl/>
        </w:rPr>
        <w:t xml:space="preserve"> </w:t>
      </w:r>
      <w:r w:rsidRPr="00B5080E">
        <w:rPr>
          <w:rFonts w:hint="cs"/>
          <w:rtl/>
        </w:rPr>
        <w:t>ال</w:t>
      </w:r>
      <w:r w:rsidRPr="00B5080E">
        <w:rPr>
          <w:rFonts w:hint="eastAsia"/>
          <w:rtl/>
        </w:rPr>
        <w:t>شعران</w:t>
      </w:r>
      <w:r w:rsidRPr="00B5080E">
        <w:rPr>
          <w:rFonts w:hint="cs"/>
          <w:rtl/>
        </w:rPr>
        <w:t>ي</w:t>
      </w:r>
      <w:r w:rsidRPr="00B5080E">
        <w:rPr>
          <w:rFonts w:hint="eastAsia"/>
          <w:rtl/>
        </w:rPr>
        <w:t>،</w:t>
      </w:r>
      <w:r w:rsidRPr="00B5080E">
        <w:rPr>
          <w:rtl/>
        </w:rPr>
        <w:t xml:space="preserve"> 10 </w:t>
      </w:r>
      <w:r w:rsidRPr="00B5080E">
        <w:rPr>
          <w:rFonts w:hint="cs"/>
          <w:rtl/>
        </w:rPr>
        <w:t>أجزاء</w:t>
      </w:r>
      <w:r w:rsidRPr="00B5080E">
        <w:rPr>
          <w:rtl/>
        </w:rPr>
        <w:t xml:space="preserve"> </w:t>
      </w:r>
      <w:r w:rsidRPr="00B5080E">
        <w:rPr>
          <w:rFonts w:hint="cs"/>
          <w:rtl/>
        </w:rPr>
        <w:t>في</w:t>
      </w:r>
      <w:r w:rsidRPr="00B5080E">
        <w:rPr>
          <w:rtl/>
        </w:rPr>
        <w:t xml:space="preserve"> 5 </w:t>
      </w:r>
      <w:r w:rsidRPr="00B5080E">
        <w:rPr>
          <w:rFonts w:hint="eastAsia"/>
          <w:rtl/>
        </w:rPr>
        <w:t>مجلد</w:t>
      </w:r>
      <w:r w:rsidRPr="00B5080E">
        <w:rPr>
          <w:rFonts w:hint="cs"/>
          <w:rtl/>
        </w:rPr>
        <w:t>ات</w:t>
      </w:r>
      <w:r w:rsidRPr="00B5080E">
        <w:rPr>
          <w:rFonts w:hint="eastAsia"/>
          <w:rtl/>
        </w:rPr>
        <w:t>،</w:t>
      </w:r>
      <w:r w:rsidRPr="00B5080E">
        <w:rPr>
          <w:rtl/>
        </w:rPr>
        <w:t xml:space="preserve"> (</w:t>
      </w:r>
      <w:r w:rsidRPr="00B5080E">
        <w:rPr>
          <w:rFonts w:hint="eastAsia"/>
          <w:rtl/>
        </w:rPr>
        <w:t>طهران،</w:t>
      </w:r>
      <w:r w:rsidRPr="00B5080E">
        <w:rPr>
          <w:rtl/>
        </w:rPr>
        <w:t xml:space="preserve"> 1395</w:t>
      </w:r>
      <w:r w:rsidRPr="00B5080E">
        <w:rPr>
          <w:rFonts w:hint="cs"/>
          <w:rtl/>
        </w:rPr>
        <w:t>هـ</w:t>
      </w:r>
      <w:r w:rsidRPr="00B5080E">
        <w:rPr>
          <w:rtl/>
        </w:rPr>
        <w:t>).</w:t>
      </w:r>
    </w:p>
    <w:p w:rsidR="00EA09EB" w:rsidRPr="00B5080E" w:rsidRDefault="00EA09EB" w:rsidP="00B5080E">
      <w:r w:rsidRPr="00B5080E">
        <w:rPr>
          <w:rFonts w:hint="cs"/>
          <w:rtl/>
        </w:rPr>
        <w:t>ـ أم</w:t>
      </w:r>
      <w:r w:rsidRPr="00B5080E">
        <w:rPr>
          <w:rFonts w:hint="eastAsia"/>
          <w:rtl/>
        </w:rPr>
        <w:t>ين</w:t>
      </w:r>
      <w:r w:rsidRPr="00B5080E">
        <w:rPr>
          <w:rtl/>
        </w:rPr>
        <w:t xml:space="preserve"> </w:t>
      </w:r>
      <w:r w:rsidRPr="00B5080E">
        <w:rPr>
          <w:rFonts w:hint="eastAsia"/>
          <w:rtl/>
        </w:rPr>
        <w:t>ال</w:t>
      </w:r>
      <w:r w:rsidRPr="00B5080E">
        <w:rPr>
          <w:rFonts w:hint="cs"/>
          <w:rtl/>
        </w:rPr>
        <w:t>إ</w:t>
      </w:r>
      <w:r w:rsidRPr="00B5080E">
        <w:rPr>
          <w:rFonts w:hint="eastAsia"/>
          <w:rtl/>
        </w:rPr>
        <w:t>سلام</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فضل</w:t>
      </w:r>
      <w:r w:rsidRPr="00B5080E">
        <w:rPr>
          <w:rtl/>
        </w:rPr>
        <w:t xml:space="preserve"> </w:t>
      </w:r>
      <w:r w:rsidRPr="00B5080E">
        <w:rPr>
          <w:rFonts w:hint="eastAsia"/>
          <w:rtl/>
        </w:rPr>
        <w:t>بن</w:t>
      </w:r>
      <w:r w:rsidRPr="00B5080E">
        <w:rPr>
          <w:rtl/>
        </w:rPr>
        <w:t xml:space="preserve"> </w:t>
      </w:r>
      <w:r w:rsidRPr="00B5080E">
        <w:rPr>
          <w:rFonts w:hint="eastAsia"/>
          <w:rtl/>
        </w:rPr>
        <w:t>حسن</w:t>
      </w:r>
      <w:r w:rsidRPr="00B5080E">
        <w:rPr>
          <w:rtl/>
        </w:rPr>
        <w:t xml:space="preserve"> </w:t>
      </w:r>
      <w:r w:rsidRPr="00B5080E">
        <w:rPr>
          <w:rFonts w:hint="eastAsia"/>
          <w:rtl/>
        </w:rPr>
        <w:t>الطبرسي،</w:t>
      </w:r>
      <w:r w:rsidRPr="00B5080E">
        <w:rPr>
          <w:rtl/>
        </w:rPr>
        <w:t xml:space="preserve"> </w:t>
      </w:r>
      <w:r w:rsidRPr="00B5080E">
        <w:rPr>
          <w:rFonts w:hint="cs"/>
          <w:rtl/>
        </w:rPr>
        <w:t>إ</w:t>
      </w:r>
      <w:r w:rsidRPr="00B5080E">
        <w:rPr>
          <w:rFonts w:hint="eastAsia"/>
          <w:rtl/>
        </w:rPr>
        <w:t>علام</w:t>
      </w:r>
      <w:r w:rsidRPr="00B5080E">
        <w:rPr>
          <w:rtl/>
        </w:rPr>
        <w:t xml:space="preserve"> </w:t>
      </w:r>
      <w:r w:rsidRPr="00B5080E">
        <w:rPr>
          <w:rFonts w:hint="eastAsia"/>
          <w:rtl/>
        </w:rPr>
        <w:t>الورى،</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ـ أ</w:t>
      </w:r>
      <w:r w:rsidRPr="00B5080E">
        <w:rPr>
          <w:rFonts w:hint="eastAsia"/>
          <w:rtl/>
        </w:rPr>
        <w:t>بو</w:t>
      </w:r>
      <w:r w:rsidRPr="00B5080E">
        <w:rPr>
          <w:rFonts w:hint="cs"/>
          <w:rtl/>
        </w:rPr>
        <w:t xml:space="preserve"> </w:t>
      </w:r>
      <w:r w:rsidRPr="00B5080E">
        <w:rPr>
          <w:rFonts w:hint="eastAsia"/>
          <w:rtl/>
        </w:rPr>
        <w:t>منصور</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الطبرسي،</w:t>
      </w:r>
      <w:r w:rsidRPr="00B5080E">
        <w:rPr>
          <w:rtl/>
        </w:rPr>
        <w:t xml:space="preserve"> </w:t>
      </w:r>
      <w:r w:rsidRPr="00B5080E">
        <w:rPr>
          <w:rFonts w:hint="eastAsia"/>
          <w:rtl/>
        </w:rPr>
        <w:t>الاحتجاج،</w:t>
      </w:r>
      <w:r w:rsidRPr="00B5080E">
        <w:rPr>
          <w:rtl/>
        </w:rPr>
        <w:t xml:space="preserve"> 2 </w:t>
      </w:r>
      <w:r w:rsidRPr="00B5080E">
        <w:rPr>
          <w:rFonts w:hint="eastAsia"/>
          <w:rtl/>
        </w:rPr>
        <w:t>مجلد،</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cs"/>
          <w:rtl/>
        </w:rPr>
        <w:t>إ</w:t>
      </w:r>
      <w:r w:rsidRPr="00B5080E">
        <w:rPr>
          <w:rFonts w:hint="eastAsia"/>
          <w:rtl/>
        </w:rPr>
        <w:t>براهيم</w:t>
      </w:r>
      <w:r w:rsidRPr="00B5080E">
        <w:rPr>
          <w:rtl/>
        </w:rPr>
        <w:t xml:space="preserve"> </w:t>
      </w:r>
      <w:r w:rsidRPr="00B5080E">
        <w:rPr>
          <w:rFonts w:hint="eastAsia"/>
          <w:rtl/>
        </w:rPr>
        <w:t>بهادر</w:t>
      </w:r>
      <w:r w:rsidRPr="00B5080E">
        <w:rPr>
          <w:rFonts w:hint="cs"/>
          <w:rtl/>
        </w:rPr>
        <w:t>ي</w:t>
      </w:r>
      <w:r w:rsidRPr="00B5080E">
        <w:rPr>
          <w:rtl/>
        </w:rPr>
        <w:t xml:space="preserve"> </w:t>
      </w:r>
      <w:r w:rsidRPr="00B5080E">
        <w:rPr>
          <w:rFonts w:hint="eastAsia"/>
          <w:rtl/>
        </w:rPr>
        <w:t>ومحمّد</w:t>
      </w:r>
      <w:r w:rsidRPr="00B5080E">
        <w:rPr>
          <w:rtl/>
        </w:rPr>
        <w:t xml:space="preserve"> </w:t>
      </w:r>
      <w:r w:rsidRPr="00B5080E">
        <w:rPr>
          <w:rFonts w:hint="eastAsia"/>
          <w:rtl/>
        </w:rPr>
        <w:t>هاد</w:t>
      </w:r>
      <w:r w:rsidRPr="00B5080E">
        <w:rPr>
          <w:rFonts w:hint="cs"/>
          <w:rtl/>
        </w:rPr>
        <w:t>ي</w:t>
      </w:r>
      <w:r w:rsidRPr="00B5080E">
        <w:rPr>
          <w:rtl/>
        </w:rPr>
        <w:t>‏</w:t>
      </w:r>
      <w:r w:rsidRPr="00B5080E">
        <w:rPr>
          <w:rFonts w:hint="eastAsia"/>
          <w:rtl/>
        </w:rPr>
        <w:t>به،</w:t>
      </w:r>
      <w:r w:rsidRPr="00B5080E">
        <w:rPr>
          <w:rtl/>
        </w:rPr>
        <w:t xml:space="preserve"> </w:t>
      </w:r>
      <w:r w:rsidRPr="00B5080E">
        <w:rPr>
          <w:rFonts w:hint="eastAsia"/>
          <w:rtl/>
        </w:rPr>
        <w:t>الطبعة</w:t>
      </w:r>
      <w:r w:rsidRPr="00B5080E">
        <w:rPr>
          <w:rtl/>
        </w:rPr>
        <w:t xml:space="preserve"> </w:t>
      </w:r>
      <w:r w:rsidRPr="00B5080E">
        <w:rPr>
          <w:rFonts w:hint="eastAsia"/>
          <w:rtl/>
        </w:rPr>
        <w:t>الثانية،</w:t>
      </w:r>
      <w:r w:rsidRPr="00B5080E">
        <w:rPr>
          <w:rtl/>
        </w:rPr>
        <w:t xml:space="preserve"> (</w:t>
      </w:r>
      <w:r w:rsidRPr="00B5080E">
        <w:rPr>
          <w:rFonts w:hint="eastAsia"/>
          <w:rtl/>
        </w:rPr>
        <w:t>طهران،</w:t>
      </w:r>
      <w:r w:rsidRPr="00B5080E">
        <w:rPr>
          <w:rtl/>
        </w:rPr>
        <w:t xml:space="preserve"> 1416</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اختيار</w:t>
      </w:r>
      <w:r w:rsidRPr="00B5080E">
        <w:rPr>
          <w:rtl/>
        </w:rPr>
        <w:t xml:space="preserve"> </w:t>
      </w:r>
      <w:r w:rsidRPr="00B5080E">
        <w:rPr>
          <w:rFonts w:hint="eastAsia"/>
          <w:rtl/>
        </w:rPr>
        <w:t>معرفة</w:t>
      </w:r>
      <w:r w:rsidRPr="00B5080E">
        <w:rPr>
          <w:rtl/>
        </w:rPr>
        <w:t xml:space="preserve"> </w:t>
      </w:r>
      <w:r w:rsidRPr="00B5080E">
        <w:rPr>
          <w:rFonts w:hint="eastAsia"/>
          <w:rtl/>
        </w:rPr>
        <w:t>الرجال</w:t>
      </w:r>
      <w:r w:rsidRPr="00B5080E">
        <w:rPr>
          <w:rtl/>
        </w:rPr>
        <w:t xml:space="preserve"> (</w:t>
      </w:r>
      <w:r w:rsidRPr="00B5080E">
        <w:rPr>
          <w:rFonts w:hint="eastAsia"/>
          <w:rtl/>
        </w:rPr>
        <w:t>رجال</w:t>
      </w:r>
      <w:r w:rsidRPr="00B5080E">
        <w:rPr>
          <w:rFonts w:hint="cs"/>
          <w:rtl/>
        </w:rPr>
        <w:t xml:space="preserve"> </w:t>
      </w:r>
      <w:r w:rsidRPr="00B5080E">
        <w:rPr>
          <w:rtl/>
        </w:rPr>
        <w:t>‏</w:t>
      </w:r>
      <w:r w:rsidRPr="00B5080E">
        <w:rPr>
          <w:rFonts w:hint="eastAsia"/>
          <w:rtl/>
        </w:rPr>
        <w:t>الكشّ</w:t>
      </w:r>
      <w:r w:rsidRPr="00B5080E">
        <w:rPr>
          <w:rFonts w:hint="cs"/>
          <w:rtl/>
        </w:rPr>
        <w:t>ي</w:t>
      </w:r>
      <w:r w:rsidRPr="00B5080E">
        <w:rPr>
          <w:rtl/>
        </w:rPr>
        <w:t>)</w:t>
      </w:r>
      <w:r w:rsidRPr="00B5080E">
        <w:rPr>
          <w:rFonts w:hint="eastAsia"/>
          <w:rtl/>
        </w:rPr>
        <w:t>،</w:t>
      </w:r>
      <w:r w:rsidRPr="00B5080E">
        <w:rPr>
          <w:rtl/>
        </w:rPr>
        <w:t xml:space="preserve"> </w:t>
      </w:r>
      <w:r w:rsidRPr="00B5080E">
        <w:rPr>
          <w:rFonts w:hint="eastAsia"/>
          <w:rtl/>
        </w:rPr>
        <w:t>تصحيح</w:t>
      </w:r>
      <w:r w:rsidRPr="00B5080E">
        <w:rPr>
          <w:rtl/>
        </w:rPr>
        <w:t xml:space="preserve"> </w:t>
      </w:r>
      <w:r w:rsidRPr="00B5080E">
        <w:rPr>
          <w:rFonts w:hint="eastAsia"/>
          <w:rtl/>
        </w:rPr>
        <w:t>وتعليق</w:t>
      </w:r>
      <w:r w:rsidRPr="00B5080E">
        <w:rPr>
          <w:rFonts w:hint="cs"/>
          <w:rtl/>
        </w:rPr>
        <w:t>:</w:t>
      </w:r>
      <w:r w:rsidRPr="00B5080E">
        <w:rPr>
          <w:rtl/>
        </w:rPr>
        <w:t xml:space="preserve"> </w:t>
      </w:r>
      <w:r w:rsidRPr="00B5080E">
        <w:rPr>
          <w:rFonts w:hint="eastAsia"/>
          <w:rtl/>
        </w:rPr>
        <w:t>ميرداماد</w:t>
      </w:r>
      <w:r w:rsidRPr="00B5080E">
        <w:rPr>
          <w:rtl/>
        </w:rPr>
        <w:t xml:space="preserve"> </w:t>
      </w:r>
      <w:r w:rsidRPr="00B5080E">
        <w:rPr>
          <w:rFonts w:hint="eastAsia"/>
          <w:rtl/>
        </w:rPr>
        <w:t>ال</w:t>
      </w:r>
      <w:r w:rsidRPr="00B5080E">
        <w:rPr>
          <w:rFonts w:hint="cs"/>
          <w:rtl/>
        </w:rPr>
        <w:t>إ</w:t>
      </w:r>
      <w:r w:rsidRPr="00B5080E">
        <w:rPr>
          <w:rFonts w:hint="eastAsia"/>
          <w:rtl/>
        </w:rPr>
        <w:t>سترآبادي،</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السيد</w:t>
      </w:r>
      <w:r w:rsidRPr="00B5080E">
        <w:rPr>
          <w:rFonts w:hint="cs"/>
          <w:rtl/>
        </w:rPr>
        <w:t xml:space="preserve"> </w:t>
      </w:r>
      <w:r w:rsidRPr="00B5080E">
        <w:rPr>
          <w:rFonts w:hint="eastAsia"/>
          <w:rtl/>
        </w:rPr>
        <w:t>محمد</w:t>
      </w:r>
      <w:r w:rsidRPr="00B5080E">
        <w:rPr>
          <w:rtl/>
        </w:rPr>
        <w:t xml:space="preserve"> </w:t>
      </w:r>
      <w:r w:rsidRPr="00B5080E">
        <w:rPr>
          <w:rFonts w:hint="eastAsia"/>
          <w:rtl/>
        </w:rPr>
        <w:t>رجا</w:t>
      </w:r>
      <w:r w:rsidRPr="00B5080E">
        <w:rPr>
          <w:rFonts w:hint="cs"/>
          <w:rtl/>
        </w:rPr>
        <w:t>ئي</w:t>
      </w:r>
      <w:r w:rsidRPr="00B5080E">
        <w:rPr>
          <w:rFonts w:hint="eastAsia"/>
          <w:rtl/>
        </w:rPr>
        <w:t>،</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 xml:space="preserve"> 1404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الاقتصاد</w:t>
      </w:r>
      <w:r w:rsidRPr="00B5080E">
        <w:rPr>
          <w:rtl/>
        </w:rPr>
        <w:t xml:space="preserve"> </w:t>
      </w:r>
      <w:r w:rsidRPr="00B5080E">
        <w:rPr>
          <w:rFonts w:hint="eastAsia"/>
          <w:rtl/>
        </w:rPr>
        <w:t>الهاد</w:t>
      </w:r>
      <w:r w:rsidRPr="00B5080E">
        <w:rPr>
          <w:rFonts w:hint="cs"/>
          <w:rtl/>
        </w:rPr>
        <w:t>ي</w:t>
      </w:r>
      <w:r w:rsidRPr="00B5080E">
        <w:rPr>
          <w:rtl/>
        </w:rPr>
        <w:t xml:space="preserve"> </w:t>
      </w:r>
      <w:r w:rsidRPr="00B5080E">
        <w:rPr>
          <w:rFonts w:hint="cs"/>
          <w:rtl/>
        </w:rPr>
        <w:t>إ</w:t>
      </w:r>
      <w:r w:rsidRPr="00B5080E">
        <w:rPr>
          <w:rFonts w:hint="eastAsia"/>
          <w:rtl/>
        </w:rPr>
        <w:t>لى</w:t>
      </w:r>
      <w:r w:rsidRPr="00B5080E">
        <w:rPr>
          <w:rtl/>
        </w:rPr>
        <w:t xml:space="preserve"> </w:t>
      </w:r>
      <w:r w:rsidRPr="00B5080E">
        <w:rPr>
          <w:rFonts w:hint="eastAsia"/>
          <w:rtl/>
        </w:rPr>
        <w:t>طريق</w:t>
      </w:r>
      <w:r w:rsidRPr="00B5080E">
        <w:rPr>
          <w:rtl/>
        </w:rPr>
        <w:t xml:space="preserve"> </w:t>
      </w:r>
      <w:r w:rsidRPr="00B5080E">
        <w:rPr>
          <w:rFonts w:hint="eastAsia"/>
          <w:rtl/>
        </w:rPr>
        <w:t>الرشاد،</w:t>
      </w:r>
      <w:r w:rsidRPr="00B5080E">
        <w:rPr>
          <w:rtl/>
        </w:rPr>
        <w:t xml:space="preserve"> (</w:t>
      </w:r>
      <w:r w:rsidRPr="00B5080E">
        <w:rPr>
          <w:rFonts w:hint="eastAsia"/>
          <w:rtl/>
        </w:rPr>
        <w:t>طهران،</w:t>
      </w:r>
      <w:r w:rsidRPr="00B5080E">
        <w:rPr>
          <w:rtl/>
        </w:rPr>
        <w:t xml:space="preserve"> 1400</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تفسير</w:t>
      </w:r>
      <w:r w:rsidRPr="00B5080E">
        <w:rPr>
          <w:rtl/>
        </w:rPr>
        <w:t xml:space="preserve"> </w:t>
      </w:r>
      <w:r w:rsidRPr="00B5080E">
        <w:rPr>
          <w:rFonts w:hint="eastAsia"/>
          <w:rtl/>
        </w:rPr>
        <w:t>التبيان،</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حبيب</w:t>
      </w:r>
      <w:r w:rsidRPr="00B5080E">
        <w:rPr>
          <w:rtl/>
        </w:rPr>
        <w:t xml:space="preserve"> </w:t>
      </w:r>
      <w:r w:rsidRPr="00B5080E">
        <w:rPr>
          <w:rFonts w:hint="eastAsia"/>
          <w:rtl/>
        </w:rPr>
        <w:t>قصير</w:t>
      </w:r>
      <w:r w:rsidRPr="00B5080E">
        <w:rPr>
          <w:rFonts w:hint="cs"/>
          <w:rtl/>
        </w:rPr>
        <w:t xml:space="preserve"> </w:t>
      </w:r>
      <w:r w:rsidRPr="00B5080E">
        <w:rPr>
          <w:rFonts w:hint="eastAsia"/>
          <w:rtl/>
        </w:rPr>
        <w:t>العاملي،</w:t>
      </w:r>
      <w:r w:rsidRPr="00B5080E">
        <w:rPr>
          <w:rtl/>
        </w:rPr>
        <w:t xml:space="preserve"> 10 </w:t>
      </w:r>
      <w:r w:rsidRPr="00B5080E">
        <w:rPr>
          <w:rFonts w:hint="eastAsia"/>
          <w:rtl/>
        </w:rPr>
        <w:t>مجلد،</w:t>
      </w:r>
      <w:r w:rsidRPr="00B5080E">
        <w:rPr>
          <w:rtl/>
        </w:rPr>
        <w:t xml:space="preserve"> (</w:t>
      </w:r>
      <w:r w:rsidRPr="00B5080E">
        <w:rPr>
          <w:rFonts w:hint="eastAsia"/>
          <w:rtl/>
        </w:rPr>
        <w:t>بيروت</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تمهيد</w:t>
      </w:r>
      <w:r w:rsidRPr="00B5080E">
        <w:rPr>
          <w:rtl/>
        </w:rPr>
        <w:t xml:space="preserve"> </w:t>
      </w:r>
      <w:r w:rsidRPr="00B5080E">
        <w:rPr>
          <w:rFonts w:hint="eastAsia"/>
          <w:rtl/>
        </w:rPr>
        <w:t>ال</w:t>
      </w:r>
      <w:r w:rsidRPr="00B5080E">
        <w:rPr>
          <w:rFonts w:hint="cs"/>
          <w:rtl/>
        </w:rPr>
        <w:t>أ</w:t>
      </w:r>
      <w:r w:rsidRPr="00B5080E">
        <w:rPr>
          <w:rFonts w:hint="eastAsia"/>
          <w:rtl/>
        </w:rPr>
        <w:t>صول</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علم</w:t>
      </w:r>
      <w:r w:rsidRPr="00B5080E">
        <w:rPr>
          <w:rtl/>
        </w:rPr>
        <w:t xml:space="preserve"> </w:t>
      </w:r>
      <w:r w:rsidRPr="00B5080E">
        <w:rPr>
          <w:rFonts w:hint="eastAsia"/>
          <w:rtl/>
        </w:rPr>
        <w:t>الكلام،</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عبد</w:t>
      </w:r>
      <w:r w:rsidRPr="00B5080E">
        <w:rPr>
          <w:rFonts w:hint="cs"/>
          <w:rtl/>
        </w:rPr>
        <w:t xml:space="preserve"> </w:t>
      </w:r>
      <w:r w:rsidRPr="00B5080E">
        <w:rPr>
          <w:rFonts w:hint="eastAsia"/>
          <w:rtl/>
        </w:rPr>
        <w:t>المحسن</w:t>
      </w:r>
      <w:r w:rsidRPr="00B5080E">
        <w:rPr>
          <w:rtl/>
        </w:rPr>
        <w:t xml:space="preserve"> </w:t>
      </w:r>
      <w:r w:rsidRPr="00B5080E">
        <w:rPr>
          <w:rFonts w:hint="eastAsia"/>
          <w:rtl/>
        </w:rPr>
        <w:t>مشك</w:t>
      </w:r>
      <w:r w:rsidRPr="00B5080E">
        <w:rPr>
          <w:rFonts w:hint="cs"/>
          <w:rtl/>
        </w:rPr>
        <w:t>ا</w:t>
      </w:r>
      <w:r w:rsidRPr="00B5080E">
        <w:rPr>
          <w:rFonts w:hint="eastAsia"/>
          <w:rtl/>
        </w:rPr>
        <w:t>ةالدين</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1362</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تلخيص</w:t>
      </w:r>
      <w:r w:rsidRPr="00B5080E">
        <w:rPr>
          <w:rtl/>
        </w:rPr>
        <w:t xml:space="preserve"> </w:t>
      </w:r>
      <w:r w:rsidRPr="00B5080E">
        <w:rPr>
          <w:rFonts w:hint="eastAsia"/>
          <w:rtl/>
        </w:rPr>
        <w:t>الشاف</w:t>
      </w:r>
      <w:r w:rsidRPr="00B5080E">
        <w:rPr>
          <w:rFonts w:hint="cs"/>
          <w:rtl/>
        </w:rPr>
        <w:t>ي</w:t>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السيد</w:t>
      </w:r>
      <w:r w:rsidRPr="00B5080E">
        <w:rPr>
          <w:rFonts w:hint="cs"/>
          <w:rtl/>
        </w:rPr>
        <w:t xml:space="preserve"> </w:t>
      </w:r>
      <w:r w:rsidRPr="00B5080E">
        <w:rPr>
          <w:rFonts w:hint="eastAsia"/>
          <w:rtl/>
        </w:rPr>
        <w:t>حسين</w:t>
      </w:r>
      <w:r w:rsidRPr="00B5080E">
        <w:rPr>
          <w:rtl/>
        </w:rPr>
        <w:t xml:space="preserve"> </w:t>
      </w:r>
      <w:r w:rsidRPr="00B5080E">
        <w:rPr>
          <w:rFonts w:hint="eastAsia"/>
          <w:rtl/>
        </w:rPr>
        <w:t>بحر</w:t>
      </w:r>
      <w:r w:rsidRPr="00B5080E">
        <w:rPr>
          <w:rFonts w:hint="cs"/>
          <w:rtl/>
        </w:rPr>
        <w:t xml:space="preserve"> </w:t>
      </w:r>
      <w:r w:rsidRPr="00B5080E">
        <w:rPr>
          <w:rFonts w:hint="eastAsia"/>
          <w:rtl/>
        </w:rPr>
        <w:t>العلوم،</w:t>
      </w:r>
      <w:r w:rsidRPr="00B5080E">
        <w:rPr>
          <w:rtl/>
        </w:rPr>
        <w:t xml:space="preserve"> 4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الثالثة،</w:t>
      </w:r>
      <w:r w:rsidRPr="00B5080E">
        <w:rPr>
          <w:rtl/>
        </w:rPr>
        <w:t xml:space="preserve"> (</w:t>
      </w:r>
      <w:r w:rsidRPr="00B5080E">
        <w:rPr>
          <w:rFonts w:hint="eastAsia"/>
          <w:rtl/>
        </w:rPr>
        <w:t>قم،</w:t>
      </w:r>
      <w:r w:rsidRPr="00B5080E">
        <w:rPr>
          <w:rtl/>
        </w:rPr>
        <w:t xml:space="preserve"> 1394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تهذيب</w:t>
      </w:r>
      <w:r w:rsidRPr="00B5080E">
        <w:rPr>
          <w:rtl/>
        </w:rPr>
        <w:t xml:space="preserve"> </w:t>
      </w:r>
      <w:r w:rsidRPr="00B5080E">
        <w:rPr>
          <w:rFonts w:hint="eastAsia"/>
          <w:rtl/>
        </w:rPr>
        <w:t>ال</w:t>
      </w:r>
      <w:r w:rsidRPr="00B5080E">
        <w:rPr>
          <w:rFonts w:hint="cs"/>
          <w:rtl/>
        </w:rPr>
        <w:t>أ</w:t>
      </w:r>
      <w:r w:rsidRPr="00B5080E">
        <w:rPr>
          <w:rFonts w:hint="eastAsia"/>
          <w:rtl/>
        </w:rPr>
        <w:t>حكام،</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السيد</w:t>
      </w:r>
      <w:r w:rsidRPr="00B5080E">
        <w:rPr>
          <w:rFonts w:hint="cs"/>
          <w:rtl/>
        </w:rPr>
        <w:t xml:space="preserve"> </w:t>
      </w:r>
      <w:r w:rsidRPr="00B5080E">
        <w:rPr>
          <w:rFonts w:hint="eastAsia"/>
          <w:rtl/>
        </w:rPr>
        <w:t>حسن</w:t>
      </w:r>
      <w:r w:rsidRPr="00B5080E">
        <w:rPr>
          <w:rtl/>
        </w:rPr>
        <w:t xml:space="preserve"> </w:t>
      </w:r>
      <w:r w:rsidRPr="00B5080E">
        <w:rPr>
          <w:rFonts w:hint="eastAsia"/>
          <w:rtl/>
        </w:rPr>
        <w:t>الموسوي</w:t>
      </w:r>
      <w:r w:rsidRPr="00B5080E">
        <w:rPr>
          <w:rtl/>
        </w:rPr>
        <w:t xml:space="preserve"> </w:t>
      </w:r>
      <w:r w:rsidRPr="00B5080E">
        <w:rPr>
          <w:rFonts w:hint="eastAsia"/>
          <w:rtl/>
        </w:rPr>
        <w:t>خرسان،</w:t>
      </w:r>
      <w:r w:rsidRPr="00B5080E">
        <w:rPr>
          <w:rtl/>
        </w:rPr>
        <w:t xml:space="preserve"> 10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الثالثة،</w:t>
      </w:r>
      <w:r w:rsidRPr="00B5080E">
        <w:rPr>
          <w:rtl/>
        </w:rPr>
        <w:t xml:space="preserve"> (</w:t>
      </w:r>
      <w:r w:rsidRPr="00B5080E">
        <w:rPr>
          <w:rFonts w:hint="eastAsia"/>
          <w:rtl/>
        </w:rPr>
        <w:t>طهران،</w:t>
      </w:r>
      <w:r w:rsidRPr="00B5080E">
        <w:rPr>
          <w:rtl/>
        </w:rPr>
        <w:t xml:space="preserve"> 1390</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الرجال،</w:t>
      </w:r>
      <w:r w:rsidRPr="00B5080E">
        <w:rPr>
          <w:rtl/>
        </w:rPr>
        <w:t xml:space="preserve"> (</w:t>
      </w:r>
      <w:r w:rsidRPr="00B5080E">
        <w:rPr>
          <w:rFonts w:hint="eastAsia"/>
          <w:rtl/>
        </w:rPr>
        <w:t>النجف،</w:t>
      </w:r>
      <w:r w:rsidRPr="00B5080E">
        <w:rPr>
          <w:rtl/>
        </w:rPr>
        <w:t xml:space="preserve"> 1381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الرسائل</w:t>
      </w:r>
      <w:r w:rsidRPr="00B5080E">
        <w:rPr>
          <w:rtl/>
        </w:rPr>
        <w:t xml:space="preserve"> </w:t>
      </w:r>
      <w:r w:rsidRPr="00B5080E">
        <w:rPr>
          <w:rFonts w:hint="eastAsia"/>
          <w:rtl/>
        </w:rPr>
        <w:t>العشر،</w:t>
      </w:r>
      <w:r w:rsidRPr="00B5080E">
        <w:rPr>
          <w:rtl/>
        </w:rPr>
        <w:t xml:space="preserve"> </w:t>
      </w:r>
      <w:r w:rsidRPr="00B5080E">
        <w:rPr>
          <w:rFonts w:hint="eastAsia"/>
          <w:rtl/>
        </w:rPr>
        <w:t>رسالة</w:t>
      </w:r>
      <w:r w:rsidRPr="00B5080E">
        <w:rPr>
          <w:rtl/>
        </w:rPr>
        <w:t xml:space="preserve"> </w:t>
      </w:r>
      <w:r w:rsidRPr="00B5080E">
        <w:rPr>
          <w:rFonts w:hint="eastAsia"/>
          <w:rtl/>
        </w:rPr>
        <w:t>ف</w:t>
      </w:r>
      <w:r w:rsidRPr="00B5080E">
        <w:rPr>
          <w:rFonts w:hint="cs"/>
          <w:rtl/>
        </w:rPr>
        <w:t xml:space="preserve">ي </w:t>
      </w:r>
      <w:r w:rsidRPr="00B5080E">
        <w:rPr>
          <w:rtl/>
        </w:rPr>
        <w:t>‏</w:t>
      </w:r>
      <w:r w:rsidRPr="00B5080E">
        <w:rPr>
          <w:rFonts w:hint="eastAsia"/>
          <w:rtl/>
        </w:rPr>
        <w:t>الفرق</w:t>
      </w:r>
      <w:r w:rsidRPr="00B5080E">
        <w:rPr>
          <w:rtl/>
        </w:rPr>
        <w:t xml:space="preserve"> </w:t>
      </w:r>
      <w:r w:rsidRPr="00B5080E">
        <w:rPr>
          <w:rFonts w:hint="eastAsia"/>
          <w:rtl/>
        </w:rPr>
        <w:t>بين</w:t>
      </w:r>
      <w:r w:rsidRPr="00B5080E">
        <w:rPr>
          <w:rtl/>
        </w:rPr>
        <w:t xml:space="preserve"> </w:t>
      </w:r>
      <w:r w:rsidRPr="00B5080E">
        <w:rPr>
          <w:rFonts w:hint="eastAsia"/>
          <w:rtl/>
        </w:rPr>
        <w:t>النب</w:t>
      </w:r>
      <w:r w:rsidRPr="00B5080E">
        <w:rPr>
          <w:rFonts w:hint="cs"/>
          <w:rtl/>
        </w:rPr>
        <w:t>يّ</w:t>
      </w:r>
      <w:r w:rsidRPr="00B5080E">
        <w:rPr>
          <w:rtl/>
        </w:rPr>
        <w:t xml:space="preserve"> </w:t>
      </w:r>
      <w:r w:rsidRPr="00B5080E">
        <w:rPr>
          <w:rFonts w:hint="eastAsia"/>
          <w:rtl/>
        </w:rPr>
        <w:t>وال</w:t>
      </w:r>
      <w:r w:rsidRPr="00B5080E">
        <w:rPr>
          <w:rFonts w:hint="cs"/>
          <w:rtl/>
        </w:rPr>
        <w:t>إ</w:t>
      </w:r>
      <w:r w:rsidRPr="00B5080E">
        <w:rPr>
          <w:rFonts w:hint="eastAsia"/>
          <w:rtl/>
        </w:rPr>
        <w:t>مام،</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رضا</w:t>
      </w:r>
      <w:r w:rsidRPr="00B5080E">
        <w:rPr>
          <w:rtl/>
        </w:rPr>
        <w:t xml:space="preserve"> </w:t>
      </w:r>
      <w:r w:rsidRPr="00B5080E">
        <w:rPr>
          <w:rFonts w:hint="cs"/>
          <w:rtl/>
        </w:rPr>
        <w:t>أ</w:t>
      </w:r>
      <w:r w:rsidRPr="00B5080E">
        <w:rPr>
          <w:rFonts w:hint="eastAsia"/>
          <w:rtl/>
        </w:rPr>
        <w:t>ستاد</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العدّة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cs"/>
          <w:rtl/>
        </w:rPr>
        <w:t>أ</w:t>
      </w:r>
      <w:r w:rsidRPr="00B5080E">
        <w:rPr>
          <w:rFonts w:hint="eastAsia"/>
          <w:rtl/>
        </w:rPr>
        <w:t>صول</w:t>
      </w:r>
      <w:r w:rsidRPr="00B5080E">
        <w:rPr>
          <w:rtl/>
        </w:rPr>
        <w:t xml:space="preserve"> </w:t>
      </w:r>
      <w:r w:rsidRPr="00B5080E">
        <w:rPr>
          <w:rFonts w:hint="eastAsia"/>
          <w:rtl/>
        </w:rPr>
        <w:t>الفقه،</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محمّد</w:t>
      </w:r>
      <w:r w:rsidRPr="00B5080E">
        <w:rPr>
          <w:rFonts w:hint="cs"/>
          <w:rtl/>
        </w:rPr>
        <w:t xml:space="preserve"> </w:t>
      </w:r>
      <w:r w:rsidRPr="00B5080E">
        <w:rPr>
          <w:rFonts w:hint="eastAsia"/>
          <w:rtl/>
        </w:rPr>
        <w:t>رضا</w:t>
      </w:r>
      <w:r w:rsidRPr="00B5080E">
        <w:rPr>
          <w:rtl/>
        </w:rPr>
        <w:t xml:space="preserve"> </w:t>
      </w:r>
      <w:r w:rsidRPr="00B5080E">
        <w:rPr>
          <w:rFonts w:hint="eastAsia"/>
          <w:rtl/>
        </w:rPr>
        <w:t>الأنصاري</w:t>
      </w:r>
      <w:r w:rsidRPr="00B5080E">
        <w:rPr>
          <w:rtl/>
        </w:rPr>
        <w:t xml:space="preserve"> </w:t>
      </w:r>
      <w:r w:rsidRPr="00B5080E">
        <w:rPr>
          <w:rFonts w:hint="eastAsia"/>
          <w:rtl/>
        </w:rPr>
        <w:t>القم</w:t>
      </w:r>
      <w:r w:rsidRPr="00B5080E">
        <w:rPr>
          <w:rFonts w:hint="cs"/>
          <w:rtl/>
        </w:rPr>
        <w:t>ّ</w:t>
      </w:r>
      <w:r w:rsidRPr="00B5080E">
        <w:rPr>
          <w:rFonts w:hint="eastAsia"/>
          <w:rtl/>
        </w:rPr>
        <w:t>ي،</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 xml:space="preserve"> 1417</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كتاب</w:t>
      </w:r>
      <w:r w:rsidRPr="00B5080E">
        <w:rPr>
          <w:rtl/>
        </w:rPr>
        <w:t xml:space="preserve"> </w:t>
      </w:r>
      <w:r w:rsidRPr="00B5080E">
        <w:rPr>
          <w:rFonts w:hint="eastAsia"/>
          <w:rtl/>
        </w:rPr>
        <w:t>الغ</w:t>
      </w:r>
      <w:r w:rsidRPr="00B5080E">
        <w:rPr>
          <w:rFonts w:hint="cs"/>
          <w:rtl/>
        </w:rPr>
        <w:t>َ</w:t>
      </w:r>
      <w:r w:rsidRPr="00B5080E">
        <w:rPr>
          <w:rFonts w:hint="eastAsia"/>
          <w:rtl/>
        </w:rPr>
        <w:t>ي</w:t>
      </w:r>
      <w:r w:rsidRPr="00B5080E">
        <w:rPr>
          <w:rFonts w:hint="cs"/>
          <w:rtl/>
        </w:rPr>
        <w:t>ْ</w:t>
      </w:r>
      <w:r w:rsidRPr="00B5080E">
        <w:rPr>
          <w:rFonts w:hint="eastAsia"/>
          <w:rtl/>
        </w:rPr>
        <w:t>بة،</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eastAsia"/>
          <w:rtl/>
        </w:rPr>
        <w:t>الطهراني</w:t>
      </w:r>
      <w:r w:rsidRPr="00B5080E">
        <w:rPr>
          <w:rtl/>
        </w:rPr>
        <w:t xml:space="preserve"> </w:t>
      </w:r>
      <w:r w:rsidRPr="00B5080E">
        <w:rPr>
          <w:rFonts w:hint="eastAsia"/>
          <w:rtl/>
        </w:rPr>
        <w:t>وعل</w:t>
      </w:r>
      <w:r w:rsidRPr="00B5080E">
        <w:rPr>
          <w:rFonts w:hint="cs"/>
          <w:rtl/>
        </w:rPr>
        <w:t>ي</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ناصح،</w:t>
      </w:r>
      <w:r w:rsidRPr="00B5080E">
        <w:rPr>
          <w:rtl/>
        </w:rPr>
        <w:t xml:space="preserve"> (</w:t>
      </w:r>
      <w:r w:rsidRPr="00B5080E">
        <w:rPr>
          <w:rFonts w:hint="eastAsia"/>
          <w:rtl/>
        </w:rPr>
        <w:t>قم،</w:t>
      </w:r>
      <w:r w:rsidRPr="00B5080E">
        <w:rPr>
          <w:rtl/>
        </w:rPr>
        <w:t xml:space="preserve"> 1411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الفهرس</w:t>
      </w:r>
      <w:r w:rsidRPr="00B5080E">
        <w:rPr>
          <w:rFonts w:hint="cs"/>
          <w:rtl/>
        </w:rPr>
        <w:t>ت</w:t>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السيد</w:t>
      </w:r>
      <w:r w:rsidRPr="00B5080E">
        <w:rPr>
          <w:rFonts w:hint="cs"/>
          <w:rtl/>
        </w:rPr>
        <w:t xml:space="preserve"> </w:t>
      </w:r>
      <w:r w:rsidRPr="00B5080E">
        <w:rPr>
          <w:rFonts w:hint="eastAsia"/>
          <w:rtl/>
        </w:rPr>
        <w:t>محمّد</w:t>
      </w:r>
      <w:r w:rsidRPr="00B5080E">
        <w:rPr>
          <w:rtl/>
        </w:rPr>
        <w:t xml:space="preserve"> </w:t>
      </w:r>
      <w:r w:rsidRPr="00B5080E">
        <w:rPr>
          <w:rFonts w:hint="eastAsia"/>
          <w:rtl/>
        </w:rPr>
        <w:t>صادق</w:t>
      </w:r>
      <w:r w:rsidRPr="00B5080E">
        <w:rPr>
          <w:rtl/>
        </w:rPr>
        <w:t xml:space="preserve"> </w:t>
      </w:r>
      <w:r w:rsidRPr="00B5080E">
        <w:rPr>
          <w:rFonts w:hint="eastAsia"/>
          <w:rtl/>
        </w:rPr>
        <w:t>آل</w:t>
      </w:r>
      <w:r w:rsidRPr="00B5080E">
        <w:rPr>
          <w:rtl/>
        </w:rPr>
        <w:t xml:space="preserve"> </w:t>
      </w:r>
      <w:r w:rsidRPr="00B5080E">
        <w:rPr>
          <w:rFonts w:hint="eastAsia"/>
          <w:rtl/>
        </w:rPr>
        <w:t>بحرالعلوم،</w:t>
      </w:r>
      <w:r w:rsidRPr="00B5080E">
        <w:rPr>
          <w:rtl/>
        </w:rPr>
        <w:t xml:space="preserve"> (</w:t>
      </w:r>
      <w:r w:rsidRPr="00B5080E">
        <w:rPr>
          <w:rFonts w:hint="eastAsia"/>
          <w:rtl/>
        </w:rPr>
        <w:t>النجف</w:t>
      </w:r>
      <w:r w:rsidRPr="00B5080E">
        <w:rPr>
          <w:rtl/>
        </w:rPr>
        <w:t>).</w:t>
      </w:r>
    </w:p>
    <w:p w:rsidR="00EA09EB" w:rsidRPr="00B5080E" w:rsidRDefault="00EA09EB" w:rsidP="00B5080E">
      <w:r w:rsidRPr="00B5080E">
        <w:rPr>
          <w:rFonts w:hint="cs"/>
          <w:rtl/>
        </w:rPr>
        <w:t xml:space="preserve">ـ </w:t>
      </w:r>
      <w:r w:rsidRPr="00B5080E">
        <w:rPr>
          <w:rFonts w:hint="eastAsia"/>
          <w:rtl/>
        </w:rPr>
        <w:t>شيخ</w:t>
      </w:r>
      <w:r w:rsidRPr="00B5080E">
        <w:rPr>
          <w:rtl/>
        </w:rPr>
        <w:t xml:space="preserve"> </w:t>
      </w:r>
      <w:r w:rsidRPr="00B5080E">
        <w:rPr>
          <w:rFonts w:hint="eastAsia"/>
          <w:rtl/>
        </w:rPr>
        <w:t>الطائفة</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جعفر</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cs"/>
          <w:rtl/>
        </w:rPr>
        <w:t>ال</w:t>
      </w:r>
      <w:r w:rsidRPr="00B5080E">
        <w:rPr>
          <w:rFonts w:hint="eastAsia"/>
          <w:rtl/>
        </w:rPr>
        <w:t>حسن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النهاية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مجرّد</w:t>
      </w:r>
      <w:r w:rsidRPr="00B5080E">
        <w:rPr>
          <w:rFonts w:hint="cs"/>
          <w:rtl/>
        </w:rPr>
        <w:t xml:space="preserve"> </w:t>
      </w:r>
      <w:r w:rsidRPr="00B5080E">
        <w:rPr>
          <w:rFonts w:hint="eastAsia"/>
          <w:rtl/>
        </w:rPr>
        <w:t>الفقه</w:t>
      </w:r>
      <w:r w:rsidRPr="00B5080E">
        <w:rPr>
          <w:rtl/>
        </w:rPr>
        <w:t xml:space="preserve"> </w:t>
      </w:r>
      <w:r w:rsidRPr="00B5080E">
        <w:rPr>
          <w:rFonts w:hint="eastAsia"/>
          <w:rtl/>
        </w:rPr>
        <w:t>والفتاوى،</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ـ ال</w:t>
      </w:r>
      <w:r w:rsidRPr="00B5080E">
        <w:rPr>
          <w:rFonts w:hint="eastAsia"/>
          <w:rtl/>
        </w:rPr>
        <w:t>خواجه</w:t>
      </w:r>
      <w:r w:rsidRPr="00B5080E">
        <w:rPr>
          <w:rtl/>
        </w:rPr>
        <w:t xml:space="preserve"> </w:t>
      </w:r>
      <w:r w:rsidRPr="00B5080E">
        <w:rPr>
          <w:rFonts w:hint="eastAsia"/>
          <w:rtl/>
        </w:rPr>
        <w:t>نصير</w:t>
      </w:r>
      <w:r w:rsidRPr="00B5080E">
        <w:rPr>
          <w:rFonts w:hint="cs"/>
          <w:rtl/>
        </w:rPr>
        <w:t xml:space="preserve"> </w:t>
      </w:r>
      <w:r w:rsidRPr="00B5080E">
        <w:rPr>
          <w:rFonts w:hint="eastAsia"/>
          <w:rtl/>
        </w:rPr>
        <w:t>الدين</w:t>
      </w:r>
      <w:r w:rsidRPr="00B5080E">
        <w:rPr>
          <w:rtl/>
        </w:rPr>
        <w:t xml:space="preserve"> </w:t>
      </w:r>
      <w:r w:rsidRPr="00B5080E">
        <w:rPr>
          <w:rFonts w:hint="cs"/>
          <w:rtl/>
        </w:rPr>
        <w:t>ال</w:t>
      </w:r>
      <w:r w:rsidRPr="00B5080E">
        <w:rPr>
          <w:rFonts w:hint="eastAsia"/>
          <w:rtl/>
        </w:rPr>
        <w:t>طوس</w:t>
      </w:r>
      <w:r w:rsidRPr="00B5080E">
        <w:rPr>
          <w:rFonts w:hint="cs"/>
          <w:rtl/>
        </w:rPr>
        <w:t>ي</w:t>
      </w:r>
      <w:r w:rsidRPr="00B5080E">
        <w:rPr>
          <w:rFonts w:hint="eastAsia"/>
          <w:rtl/>
        </w:rPr>
        <w:t>،</w:t>
      </w:r>
      <w:r w:rsidRPr="00B5080E">
        <w:rPr>
          <w:rtl/>
        </w:rPr>
        <w:t xml:space="preserve"> </w:t>
      </w:r>
      <w:r w:rsidRPr="00B5080E">
        <w:rPr>
          <w:rFonts w:hint="eastAsia"/>
          <w:rtl/>
        </w:rPr>
        <w:t>تجريد</w:t>
      </w:r>
      <w:r w:rsidRPr="00B5080E">
        <w:rPr>
          <w:rtl/>
        </w:rPr>
        <w:t xml:space="preserve"> </w:t>
      </w:r>
      <w:r w:rsidRPr="00B5080E">
        <w:rPr>
          <w:rFonts w:hint="eastAsia"/>
          <w:rtl/>
        </w:rPr>
        <w:t>الاعتقاد،</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محمّد</w:t>
      </w:r>
      <w:r w:rsidRPr="00B5080E">
        <w:rPr>
          <w:rFonts w:hint="cs"/>
          <w:rtl/>
        </w:rPr>
        <w:t xml:space="preserve"> </w:t>
      </w:r>
      <w:r w:rsidRPr="00B5080E">
        <w:rPr>
          <w:rFonts w:hint="eastAsia"/>
          <w:rtl/>
        </w:rPr>
        <w:t>جواد</w:t>
      </w:r>
      <w:r w:rsidRPr="00B5080E">
        <w:rPr>
          <w:rtl/>
        </w:rPr>
        <w:t xml:space="preserve"> </w:t>
      </w:r>
      <w:r w:rsidRPr="00B5080E">
        <w:rPr>
          <w:rFonts w:hint="eastAsia"/>
          <w:rtl/>
        </w:rPr>
        <w:t>حسين</w:t>
      </w:r>
      <w:r w:rsidRPr="00B5080E">
        <w:rPr>
          <w:rFonts w:hint="cs"/>
          <w:rtl/>
        </w:rPr>
        <w:t>ي</w:t>
      </w:r>
      <w:r w:rsidRPr="00B5080E">
        <w:rPr>
          <w:rtl/>
        </w:rPr>
        <w:t xml:space="preserve"> </w:t>
      </w:r>
      <w:r w:rsidRPr="00B5080E">
        <w:rPr>
          <w:rFonts w:hint="cs"/>
          <w:rtl/>
        </w:rPr>
        <w:t>ال</w:t>
      </w:r>
      <w:r w:rsidRPr="00B5080E">
        <w:rPr>
          <w:rFonts w:hint="eastAsia"/>
          <w:rtl/>
        </w:rPr>
        <w:t>جلال</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1407</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آقا</w:t>
      </w:r>
      <w:r w:rsidRPr="00B5080E">
        <w:rPr>
          <w:rtl/>
        </w:rPr>
        <w:t xml:space="preserve"> </w:t>
      </w:r>
      <w:r w:rsidRPr="00B5080E">
        <w:rPr>
          <w:rFonts w:hint="eastAsia"/>
          <w:rtl/>
        </w:rPr>
        <w:t>بزرگ</w:t>
      </w:r>
      <w:r w:rsidRPr="00B5080E">
        <w:rPr>
          <w:rtl/>
        </w:rPr>
        <w:t xml:space="preserve"> </w:t>
      </w:r>
      <w:r w:rsidRPr="00B5080E">
        <w:rPr>
          <w:rFonts w:hint="eastAsia"/>
          <w:rtl/>
        </w:rPr>
        <w:t>الطهراني،</w:t>
      </w:r>
      <w:r w:rsidRPr="00B5080E">
        <w:rPr>
          <w:rtl/>
        </w:rPr>
        <w:t xml:space="preserve"> </w:t>
      </w:r>
      <w:r w:rsidRPr="00B5080E">
        <w:rPr>
          <w:rFonts w:hint="eastAsia"/>
          <w:rtl/>
        </w:rPr>
        <w:t>الذريعة</w:t>
      </w:r>
      <w:r w:rsidRPr="00B5080E">
        <w:rPr>
          <w:rtl/>
        </w:rPr>
        <w:t xml:space="preserve"> </w:t>
      </w:r>
      <w:r w:rsidRPr="00B5080E">
        <w:rPr>
          <w:rFonts w:hint="cs"/>
          <w:rtl/>
        </w:rPr>
        <w:t>إل</w:t>
      </w:r>
      <w:r w:rsidRPr="00B5080E">
        <w:rPr>
          <w:rFonts w:hint="eastAsia"/>
          <w:rtl/>
        </w:rPr>
        <w:t>ى</w:t>
      </w:r>
      <w:r w:rsidRPr="00B5080E">
        <w:rPr>
          <w:rtl/>
        </w:rPr>
        <w:t xml:space="preserve"> </w:t>
      </w:r>
      <w:r w:rsidRPr="00B5080E">
        <w:rPr>
          <w:rFonts w:hint="eastAsia"/>
          <w:rtl/>
        </w:rPr>
        <w:t>تصانيف</w:t>
      </w:r>
      <w:r w:rsidRPr="00B5080E">
        <w:rPr>
          <w:rtl/>
        </w:rPr>
        <w:t xml:space="preserve"> </w:t>
      </w:r>
      <w:r w:rsidRPr="00B5080E">
        <w:rPr>
          <w:rFonts w:hint="eastAsia"/>
          <w:rtl/>
        </w:rPr>
        <w:t>الشيعة،</w:t>
      </w:r>
      <w:r w:rsidRPr="00B5080E">
        <w:rPr>
          <w:rtl/>
        </w:rPr>
        <w:t xml:space="preserve"> 26 </w:t>
      </w:r>
      <w:r w:rsidRPr="00B5080E">
        <w:rPr>
          <w:rFonts w:hint="eastAsia"/>
          <w:rtl/>
        </w:rPr>
        <w:t>مجلد،</w:t>
      </w:r>
      <w:r w:rsidRPr="00B5080E">
        <w:rPr>
          <w:rtl/>
        </w:rPr>
        <w:t xml:space="preserve"> (</w:t>
      </w:r>
      <w:r w:rsidRPr="00B5080E">
        <w:rPr>
          <w:rFonts w:hint="eastAsia"/>
          <w:rtl/>
        </w:rPr>
        <w:t>بيروت</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هادي</w:t>
      </w:r>
      <w:r w:rsidRPr="00B5080E">
        <w:rPr>
          <w:rtl/>
        </w:rPr>
        <w:t xml:space="preserve"> </w:t>
      </w:r>
      <w:r w:rsidRPr="00B5080E">
        <w:rPr>
          <w:rFonts w:hint="eastAsia"/>
          <w:rtl/>
        </w:rPr>
        <w:t>الطهراني،</w:t>
      </w:r>
      <w:r w:rsidRPr="00B5080E">
        <w:rPr>
          <w:rtl/>
        </w:rPr>
        <w:t xml:space="preserve"> «</w:t>
      </w:r>
      <w:r w:rsidRPr="00B5080E">
        <w:rPr>
          <w:rFonts w:hint="eastAsia"/>
          <w:rtl/>
        </w:rPr>
        <w:t>رسالة</w:t>
      </w:r>
      <w:r w:rsidRPr="00B5080E">
        <w:rPr>
          <w:rtl/>
        </w:rPr>
        <w:t xml:space="preserve"> </w:t>
      </w:r>
      <w:r w:rsidRPr="00B5080E">
        <w:rPr>
          <w:rFonts w:hint="eastAsia"/>
          <w:rtl/>
        </w:rPr>
        <w:t>الحقّ</w:t>
      </w:r>
      <w:r w:rsidRPr="00B5080E">
        <w:rPr>
          <w:rtl/>
        </w:rPr>
        <w:t xml:space="preserve"> </w:t>
      </w:r>
      <w:r w:rsidRPr="00B5080E">
        <w:rPr>
          <w:rFonts w:hint="eastAsia"/>
          <w:rtl/>
        </w:rPr>
        <w:t>والحكم</w:t>
      </w:r>
      <w:r w:rsidRPr="00B5080E">
        <w:rPr>
          <w:rtl/>
        </w:rPr>
        <w:t>»</w:t>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نعم</w:t>
      </w:r>
      <w:r w:rsidRPr="00B5080E">
        <w:rPr>
          <w:rFonts w:hint="cs"/>
          <w:rtl/>
        </w:rPr>
        <w:t xml:space="preserve">ة </w:t>
      </w:r>
      <w:r w:rsidRPr="00B5080E">
        <w:rPr>
          <w:rtl/>
        </w:rPr>
        <w:t>‏</w:t>
      </w:r>
      <w:r w:rsidRPr="00B5080E">
        <w:rPr>
          <w:rFonts w:hint="eastAsia"/>
          <w:rtl/>
        </w:rPr>
        <w:t>الله</w:t>
      </w:r>
      <w:r w:rsidRPr="00B5080E">
        <w:rPr>
          <w:rtl/>
        </w:rPr>
        <w:t xml:space="preserve"> </w:t>
      </w:r>
      <w:r w:rsidRPr="00B5080E">
        <w:rPr>
          <w:rFonts w:hint="eastAsia"/>
          <w:rtl/>
        </w:rPr>
        <w:t>صفر</w:t>
      </w:r>
      <w:r w:rsidRPr="00B5080E">
        <w:rPr>
          <w:rFonts w:hint="cs"/>
          <w:rtl/>
        </w:rPr>
        <w:t>ي</w:t>
      </w:r>
      <w:r w:rsidRPr="00B5080E">
        <w:rPr>
          <w:rFonts w:hint="eastAsia"/>
          <w:rtl/>
        </w:rPr>
        <w:t>،</w:t>
      </w:r>
      <w:r w:rsidRPr="00B5080E">
        <w:rPr>
          <w:rtl/>
        </w:rPr>
        <w:t xml:space="preserve"> </w:t>
      </w:r>
      <w:r w:rsidRPr="00B5080E">
        <w:rPr>
          <w:rFonts w:hint="eastAsia"/>
          <w:rtl/>
        </w:rPr>
        <w:t>فصلية</w:t>
      </w:r>
      <w:r w:rsidRPr="00B5080E">
        <w:rPr>
          <w:rtl/>
        </w:rPr>
        <w:t xml:space="preserve"> </w:t>
      </w:r>
      <w:r w:rsidRPr="00B5080E">
        <w:rPr>
          <w:rFonts w:hint="eastAsia"/>
          <w:rtl/>
        </w:rPr>
        <w:t>نامه</w:t>
      </w:r>
      <w:r w:rsidRPr="00B5080E">
        <w:rPr>
          <w:rtl/>
        </w:rPr>
        <w:t xml:space="preserve"> </w:t>
      </w:r>
      <w:r w:rsidRPr="00B5080E">
        <w:rPr>
          <w:rFonts w:hint="eastAsia"/>
          <w:rtl/>
        </w:rPr>
        <w:t>مفيد،</w:t>
      </w:r>
      <w:r w:rsidRPr="00B5080E">
        <w:rPr>
          <w:rtl/>
        </w:rPr>
        <w:t xml:space="preserve"> (</w:t>
      </w:r>
      <w:r w:rsidRPr="00B5080E">
        <w:rPr>
          <w:rFonts w:hint="eastAsia"/>
          <w:rtl/>
        </w:rPr>
        <w:t>رقم</w:t>
      </w:r>
      <w:r w:rsidRPr="00B5080E">
        <w:rPr>
          <w:rtl/>
        </w:rPr>
        <w:t xml:space="preserve"> 4</w:t>
      </w:r>
      <w:r w:rsidRPr="00B5080E">
        <w:rPr>
          <w:rFonts w:hint="eastAsia"/>
          <w:rtl/>
        </w:rPr>
        <w:t>،</w:t>
      </w:r>
      <w:r w:rsidRPr="00B5080E">
        <w:rPr>
          <w:rtl/>
        </w:rPr>
        <w:t xml:space="preserve"> </w:t>
      </w:r>
      <w:r w:rsidRPr="00B5080E">
        <w:rPr>
          <w:rFonts w:hint="cs"/>
          <w:rtl/>
        </w:rPr>
        <w:t>شتاء</w:t>
      </w:r>
      <w:r w:rsidRPr="00B5080E">
        <w:rPr>
          <w:rtl/>
        </w:rPr>
        <w:t xml:space="preserve"> 1374</w:t>
      </w:r>
      <w:r w:rsidRPr="00B5080E">
        <w:rPr>
          <w:rFonts w:hint="eastAsia"/>
          <w:rtl/>
        </w:rPr>
        <w:t>،</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جواد</w:t>
      </w:r>
      <w:r w:rsidRPr="00B5080E">
        <w:rPr>
          <w:rtl/>
        </w:rPr>
        <w:t xml:space="preserve"> </w:t>
      </w:r>
      <w:r w:rsidRPr="00B5080E">
        <w:rPr>
          <w:rFonts w:hint="eastAsia"/>
          <w:rtl/>
        </w:rPr>
        <w:t>بن</w:t>
      </w:r>
      <w:r w:rsidRPr="00B5080E">
        <w:rPr>
          <w:rtl/>
        </w:rPr>
        <w:t xml:space="preserve"> </w:t>
      </w:r>
      <w:r w:rsidRPr="00B5080E">
        <w:rPr>
          <w:rFonts w:hint="eastAsia"/>
          <w:rtl/>
        </w:rPr>
        <w:t>محمّد</w:t>
      </w:r>
      <w:r w:rsidRPr="00B5080E">
        <w:rPr>
          <w:rtl/>
        </w:rPr>
        <w:t xml:space="preserve"> </w:t>
      </w:r>
      <w:r w:rsidRPr="00B5080E">
        <w:rPr>
          <w:rFonts w:hint="eastAsia"/>
          <w:rtl/>
        </w:rPr>
        <w:t>حسين</w:t>
      </w:r>
      <w:r w:rsidRPr="00B5080E">
        <w:rPr>
          <w:rFonts w:hint="cs"/>
          <w:rtl/>
        </w:rPr>
        <w:t>ي</w:t>
      </w:r>
      <w:r w:rsidRPr="00B5080E">
        <w:rPr>
          <w:rtl/>
        </w:rPr>
        <w:t xml:space="preserve"> </w:t>
      </w:r>
      <w:r w:rsidRPr="00B5080E">
        <w:rPr>
          <w:rFonts w:hint="eastAsia"/>
          <w:rtl/>
        </w:rPr>
        <w:t>العاملي،</w:t>
      </w:r>
      <w:r w:rsidRPr="00B5080E">
        <w:rPr>
          <w:rtl/>
        </w:rPr>
        <w:t xml:space="preserve"> </w:t>
      </w:r>
      <w:r w:rsidRPr="00B5080E">
        <w:rPr>
          <w:rFonts w:hint="eastAsia"/>
          <w:rtl/>
        </w:rPr>
        <w:t>مفتاح</w:t>
      </w:r>
      <w:r w:rsidRPr="00B5080E">
        <w:rPr>
          <w:rtl/>
        </w:rPr>
        <w:t xml:space="preserve"> </w:t>
      </w:r>
      <w:r w:rsidRPr="00B5080E">
        <w:rPr>
          <w:rFonts w:hint="eastAsia"/>
          <w:rtl/>
        </w:rPr>
        <w:t>الكرامة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قواعد</w:t>
      </w:r>
      <w:r w:rsidRPr="00B5080E">
        <w:rPr>
          <w:rtl/>
        </w:rPr>
        <w:t xml:space="preserve"> </w:t>
      </w:r>
      <w:r w:rsidRPr="00B5080E">
        <w:rPr>
          <w:rFonts w:hint="eastAsia"/>
          <w:rtl/>
        </w:rPr>
        <w:t>العلاّمة،</w:t>
      </w:r>
      <w:r w:rsidRPr="00B5080E">
        <w:rPr>
          <w:rtl/>
        </w:rPr>
        <w:t xml:space="preserve"> 10 </w:t>
      </w:r>
      <w:r w:rsidRPr="00B5080E">
        <w:rPr>
          <w:rFonts w:hint="eastAsia"/>
          <w:rtl/>
        </w:rPr>
        <w:t>مجلد،</w:t>
      </w:r>
      <w:r w:rsidRPr="00B5080E">
        <w:rPr>
          <w:rtl/>
        </w:rPr>
        <w:t xml:space="preserve"> (</w:t>
      </w:r>
      <w:r w:rsidRPr="00B5080E">
        <w:rPr>
          <w:rFonts w:hint="eastAsia"/>
          <w:rtl/>
        </w:rPr>
        <w:t>القاهرة،</w:t>
      </w:r>
      <w:r w:rsidRPr="00B5080E">
        <w:rPr>
          <w:rtl/>
        </w:rPr>
        <w:t xml:space="preserve"> 1326</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محمد</w:t>
      </w:r>
      <w:r w:rsidRPr="00B5080E">
        <w:rPr>
          <w:rtl/>
        </w:rPr>
        <w:t xml:space="preserve"> </w:t>
      </w:r>
      <w:r w:rsidRPr="00B5080E">
        <w:rPr>
          <w:rFonts w:hint="eastAsia"/>
          <w:rtl/>
        </w:rPr>
        <w:t>فؤاد</w:t>
      </w:r>
      <w:r w:rsidRPr="00B5080E">
        <w:rPr>
          <w:rtl/>
        </w:rPr>
        <w:t xml:space="preserve"> </w:t>
      </w:r>
      <w:r w:rsidRPr="00B5080E">
        <w:rPr>
          <w:rFonts w:hint="eastAsia"/>
          <w:rtl/>
        </w:rPr>
        <w:t>عبد</w:t>
      </w:r>
      <w:r w:rsidRPr="00B5080E">
        <w:rPr>
          <w:rtl/>
        </w:rPr>
        <w:t xml:space="preserve"> </w:t>
      </w:r>
      <w:r w:rsidRPr="00B5080E">
        <w:rPr>
          <w:rFonts w:hint="eastAsia"/>
          <w:rtl/>
        </w:rPr>
        <w:t>الباقي،</w:t>
      </w:r>
      <w:r w:rsidRPr="00B5080E">
        <w:rPr>
          <w:rtl/>
        </w:rPr>
        <w:t xml:space="preserve"> </w:t>
      </w:r>
      <w:r w:rsidRPr="00B5080E">
        <w:rPr>
          <w:rFonts w:hint="eastAsia"/>
          <w:rtl/>
        </w:rPr>
        <w:t>المعجم</w:t>
      </w:r>
      <w:r w:rsidRPr="00B5080E">
        <w:rPr>
          <w:rtl/>
        </w:rPr>
        <w:t xml:space="preserve"> </w:t>
      </w:r>
      <w:r w:rsidRPr="00B5080E">
        <w:rPr>
          <w:rFonts w:hint="eastAsia"/>
          <w:rtl/>
        </w:rPr>
        <w:t>المفهرس</w:t>
      </w:r>
      <w:r w:rsidRPr="00B5080E">
        <w:rPr>
          <w:rtl/>
        </w:rPr>
        <w:t xml:space="preserve"> </w:t>
      </w:r>
      <w:r w:rsidRPr="00B5080E">
        <w:rPr>
          <w:rFonts w:hint="eastAsia"/>
          <w:rtl/>
        </w:rPr>
        <w:t>ل</w:t>
      </w:r>
      <w:r w:rsidRPr="00B5080E">
        <w:rPr>
          <w:rFonts w:hint="cs"/>
          <w:rtl/>
        </w:rPr>
        <w:t>أ</w:t>
      </w:r>
      <w:r w:rsidRPr="00B5080E">
        <w:rPr>
          <w:rFonts w:hint="eastAsia"/>
          <w:rtl/>
        </w:rPr>
        <w:t>لفاظ</w:t>
      </w:r>
      <w:r w:rsidRPr="00B5080E">
        <w:rPr>
          <w:rtl/>
        </w:rPr>
        <w:t xml:space="preserve"> </w:t>
      </w:r>
      <w:r w:rsidRPr="00B5080E">
        <w:rPr>
          <w:rFonts w:hint="eastAsia"/>
          <w:rtl/>
        </w:rPr>
        <w:t>القرآن</w:t>
      </w:r>
      <w:r w:rsidRPr="00B5080E">
        <w:rPr>
          <w:rtl/>
        </w:rPr>
        <w:t xml:space="preserve"> </w:t>
      </w:r>
      <w:r w:rsidRPr="00B5080E">
        <w:rPr>
          <w:rFonts w:hint="eastAsia"/>
          <w:rtl/>
        </w:rPr>
        <w:t>الكريم،</w:t>
      </w:r>
      <w:r w:rsidRPr="00B5080E">
        <w:rPr>
          <w:rtl/>
        </w:rPr>
        <w:t xml:space="preserve"> (</w:t>
      </w:r>
      <w:r w:rsidRPr="00B5080E">
        <w:rPr>
          <w:rFonts w:hint="eastAsia"/>
          <w:rtl/>
        </w:rPr>
        <w:t>القاهرة،</w:t>
      </w:r>
      <w:r w:rsidRPr="00B5080E">
        <w:rPr>
          <w:rtl/>
        </w:rPr>
        <w:t xml:space="preserve"> 1364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آقا</w:t>
      </w:r>
      <w:r w:rsidRPr="00B5080E">
        <w:rPr>
          <w:rtl/>
        </w:rPr>
        <w:t xml:space="preserve"> </w:t>
      </w:r>
      <w:r w:rsidRPr="00B5080E">
        <w:rPr>
          <w:rFonts w:hint="eastAsia"/>
          <w:rtl/>
        </w:rPr>
        <w:t>ضياء</w:t>
      </w:r>
      <w:r w:rsidRPr="00B5080E">
        <w:rPr>
          <w:rFonts w:hint="cs"/>
          <w:rtl/>
        </w:rPr>
        <w:t xml:space="preserve"> </w:t>
      </w:r>
      <w:r w:rsidRPr="00B5080E">
        <w:rPr>
          <w:rFonts w:hint="eastAsia"/>
          <w:rtl/>
        </w:rPr>
        <w:t>الدين</w:t>
      </w:r>
      <w:r w:rsidRPr="00B5080E">
        <w:rPr>
          <w:rtl/>
        </w:rPr>
        <w:t xml:space="preserve"> </w:t>
      </w:r>
      <w:r w:rsidRPr="00B5080E">
        <w:rPr>
          <w:rFonts w:hint="eastAsia"/>
          <w:rtl/>
        </w:rPr>
        <w:t>العراقي،</w:t>
      </w:r>
      <w:r w:rsidRPr="00B5080E">
        <w:rPr>
          <w:rtl/>
        </w:rPr>
        <w:t xml:space="preserve"> </w:t>
      </w:r>
      <w:r w:rsidRPr="00B5080E">
        <w:rPr>
          <w:rFonts w:hint="eastAsia"/>
          <w:rtl/>
        </w:rPr>
        <w:t>شرح</w:t>
      </w:r>
      <w:r w:rsidRPr="00B5080E">
        <w:rPr>
          <w:rtl/>
        </w:rPr>
        <w:t xml:space="preserve"> </w:t>
      </w:r>
      <w:r w:rsidRPr="00B5080E">
        <w:rPr>
          <w:rFonts w:hint="eastAsia"/>
          <w:rtl/>
        </w:rPr>
        <w:t>تبصرة</w:t>
      </w:r>
      <w:r w:rsidRPr="00B5080E">
        <w:rPr>
          <w:rtl/>
        </w:rPr>
        <w:t xml:space="preserve"> </w:t>
      </w:r>
      <w:r w:rsidRPr="00B5080E">
        <w:rPr>
          <w:rFonts w:hint="eastAsia"/>
          <w:rtl/>
        </w:rPr>
        <w:t>المتعل</w:t>
      </w:r>
      <w:r w:rsidRPr="00B5080E">
        <w:rPr>
          <w:rFonts w:hint="cs"/>
          <w:rtl/>
        </w:rPr>
        <w:t>ِّ</w:t>
      </w:r>
      <w:r w:rsidRPr="00B5080E">
        <w:rPr>
          <w:rFonts w:hint="eastAsia"/>
          <w:rtl/>
        </w:rPr>
        <w:t>مين،</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الشيخ</w:t>
      </w:r>
      <w:r w:rsidRPr="00B5080E">
        <w:rPr>
          <w:rtl/>
        </w:rPr>
        <w:t xml:space="preserve"> </w:t>
      </w:r>
      <w:r w:rsidRPr="00B5080E">
        <w:rPr>
          <w:rFonts w:hint="eastAsia"/>
          <w:rtl/>
        </w:rPr>
        <w:t>محمد</w:t>
      </w:r>
      <w:r w:rsidRPr="00B5080E">
        <w:rPr>
          <w:rtl/>
        </w:rPr>
        <w:t xml:space="preserve"> </w:t>
      </w:r>
      <w:r w:rsidRPr="00B5080E">
        <w:rPr>
          <w:rFonts w:hint="eastAsia"/>
          <w:rtl/>
        </w:rPr>
        <w:t>حسّون،</w:t>
      </w:r>
      <w:r w:rsidRPr="00B5080E">
        <w:rPr>
          <w:rtl/>
        </w:rPr>
        <w:t xml:space="preserve"> (</w:t>
      </w:r>
      <w:r w:rsidRPr="00B5080E">
        <w:rPr>
          <w:rFonts w:hint="eastAsia"/>
          <w:rtl/>
        </w:rPr>
        <w:t>قم،</w:t>
      </w:r>
      <w:r w:rsidRPr="00B5080E">
        <w:rPr>
          <w:rtl/>
        </w:rPr>
        <w:t xml:space="preserve"> 1413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آقا</w:t>
      </w:r>
      <w:r w:rsidRPr="00B5080E">
        <w:rPr>
          <w:rtl/>
        </w:rPr>
        <w:t xml:space="preserve"> </w:t>
      </w:r>
      <w:r w:rsidRPr="00B5080E">
        <w:rPr>
          <w:rFonts w:hint="eastAsia"/>
          <w:rtl/>
        </w:rPr>
        <w:t>ضياء</w:t>
      </w:r>
      <w:r w:rsidRPr="00B5080E">
        <w:rPr>
          <w:rFonts w:hint="cs"/>
          <w:rtl/>
        </w:rPr>
        <w:t xml:space="preserve"> </w:t>
      </w:r>
      <w:r w:rsidRPr="00B5080E">
        <w:rPr>
          <w:rFonts w:hint="eastAsia"/>
          <w:rtl/>
        </w:rPr>
        <w:t>الدين</w:t>
      </w:r>
      <w:r w:rsidRPr="00B5080E">
        <w:rPr>
          <w:rtl/>
        </w:rPr>
        <w:t xml:space="preserve"> </w:t>
      </w:r>
      <w:r w:rsidRPr="00B5080E">
        <w:rPr>
          <w:rFonts w:hint="eastAsia"/>
          <w:rtl/>
        </w:rPr>
        <w:t>العراقي،</w:t>
      </w:r>
      <w:r w:rsidRPr="00B5080E">
        <w:rPr>
          <w:rtl/>
        </w:rPr>
        <w:t xml:space="preserve"> </w:t>
      </w:r>
      <w:r w:rsidRPr="00B5080E">
        <w:rPr>
          <w:rFonts w:hint="eastAsia"/>
          <w:rtl/>
        </w:rPr>
        <w:t>كتاب</w:t>
      </w:r>
      <w:r w:rsidRPr="00B5080E">
        <w:rPr>
          <w:rtl/>
        </w:rPr>
        <w:t xml:space="preserve"> </w:t>
      </w:r>
      <w:r w:rsidRPr="00B5080E">
        <w:rPr>
          <w:rFonts w:hint="eastAsia"/>
          <w:rtl/>
        </w:rPr>
        <w:t>القضاء،</w:t>
      </w:r>
      <w:r w:rsidRPr="00B5080E">
        <w:rPr>
          <w:rtl/>
        </w:rPr>
        <w:t xml:space="preserve"> (</w:t>
      </w:r>
      <w:r w:rsidRPr="00B5080E">
        <w:rPr>
          <w:rFonts w:hint="eastAsia"/>
          <w:rtl/>
        </w:rPr>
        <w:t>النجف</w:t>
      </w:r>
      <w:r w:rsidRPr="00B5080E">
        <w:rPr>
          <w:rtl/>
        </w:rPr>
        <w:t>).</w:t>
      </w:r>
    </w:p>
    <w:p w:rsidR="00EA09EB" w:rsidRPr="00B5080E" w:rsidRDefault="00EA09EB" w:rsidP="00B5080E">
      <w:r w:rsidRPr="00B5080E">
        <w:rPr>
          <w:rFonts w:hint="cs"/>
          <w:rtl/>
        </w:rPr>
        <w:t xml:space="preserve">ـ </w:t>
      </w:r>
      <w:r w:rsidRPr="00B5080E">
        <w:rPr>
          <w:rFonts w:hint="eastAsia"/>
          <w:rtl/>
        </w:rPr>
        <w:t>الميرزا</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الغروي</w:t>
      </w:r>
      <w:r w:rsidRPr="00B5080E">
        <w:rPr>
          <w:rtl/>
        </w:rPr>
        <w:t xml:space="preserve"> </w:t>
      </w:r>
      <w:r w:rsidRPr="00B5080E">
        <w:rPr>
          <w:rFonts w:hint="cs"/>
          <w:rtl/>
        </w:rPr>
        <w:t>ال</w:t>
      </w:r>
      <w:r w:rsidRPr="00B5080E">
        <w:rPr>
          <w:rFonts w:hint="eastAsia"/>
          <w:rtl/>
        </w:rPr>
        <w:t>تبريز</w:t>
      </w:r>
      <w:r w:rsidRPr="00B5080E">
        <w:rPr>
          <w:rFonts w:hint="cs"/>
          <w:rtl/>
        </w:rPr>
        <w:t>ي</w:t>
      </w:r>
      <w:r w:rsidRPr="00B5080E">
        <w:rPr>
          <w:rFonts w:hint="eastAsia"/>
          <w:rtl/>
        </w:rPr>
        <w:t>،</w:t>
      </w:r>
      <w:r w:rsidRPr="00B5080E">
        <w:rPr>
          <w:rtl/>
        </w:rPr>
        <w:t xml:space="preserve"> </w:t>
      </w:r>
      <w:r w:rsidRPr="00B5080E">
        <w:rPr>
          <w:rFonts w:hint="eastAsia"/>
          <w:rtl/>
        </w:rPr>
        <w:t>التنقيح</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Fonts w:hint="cs"/>
          <w:rtl/>
        </w:rPr>
        <w:t xml:space="preserve"> </w:t>
      </w:r>
      <w:r w:rsidRPr="00B5080E">
        <w:rPr>
          <w:rtl/>
        </w:rPr>
        <w:t>‏</w:t>
      </w:r>
      <w:r w:rsidRPr="00B5080E">
        <w:rPr>
          <w:rFonts w:hint="eastAsia"/>
          <w:rtl/>
        </w:rPr>
        <w:t>العروة</w:t>
      </w:r>
      <w:r w:rsidRPr="00B5080E">
        <w:rPr>
          <w:rtl/>
        </w:rPr>
        <w:t xml:space="preserve"> </w:t>
      </w:r>
      <w:r w:rsidRPr="00B5080E">
        <w:rPr>
          <w:rFonts w:hint="eastAsia"/>
          <w:rtl/>
        </w:rPr>
        <w:t>الوثقى،</w:t>
      </w:r>
      <w:r w:rsidRPr="00B5080E">
        <w:rPr>
          <w:rtl/>
        </w:rPr>
        <w:t xml:space="preserve">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السيد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الموسوي</w:t>
      </w:r>
      <w:r w:rsidRPr="00B5080E">
        <w:rPr>
          <w:rtl/>
        </w:rPr>
        <w:t xml:space="preserve"> </w:t>
      </w:r>
      <w:r w:rsidRPr="00B5080E">
        <w:rPr>
          <w:rFonts w:hint="eastAsia"/>
          <w:rtl/>
        </w:rPr>
        <w:t>الخوئي،</w:t>
      </w:r>
      <w:r w:rsidRPr="00B5080E">
        <w:rPr>
          <w:rtl/>
        </w:rPr>
        <w:t xml:space="preserve"> 11 </w:t>
      </w:r>
      <w:r w:rsidRPr="00B5080E">
        <w:rPr>
          <w:rFonts w:hint="eastAsia"/>
          <w:rtl/>
        </w:rPr>
        <w:t>مجلد،</w:t>
      </w:r>
      <w:r w:rsidRPr="00B5080E">
        <w:rPr>
          <w:rtl/>
        </w:rPr>
        <w:t xml:space="preserve"> (</w:t>
      </w:r>
      <w:r w:rsidRPr="00B5080E">
        <w:rPr>
          <w:rFonts w:hint="eastAsia"/>
          <w:rtl/>
        </w:rPr>
        <w:t>قم،</w:t>
      </w:r>
      <w:r w:rsidRPr="00B5080E">
        <w:rPr>
          <w:rtl/>
        </w:rPr>
        <w:t xml:space="preserve"> 1410</w:t>
      </w:r>
      <w:r w:rsidRPr="00B5080E">
        <w:rPr>
          <w:rFonts w:hint="cs"/>
          <w:rtl/>
        </w:rPr>
        <w:t>هـ</w:t>
      </w:r>
      <w:r w:rsidRPr="00B5080E">
        <w:rPr>
          <w:rtl/>
        </w:rPr>
        <w:t>).</w:t>
      </w:r>
    </w:p>
    <w:p w:rsidR="00EA09EB" w:rsidRPr="00B5080E" w:rsidRDefault="00EA09EB" w:rsidP="00B5080E">
      <w:r w:rsidRPr="00B5080E">
        <w:rPr>
          <w:rFonts w:hint="cs"/>
          <w:rtl/>
        </w:rPr>
        <w:t>ـ الإ</w:t>
      </w:r>
      <w:r w:rsidRPr="00B5080E">
        <w:rPr>
          <w:rFonts w:hint="eastAsia"/>
          <w:rtl/>
        </w:rPr>
        <w:t>مام</w:t>
      </w:r>
      <w:r w:rsidRPr="00B5080E">
        <w:rPr>
          <w:rtl/>
        </w:rPr>
        <w:t xml:space="preserve"> </w:t>
      </w:r>
      <w:r w:rsidRPr="00B5080E">
        <w:rPr>
          <w:rFonts w:hint="eastAsia"/>
          <w:rtl/>
        </w:rPr>
        <w:t>محمّد</w:t>
      </w:r>
      <w:r w:rsidRPr="00B5080E">
        <w:rPr>
          <w:rtl/>
        </w:rPr>
        <w:t xml:space="preserve"> </w:t>
      </w:r>
      <w:r w:rsidRPr="00B5080E">
        <w:rPr>
          <w:rFonts w:hint="cs"/>
          <w:rtl/>
        </w:rPr>
        <w:t>ال</w:t>
      </w:r>
      <w:r w:rsidRPr="00B5080E">
        <w:rPr>
          <w:rFonts w:hint="eastAsia"/>
          <w:rtl/>
        </w:rPr>
        <w:t>غزال</w:t>
      </w:r>
      <w:r w:rsidRPr="00B5080E">
        <w:rPr>
          <w:rFonts w:hint="cs"/>
          <w:rtl/>
        </w:rPr>
        <w:t>ي</w:t>
      </w:r>
      <w:r w:rsidRPr="00B5080E">
        <w:rPr>
          <w:rFonts w:hint="eastAsia"/>
          <w:rtl/>
        </w:rPr>
        <w:t>،</w:t>
      </w:r>
      <w:r w:rsidRPr="00B5080E">
        <w:rPr>
          <w:rtl/>
        </w:rPr>
        <w:t xml:space="preserve"> </w:t>
      </w:r>
      <w:r w:rsidRPr="00B5080E">
        <w:rPr>
          <w:rFonts w:hint="cs"/>
          <w:rtl/>
        </w:rPr>
        <w:t>إح</w:t>
      </w:r>
      <w:r w:rsidRPr="00B5080E">
        <w:rPr>
          <w:rFonts w:hint="eastAsia"/>
          <w:rtl/>
        </w:rPr>
        <w:t>ياء</w:t>
      </w:r>
      <w:r w:rsidRPr="00B5080E">
        <w:rPr>
          <w:rtl/>
        </w:rPr>
        <w:t xml:space="preserve"> </w:t>
      </w:r>
      <w:r w:rsidRPr="00B5080E">
        <w:rPr>
          <w:rFonts w:hint="eastAsia"/>
          <w:rtl/>
        </w:rPr>
        <w:t>علوم</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تصحيح</w:t>
      </w:r>
      <w:r w:rsidRPr="00B5080E">
        <w:rPr>
          <w:rtl/>
        </w:rPr>
        <w:t xml:space="preserve"> </w:t>
      </w:r>
      <w:r w:rsidRPr="00B5080E">
        <w:rPr>
          <w:rFonts w:hint="eastAsia"/>
          <w:rtl/>
        </w:rPr>
        <w:t>ب</w:t>
      </w:r>
      <w:r w:rsidRPr="00B5080E">
        <w:rPr>
          <w:rFonts w:hint="cs"/>
          <w:rtl/>
        </w:rPr>
        <w:t>إ</w:t>
      </w:r>
      <w:r w:rsidRPr="00B5080E">
        <w:rPr>
          <w:rFonts w:hint="eastAsia"/>
          <w:rtl/>
        </w:rPr>
        <w:t>شراف</w:t>
      </w:r>
      <w:r w:rsidRPr="00B5080E">
        <w:rPr>
          <w:rtl/>
        </w:rPr>
        <w:t xml:space="preserve"> </w:t>
      </w:r>
      <w:r w:rsidRPr="00B5080E">
        <w:rPr>
          <w:rFonts w:hint="eastAsia"/>
          <w:rtl/>
        </w:rPr>
        <w:t>عبد</w:t>
      </w:r>
      <w:r w:rsidRPr="00B5080E">
        <w:rPr>
          <w:rFonts w:hint="cs"/>
          <w:rtl/>
        </w:rPr>
        <w:t xml:space="preserve"> </w:t>
      </w:r>
      <w:r w:rsidRPr="00B5080E">
        <w:rPr>
          <w:rFonts w:hint="eastAsia"/>
          <w:rtl/>
        </w:rPr>
        <w:t>العزيز</w:t>
      </w:r>
      <w:r w:rsidRPr="00B5080E">
        <w:rPr>
          <w:rtl/>
        </w:rPr>
        <w:t xml:space="preserve"> </w:t>
      </w:r>
      <w:r w:rsidRPr="00B5080E">
        <w:rPr>
          <w:rFonts w:hint="eastAsia"/>
          <w:rtl/>
        </w:rPr>
        <w:t>عز</w:t>
      </w:r>
      <w:r w:rsidRPr="00B5080E">
        <w:rPr>
          <w:rFonts w:hint="cs"/>
          <w:rtl/>
        </w:rPr>
        <w:t xml:space="preserve">ّ </w:t>
      </w:r>
      <w:r w:rsidRPr="00B5080E">
        <w:rPr>
          <w:rFonts w:hint="eastAsia"/>
          <w:rtl/>
        </w:rPr>
        <w:t>الدين</w:t>
      </w:r>
      <w:r w:rsidRPr="00B5080E">
        <w:rPr>
          <w:rtl/>
        </w:rPr>
        <w:t xml:space="preserve"> </w:t>
      </w:r>
      <w:r w:rsidRPr="00B5080E">
        <w:rPr>
          <w:rFonts w:hint="eastAsia"/>
          <w:rtl/>
        </w:rPr>
        <w:t>سيروان،</w:t>
      </w:r>
      <w:r w:rsidRPr="00B5080E">
        <w:rPr>
          <w:rtl/>
        </w:rPr>
        <w:t xml:space="preserve"> 4 </w:t>
      </w:r>
      <w:r w:rsidRPr="00B5080E">
        <w:rPr>
          <w:rFonts w:hint="eastAsia"/>
          <w:rtl/>
        </w:rPr>
        <w:t>مجلد</w:t>
      </w:r>
      <w:r w:rsidRPr="00B5080E">
        <w:rPr>
          <w:rFonts w:hint="cs"/>
          <w:rtl/>
        </w:rPr>
        <w:t>،</w:t>
      </w:r>
      <w:r w:rsidRPr="00B5080E">
        <w:rPr>
          <w:rtl/>
        </w:rPr>
        <w:t xml:space="preserve"> </w:t>
      </w:r>
      <w:r w:rsidRPr="00B5080E">
        <w:rPr>
          <w:rFonts w:hint="eastAsia"/>
          <w:rtl/>
        </w:rPr>
        <w:t>الطبعة</w:t>
      </w:r>
      <w:r w:rsidRPr="00B5080E">
        <w:rPr>
          <w:rtl/>
        </w:rPr>
        <w:t xml:space="preserve"> </w:t>
      </w:r>
      <w:r w:rsidRPr="00B5080E">
        <w:rPr>
          <w:rFonts w:hint="eastAsia"/>
          <w:rtl/>
        </w:rPr>
        <w:t>الثالثة،</w:t>
      </w:r>
      <w:r w:rsidRPr="00B5080E">
        <w:rPr>
          <w:rtl/>
        </w:rPr>
        <w:t xml:space="preserve"> (</w:t>
      </w:r>
      <w:r w:rsidRPr="00B5080E">
        <w:rPr>
          <w:rFonts w:hint="eastAsia"/>
          <w:rtl/>
        </w:rPr>
        <w:t>بيروت</w:t>
      </w:r>
      <w:r w:rsidRPr="00B5080E">
        <w:rPr>
          <w:rtl/>
        </w:rPr>
        <w:t>).</w:t>
      </w:r>
    </w:p>
    <w:p w:rsidR="00EA09EB" w:rsidRPr="00B5080E" w:rsidRDefault="00EA09EB" w:rsidP="00B5080E">
      <w:r w:rsidRPr="00B5080E">
        <w:rPr>
          <w:rFonts w:hint="cs"/>
          <w:rtl/>
        </w:rPr>
        <w:t xml:space="preserve">ـ </w:t>
      </w:r>
      <w:r w:rsidRPr="00B5080E">
        <w:rPr>
          <w:rFonts w:hint="eastAsia"/>
          <w:rtl/>
        </w:rPr>
        <w:t>فاضل</w:t>
      </w:r>
      <w:r w:rsidRPr="00B5080E">
        <w:rPr>
          <w:rtl/>
        </w:rPr>
        <w:t xml:space="preserve"> </w:t>
      </w:r>
      <w:r w:rsidRPr="00B5080E">
        <w:rPr>
          <w:rFonts w:hint="cs"/>
          <w:rtl/>
        </w:rPr>
        <w:t>ال</w:t>
      </w:r>
      <w:r w:rsidRPr="00B5080E">
        <w:rPr>
          <w:rFonts w:hint="eastAsia"/>
          <w:rtl/>
        </w:rPr>
        <w:t>مقداد</w:t>
      </w:r>
      <w:r w:rsidRPr="00B5080E">
        <w:rPr>
          <w:rtl/>
        </w:rPr>
        <w:t xml:space="preserve"> </w:t>
      </w:r>
      <w:r w:rsidRPr="00B5080E">
        <w:rPr>
          <w:rFonts w:hint="cs"/>
          <w:rtl/>
        </w:rPr>
        <w:t>ال</w:t>
      </w:r>
      <w:r w:rsidRPr="00B5080E">
        <w:rPr>
          <w:rFonts w:hint="eastAsia"/>
          <w:rtl/>
        </w:rPr>
        <w:t>سيور</w:t>
      </w:r>
      <w:r w:rsidRPr="00B5080E">
        <w:rPr>
          <w:rFonts w:hint="cs"/>
          <w:rtl/>
        </w:rPr>
        <w:t>ي</w:t>
      </w:r>
      <w:r w:rsidRPr="00B5080E">
        <w:rPr>
          <w:rFonts w:hint="eastAsia"/>
          <w:rtl/>
        </w:rPr>
        <w:t>،</w:t>
      </w:r>
      <w:r w:rsidRPr="00B5080E">
        <w:rPr>
          <w:rtl/>
        </w:rPr>
        <w:t xml:space="preserve"> </w:t>
      </w:r>
      <w:r w:rsidRPr="00B5080E">
        <w:rPr>
          <w:rFonts w:hint="eastAsia"/>
          <w:rtl/>
        </w:rPr>
        <w:t>التنقيح</w:t>
      </w:r>
      <w:r w:rsidRPr="00B5080E">
        <w:rPr>
          <w:rtl/>
        </w:rPr>
        <w:t xml:space="preserve"> </w:t>
      </w:r>
      <w:r w:rsidRPr="00B5080E">
        <w:rPr>
          <w:rFonts w:hint="eastAsia"/>
          <w:rtl/>
        </w:rPr>
        <w:t>الرائع</w:t>
      </w:r>
      <w:r w:rsidRPr="00B5080E">
        <w:rPr>
          <w:rtl/>
        </w:rPr>
        <w:t xml:space="preserve"> </w:t>
      </w:r>
      <w:r w:rsidRPr="00B5080E">
        <w:rPr>
          <w:rFonts w:hint="eastAsia"/>
          <w:rtl/>
        </w:rPr>
        <w:t>لمختصر</w:t>
      </w:r>
      <w:r w:rsidRPr="00B5080E">
        <w:rPr>
          <w:rtl/>
        </w:rPr>
        <w:t xml:space="preserve"> </w:t>
      </w:r>
      <w:r w:rsidRPr="00B5080E">
        <w:rPr>
          <w:rFonts w:hint="eastAsia"/>
          <w:rtl/>
        </w:rPr>
        <w:t>الشرائع،</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السيد</w:t>
      </w:r>
      <w:r w:rsidRPr="00B5080E">
        <w:rPr>
          <w:rFonts w:hint="cs"/>
          <w:rtl/>
        </w:rPr>
        <w:t xml:space="preserve"> </w:t>
      </w:r>
      <w:r w:rsidRPr="00B5080E">
        <w:rPr>
          <w:rFonts w:hint="eastAsia"/>
          <w:rtl/>
        </w:rPr>
        <w:t>عبد</w:t>
      </w:r>
      <w:r w:rsidRPr="00B5080E">
        <w:rPr>
          <w:rFonts w:hint="cs"/>
          <w:rtl/>
        </w:rPr>
        <w:t xml:space="preserve"> </w:t>
      </w:r>
      <w:r w:rsidRPr="00B5080E">
        <w:rPr>
          <w:rFonts w:hint="eastAsia"/>
          <w:rtl/>
        </w:rPr>
        <w:t>اللطيف</w:t>
      </w:r>
      <w:r w:rsidRPr="00B5080E">
        <w:rPr>
          <w:rtl/>
        </w:rPr>
        <w:t xml:space="preserve"> </w:t>
      </w:r>
      <w:r w:rsidRPr="00B5080E">
        <w:rPr>
          <w:rFonts w:hint="eastAsia"/>
          <w:rtl/>
        </w:rPr>
        <w:t>كوهكمر</w:t>
      </w:r>
      <w:r w:rsidRPr="00B5080E">
        <w:rPr>
          <w:rFonts w:hint="cs"/>
          <w:rtl/>
        </w:rPr>
        <w:t>ي</w:t>
      </w:r>
      <w:r w:rsidRPr="00B5080E">
        <w:rPr>
          <w:rFonts w:hint="eastAsia"/>
          <w:rtl/>
        </w:rPr>
        <w:t>،</w:t>
      </w:r>
      <w:r w:rsidRPr="00B5080E">
        <w:rPr>
          <w:rtl/>
        </w:rPr>
        <w:t xml:space="preserve"> 4 </w:t>
      </w:r>
      <w:r w:rsidRPr="00B5080E">
        <w:rPr>
          <w:rFonts w:hint="eastAsia"/>
          <w:rtl/>
        </w:rPr>
        <w:t>مجلد،</w:t>
      </w:r>
      <w:r w:rsidRPr="00B5080E">
        <w:rPr>
          <w:rtl/>
        </w:rPr>
        <w:t xml:space="preserve"> (</w:t>
      </w:r>
      <w:r w:rsidRPr="00B5080E">
        <w:rPr>
          <w:rFonts w:hint="eastAsia"/>
          <w:rtl/>
        </w:rPr>
        <w:t>قم،</w:t>
      </w:r>
      <w:r w:rsidRPr="00B5080E">
        <w:rPr>
          <w:rtl/>
        </w:rPr>
        <w:t xml:space="preserve"> 1404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فاضل</w:t>
      </w:r>
      <w:r w:rsidRPr="00B5080E">
        <w:rPr>
          <w:rtl/>
        </w:rPr>
        <w:t xml:space="preserve"> </w:t>
      </w:r>
      <w:r w:rsidRPr="00B5080E">
        <w:rPr>
          <w:rFonts w:hint="cs"/>
          <w:rtl/>
        </w:rPr>
        <w:t>ال</w:t>
      </w:r>
      <w:r w:rsidRPr="00B5080E">
        <w:rPr>
          <w:rFonts w:hint="eastAsia"/>
          <w:rtl/>
        </w:rPr>
        <w:t>مقداد</w:t>
      </w:r>
      <w:r w:rsidRPr="00B5080E">
        <w:rPr>
          <w:rtl/>
        </w:rPr>
        <w:t xml:space="preserve"> </w:t>
      </w:r>
      <w:r w:rsidRPr="00B5080E">
        <w:rPr>
          <w:rFonts w:hint="cs"/>
          <w:rtl/>
        </w:rPr>
        <w:t>ال</w:t>
      </w:r>
      <w:r w:rsidRPr="00B5080E">
        <w:rPr>
          <w:rFonts w:hint="eastAsia"/>
          <w:rtl/>
        </w:rPr>
        <w:t>سيور</w:t>
      </w:r>
      <w:r w:rsidRPr="00B5080E">
        <w:rPr>
          <w:rFonts w:hint="cs"/>
          <w:rtl/>
        </w:rPr>
        <w:t>ي</w:t>
      </w:r>
      <w:r w:rsidRPr="00B5080E">
        <w:rPr>
          <w:rFonts w:hint="eastAsia"/>
          <w:rtl/>
        </w:rPr>
        <w:t>،</w:t>
      </w:r>
      <w:r w:rsidRPr="00B5080E">
        <w:rPr>
          <w:rtl/>
        </w:rPr>
        <w:t xml:space="preserve"> </w:t>
      </w:r>
      <w:r w:rsidRPr="00B5080E">
        <w:rPr>
          <w:rFonts w:hint="eastAsia"/>
          <w:rtl/>
        </w:rPr>
        <w:t>كنز</w:t>
      </w:r>
      <w:r w:rsidRPr="00B5080E">
        <w:rPr>
          <w:rtl/>
        </w:rPr>
        <w:t xml:space="preserve"> </w:t>
      </w:r>
      <w:r w:rsidRPr="00B5080E">
        <w:rPr>
          <w:rFonts w:hint="eastAsia"/>
          <w:rtl/>
        </w:rPr>
        <w:t>العرفان</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فقه</w:t>
      </w:r>
      <w:r w:rsidRPr="00B5080E">
        <w:rPr>
          <w:rtl/>
        </w:rPr>
        <w:t xml:space="preserve"> </w:t>
      </w:r>
      <w:r w:rsidRPr="00B5080E">
        <w:rPr>
          <w:rFonts w:hint="eastAsia"/>
          <w:rtl/>
        </w:rPr>
        <w:t>القرآن،</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محمّد</w:t>
      </w:r>
      <w:r w:rsidRPr="00B5080E">
        <w:rPr>
          <w:rFonts w:hint="cs"/>
          <w:rtl/>
        </w:rPr>
        <w:t xml:space="preserve"> </w:t>
      </w:r>
      <w:r w:rsidRPr="00B5080E">
        <w:rPr>
          <w:rFonts w:hint="eastAsia"/>
          <w:rtl/>
        </w:rPr>
        <w:t>باقر</w:t>
      </w:r>
      <w:r w:rsidRPr="00B5080E">
        <w:rPr>
          <w:rtl/>
        </w:rPr>
        <w:t xml:space="preserve"> </w:t>
      </w:r>
      <w:r w:rsidRPr="00B5080E">
        <w:rPr>
          <w:rFonts w:hint="eastAsia"/>
          <w:rtl/>
        </w:rPr>
        <w:t>بهبود</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1384</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فخرالمحق</w:t>
      </w:r>
      <w:r w:rsidRPr="00B5080E">
        <w:rPr>
          <w:rFonts w:hint="cs"/>
          <w:rtl/>
        </w:rPr>
        <w:t>ِّ</w:t>
      </w:r>
      <w:r w:rsidRPr="00B5080E">
        <w:rPr>
          <w:rFonts w:hint="eastAsia"/>
          <w:rtl/>
        </w:rPr>
        <w:t>قين</w:t>
      </w:r>
      <w:r w:rsidRPr="00B5080E">
        <w:rPr>
          <w:rtl/>
        </w:rPr>
        <w:t xml:space="preserve"> </w:t>
      </w:r>
      <w:r w:rsidRPr="00B5080E">
        <w:rPr>
          <w:rFonts w:hint="eastAsia"/>
          <w:rtl/>
        </w:rPr>
        <w:t>الحلّي،</w:t>
      </w:r>
      <w:r w:rsidRPr="00B5080E">
        <w:rPr>
          <w:rtl/>
        </w:rPr>
        <w:t xml:space="preserve"> </w:t>
      </w:r>
      <w:r w:rsidRPr="00B5080E">
        <w:rPr>
          <w:rFonts w:hint="cs"/>
          <w:rtl/>
        </w:rPr>
        <w:t>إ</w:t>
      </w:r>
      <w:r w:rsidRPr="00B5080E">
        <w:rPr>
          <w:rFonts w:hint="eastAsia"/>
          <w:rtl/>
        </w:rPr>
        <w:t>يضاح</w:t>
      </w:r>
      <w:r w:rsidRPr="00B5080E">
        <w:rPr>
          <w:rtl/>
        </w:rPr>
        <w:t xml:space="preserve"> </w:t>
      </w:r>
      <w:r w:rsidRPr="00B5080E">
        <w:rPr>
          <w:rFonts w:hint="eastAsia"/>
          <w:rtl/>
        </w:rPr>
        <w:t>الفوائد</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مشكلات</w:t>
      </w:r>
      <w:r w:rsidRPr="00B5080E">
        <w:rPr>
          <w:rtl/>
        </w:rPr>
        <w:t xml:space="preserve"> </w:t>
      </w:r>
      <w:r w:rsidRPr="00B5080E">
        <w:rPr>
          <w:rFonts w:hint="eastAsia"/>
          <w:rtl/>
        </w:rPr>
        <w:t>القواعد،</w:t>
      </w:r>
      <w:r w:rsidRPr="00B5080E">
        <w:rPr>
          <w:rtl/>
        </w:rPr>
        <w:t xml:space="preserve"> 4 </w:t>
      </w:r>
      <w:r w:rsidRPr="00B5080E">
        <w:rPr>
          <w:rFonts w:hint="eastAsia"/>
          <w:rtl/>
        </w:rPr>
        <w:t>مجلد،</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فقه</w:t>
      </w:r>
      <w:r w:rsidRPr="00B5080E">
        <w:rPr>
          <w:rtl/>
        </w:rPr>
        <w:t xml:space="preserve"> </w:t>
      </w:r>
      <w:r w:rsidRPr="00B5080E">
        <w:rPr>
          <w:rFonts w:hint="eastAsia"/>
          <w:rtl/>
        </w:rPr>
        <w:t>الرضا</w:t>
      </w:r>
      <w:r w:rsidRPr="00B5080E">
        <w:rPr>
          <w:rtl/>
        </w:rPr>
        <w:t xml:space="preserve"> (</w:t>
      </w:r>
      <w:r w:rsidRPr="00B5080E">
        <w:rPr>
          <w:rFonts w:hint="eastAsia"/>
          <w:rtl/>
        </w:rPr>
        <w:t>الفقه</w:t>
      </w:r>
      <w:r w:rsidRPr="00B5080E">
        <w:rPr>
          <w:rtl/>
        </w:rPr>
        <w:t xml:space="preserve"> </w:t>
      </w:r>
      <w:r w:rsidRPr="00B5080E">
        <w:rPr>
          <w:rFonts w:hint="eastAsia"/>
          <w:rtl/>
        </w:rPr>
        <w:t>المنسوب</w:t>
      </w:r>
      <w:r w:rsidRPr="00B5080E">
        <w:rPr>
          <w:rtl/>
        </w:rPr>
        <w:t xml:space="preserve"> </w:t>
      </w:r>
      <w:r w:rsidRPr="00B5080E">
        <w:rPr>
          <w:rFonts w:hint="cs"/>
          <w:rtl/>
        </w:rPr>
        <w:t>إلى ا</w:t>
      </w:r>
      <w:r w:rsidRPr="00B5080E">
        <w:rPr>
          <w:rFonts w:hint="eastAsia"/>
          <w:rtl/>
        </w:rPr>
        <w:t>ل</w:t>
      </w:r>
      <w:r w:rsidRPr="00B5080E">
        <w:rPr>
          <w:rFonts w:hint="cs"/>
          <w:rtl/>
        </w:rPr>
        <w:t>إ</w:t>
      </w:r>
      <w:r w:rsidRPr="00B5080E">
        <w:rPr>
          <w:rFonts w:hint="eastAsia"/>
          <w:rtl/>
        </w:rPr>
        <w:t>مام</w:t>
      </w:r>
      <w:r w:rsidRPr="00B5080E">
        <w:rPr>
          <w:rtl/>
        </w:rPr>
        <w:t xml:space="preserve"> </w:t>
      </w:r>
      <w:r w:rsidRPr="00B5080E">
        <w:rPr>
          <w:rFonts w:hint="eastAsia"/>
          <w:rtl/>
        </w:rPr>
        <w:t>الرضا</w:t>
      </w:r>
      <w:r w:rsidRPr="00B5080E">
        <w:rPr>
          <w:rFonts w:hint="cs"/>
          <w:rtl/>
        </w:rPr>
        <w:t>×</w:t>
      </w:r>
      <w:r w:rsidRPr="00B5080E">
        <w:rPr>
          <w:rtl/>
        </w:rPr>
        <w:t>)</w:t>
      </w:r>
      <w:r w:rsidRPr="00B5080E">
        <w:rPr>
          <w:rFonts w:hint="eastAsia"/>
          <w:rtl/>
        </w:rPr>
        <w:t>،</w:t>
      </w:r>
      <w:r w:rsidRPr="00B5080E">
        <w:rPr>
          <w:rtl/>
        </w:rPr>
        <w:t xml:space="preserve"> </w:t>
      </w:r>
      <w:r w:rsidRPr="00B5080E">
        <w:rPr>
          <w:rFonts w:hint="eastAsia"/>
          <w:rtl/>
        </w:rPr>
        <w:t>تحقيق</w:t>
      </w:r>
      <w:r w:rsidRPr="00B5080E">
        <w:rPr>
          <w:rtl/>
        </w:rPr>
        <w:t xml:space="preserve"> </w:t>
      </w:r>
      <w:r w:rsidRPr="00B5080E">
        <w:rPr>
          <w:rFonts w:hint="eastAsia"/>
          <w:rtl/>
        </w:rPr>
        <w:t>مؤسسة</w:t>
      </w:r>
      <w:r w:rsidRPr="00B5080E">
        <w:rPr>
          <w:rtl/>
        </w:rPr>
        <w:t xml:space="preserve"> </w:t>
      </w:r>
      <w:r w:rsidRPr="00B5080E">
        <w:rPr>
          <w:rFonts w:hint="eastAsia"/>
          <w:rtl/>
        </w:rPr>
        <w:t>آل</w:t>
      </w:r>
      <w:r w:rsidRPr="00B5080E">
        <w:rPr>
          <w:rtl/>
        </w:rPr>
        <w:t xml:space="preserve"> </w:t>
      </w:r>
      <w:r w:rsidRPr="00B5080E">
        <w:rPr>
          <w:rFonts w:hint="eastAsia"/>
          <w:rtl/>
        </w:rPr>
        <w:t>البيت</w:t>
      </w:r>
      <w:r w:rsidR="007A340E" w:rsidRPr="00B5080E">
        <w:rPr>
          <w:rFonts w:hint="cs"/>
          <w:rtl/>
        </w:rPr>
        <w:t>^</w:t>
      </w:r>
      <w:r w:rsidRPr="00B5080E">
        <w:rPr>
          <w:rFonts w:hint="cs"/>
          <w:rtl/>
        </w:rPr>
        <w:t xml:space="preserve"> </w:t>
      </w:r>
      <w:r w:rsidRPr="00B5080E">
        <w:rPr>
          <w:rFonts w:hint="eastAsia"/>
          <w:rtl/>
        </w:rPr>
        <w:t>ل</w:t>
      </w:r>
      <w:r w:rsidRPr="00B5080E">
        <w:rPr>
          <w:rFonts w:hint="cs"/>
          <w:rtl/>
        </w:rPr>
        <w:t>إ</w:t>
      </w:r>
      <w:r w:rsidRPr="00B5080E">
        <w:rPr>
          <w:rFonts w:hint="eastAsia"/>
          <w:rtl/>
        </w:rPr>
        <w:t>حياء</w:t>
      </w:r>
      <w:r w:rsidRPr="00B5080E">
        <w:rPr>
          <w:rtl/>
        </w:rPr>
        <w:t xml:space="preserve"> </w:t>
      </w:r>
      <w:r w:rsidRPr="00B5080E">
        <w:rPr>
          <w:rFonts w:hint="eastAsia"/>
          <w:rtl/>
        </w:rPr>
        <w:t>التراث،</w:t>
      </w:r>
      <w:r w:rsidRPr="00B5080E">
        <w:rPr>
          <w:rtl/>
        </w:rPr>
        <w:t xml:space="preserve"> (</w:t>
      </w:r>
      <w:r w:rsidRPr="00B5080E">
        <w:rPr>
          <w:rFonts w:hint="eastAsia"/>
          <w:rtl/>
        </w:rPr>
        <w:t>مشهد،</w:t>
      </w:r>
      <w:r w:rsidRPr="00B5080E">
        <w:rPr>
          <w:rtl/>
        </w:rPr>
        <w:t xml:space="preserve"> 1406</w:t>
      </w:r>
      <w:r w:rsidRPr="00B5080E">
        <w:rPr>
          <w:rFonts w:hint="cs"/>
          <w:rtl/>
        </w:rPr>
        <w:t>هـ</w:t>
      </w:r>
      <w:r w:rsidRPr="00B5080E">
        <w:rPr>
          <w:rtl/>
        </w:rPr>
        <w:t>).</w:t>
      </w:r>
    </w:p>
    <w:p w:rsidR="00EA09EB" w:rsidRPr="00B5080E" w:rsidRDefault="00EA09EB" w:rsidP="00B5080E">
      <w:r w:rsidRPr="00B5080E">
        <w:rPr>
          <w:rFonts w:hint="cs"/>
          <w:rtl/>
        </w:rPr>
        <w:t>ـ ال</w:t>
      </w:r>
      <w:r w:rsidRPr="00B5080E">
        <w:rPr>
          <w:rFonts w:hint="eastAsia"/>
          <w:rtl/>
        </w:rPr>
        <w:t>ملا</w:t>
      </w:r>
      <w:r w:rsidRPr="00B5080E">
        <w:rPr>
          <w:rFonts w:hint="cs"/>
          <w:rtl/>
        </w:rPr>
        <w:t xml:space="preserve"> </w:t>
      </w:r>
      <w:r w:rsidRPr="00B5080E">
        <w:rPr>
          <w:rFonts w:hint="eastAsia"/>
          <w:rtl/>
        </w:rPr>
        <w:t>محسن</w:t>
      </w:r>
      <w:r w:rsidRPr="00B5080E">
        <w:rPr>
          <w:rtl/>
        </w:rPr>
        <w:t xml:space="preserve"> </w:t>
      </w:r>
      <w:r w:rsidRPr="00B5080E">
        <w:rPr>
          <w:rFonts w:hint="eastAsia"/>
          <w:rtl/>
        </w:rPr>
        <w:t>الفيض</w:t>
      </w:r>
      <w:r w:rsidRPr="00B5080E">
        <w:rPr>
          <w:rtl/>
        </w:rPr>
        <w:t xml:space="preserve"> </w:t>
      </w:r>
      <w:r w:rsidRPr="00B5080E">
        <w:rPr>
          <w:rFonts w:hint="eastAsia"/>
          <w:rtl/>
        </w:rPr>
        <w:t>الكاشاني،</w:t>
      </w:r>
      <w:r w:rsidRPr="00B5080E">
        <w:rPr>
          <w:rtl/>
        </w:rPr>
        <w:t xml:space="preserve"> </w:t>
      </w:r>
      <w:r w:rsidRPr="00B5080E">
        <w:rPr>
          <w:rFonts w:hint="eastAsia"/>
          <w:rtl/>
        </w:rPr>
        <w:t>تفسير</w:t>
      </w:r>
      <w:r w:rsidRPr="00B5080E">
        <w:rPr>
          <w:rtl/>
        </w:rPr>
        <w:t xml:space="preserve"> </w:t>
      </w:r>
      <w:r w:rsidRPr="00B5080E">
        <w:rPr>
          <w:rFonts w:hint="eastAsia"/>
          <w:rtl/>
        </w:rPr>
        <w:t>الصاف</w:t>
      </w:r>
      <w:r w:rsidRPr="00B5080E">
        <w:rPr>
          <w:rFonts w:hint="cs"/>
          <w:rtl/>
        </w:rPr>
        <w:t>ي</w:t>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الشيخ</w:t>
      </w:r>
      <w:r w:rsidRPr="00B5080E">
        <w:rPr>
          <w:rtl/>
        </w:rPr>
        <w:t xml:space="preserve"> </w:t>
      </w:r>
      <w:r w:rsidRPr="00B5080E">
        <w:rPr>
          <w:rFonts w:hint="eastAsia"/>
          <w:rtl/>
        </w:rPr>
        <w:t>حسين</w:t>
      </w:r>
      <w:r w:rsidRPr="00B5080E">
        <w:rPr>
          <w:rtl/>
        </w:rPr>
        <w:t xml:space="preserve"> </w:t>
      </w:r>
      <w:r w:rsidRPr="00B5080E">
        <w:rPr>
          <w:rFonts w:hint="cs"/>
          <w:rtl/>
        </w:rPr>
        <w:t>أ</w:t>
      </w:r>
      <w:r w:rsidRPr="00B5080E">
        <w:rPr>
          <w:rFonts w:hint="eastAsia"/>
          <w:rtl/>
        </w:rPr>
        <w:t>علم</w:t>
      </w:r>
      <w:r w:rsidRPr="00B5080E">
        <w:rPr>
          <w:rFonts w:hint="cs"/>
          <w:rtl/>
        </w:rPr>
        <w:t>ي</w:t>
      </w:r>
      <w:r w:rsidRPr="00B5080E">
        <w:rPr>
          <w:rFonts w:hint="eastAsia"/>
          <w:rtl/>
        </w:rPr>
        <w:t>،</w:t>
      </w:r>
      <w:r w:rsidRPr="00B5080E">
        <w:rPr>
          <w:rtl/>
        </w:rPr>
        <w:t xml:space="preserve"> 5 </w:t>
      </w:r>
      <w:r w:rsidRPr="00B5080E">
        <w:rPr>
          <w:rFonts w:hint="eastAsia"/>
          <w:rtl/>
        </w:rPr>
        <w:t>مجلد،</w:t>
      </w:r>
      <w:r w:rsidRPr="00B5080E">
        <w:rPr>
          <w:rtl/>
        </w:rPr>
        <w:t xml:space="preserve"> (</w:t>
      </w:r>
      <w:r w:rsidRPr="00B5080E">
        <w:rPr>
          <w:rFonts w:hint="eastAsia"/>
          <w:rtl/>
        </w:rPr>
        <w:t>بيروت</w:t>
      </w:r>
      <w:r w:rsidRPr="00B5080E">
        <w:rPr>
          <w:rtl/>
        </w:rPr>
        <w:t>).</w:t>
      </w:r>
    </w:p>
    <w:p w:rsidR="00EA09EB" w:rsidRPr="00B5080E" w:rsidRDefault="00EA09EB" w:rsidP="00B5080E">
      <w:r w:rsidRPr="00B5080E">
        <w:rPr>
          <w:rFonts w:hint="cs"/>
          <w:rtl/>
        </w:rPr>
        <w:t>ـ ال</w:t>
      </w:r>
      <w:r w:rsidRPr="00B5080E">
        <w:rPr>
          <w:rFonts w:hint="eastAsia"/>
          <w:rtl/>
        </w:rPr>
        <w:t>ملا</w:t>
      </w:r>
      <w:r w:rsidRPr="00B5080E">
        <w:rPr>
          <w:rFonts w:hint="cs"/>
          <w:rtl/>
        </w:rPr>
        <w:t xml:space="preserve"> </w:t>
      </w:r>
      <w:r w:rsidRPr="00B5080E">
        <w:rPr>
          <w:rFonts w:hint="eastAsia"/>
          <w:rtl/>
        </w:rPr>
        <w:t>محسن</w:t>
      </w:r>
      <w:r w:rsidRPr="00B5080E">
        <w:rPr>
          <w:rtl/>
        </w:rPr>
        <w:t xml:space="preserve"> </w:t>
      </w:r>
      <w:r w:rsidRPr="00B5080E">
        <w:rPr>
          <w:rFonts w:hint="eastAsia"/>
          <w:rtl/>
        </w:rPr>
        <w:t>الفيض</w:t>
      </w:r>
      <w:r w:rsidRPr="00B5080E">
        <w:rPr>
          <w:rtl/>
        </w:rPr>
        <w:t xml:space="preserve"> </w:t>
      </w:r>
      <w:r w:rsidRPr="00B5080E">
        <w:rPr>
          <w:rFonts w:hint="eastAsia"/>
          <w:rtl/>
        </w:rPr>
        <w:t>الكاشاني،</w:t>
      </w:r>
      <w:r w:rsidRPr="00B5080E">
        <w:rPr>
          <w:rtl/>
        </w:rPr>
        <w:t xml:space="preserve"> </w:t>
      </w:r>
      <w:r w:rsidRPr="00B5080E">
        <w:rPr>
          <w:rFonts w:hint="eastAsia"/>
          <w:rtl/>
        </w:rPr>
        <w:t>علم</w:t>
      </w:r>
      <w:r w:rsidRPr="00B5080E">
        <w:rPr>
          <w:rtl/>
        </w:rPr>
        <w:t xml:space="preserve"> </w:t>
      </w:r>
      <w:r w:rsidRPr="00B5080E">
        <w:rPr>
          <w:rFonts w:hint="eastAsia"/>
          <w:rtl/>
        </w:rPr>
        <w:t>اليقين،</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محسن</w:t>
      </w:r>
      <w:r w:rsidRPr="00B5080E">
        <w:rPr>
          <w:rtl/>
        </w:rPr>
        <w:t xml:space="preserve"> </w:t>
      </w:r>
      <w:r w:rsidRPr="00B5080E">
        <w:rPr>
          <w:rFonts w:hint="eastAsia"/>
          <w:rtl/>
        </w:rPr>
        <w:t>بيدارفر،</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 xml:space="preserve"> 1400</w:t>
      </w:r>
      <w:r w:rsidRPr="00B5080E">
        <w:rPr>
          <w:rFonts w:hint="cs"/>
          <w:rtl/>
        </w:rPr>
        <w:t>هـ</w:t>
      </w:r>
      <w:r w:rsidRPr="00B5080E">
        <w:rPr>
          <w:rtl/>
        </w:rPr>
        <w:t>).</w:t>
      </w:r>
    </w:p>
    <w:p w:rsidR="00EA09EB" w:rsidRPr="00B5080E" w:rsidRDefault="00EA09EB" w:rsidP="00B5080E">
      <w:r w:rsidRPr="00B5080E">
        <w:rPr>
          <w:rFonts w:hint="cs"/>
          <w:rtl/>
        </w:rPr>
        <w:t>ـ ال</w:t>
      </w:r>
      <w:r w:rsidRPr="00B5080E">
        <w:rPr>
          <w:rFonts w:hint="eastAsia"/>
          <w:rtl/>
        </w:rPr>
        <w:t>ملا</w:t>
      </w:r>
      <w:r w:rsidRPr="00B5080E">
        <w:rPr>
          <w:rFonts w:hint="cs"/>
          <w:rtl/>
        </w:rPr>
        <w:t xml:space="preserve"> </w:t>
      </w:r>
      <w:r w:rsidRPr="00B5080E">
        <w:rPr>
          <w:rFonts w:hint="eastAsia"/>
          <w:rtl/>
        </w:rPr>
        <w:t>محسن</w:t>
      </w:r>
      <w:r w:rsidRPr="00B5080E">
        <w:rPr>
          <w:rtl/>
        </w:rPr>
        <w:t xml:space="preserve"> </w:t>
      </w:r>
      <w:r w:rsidRPr="00B5080E">
        <w:rPr>
          <w:rFonts w:hint="eastAsia"/>
          <w:rtl/>
        </w:rPr>
        <w:t>الفيض</w:t>
      </w:r>
      <w:r w:rsidRPr="00B5080E">
        <w:rPr>
          <w:rtl/>
        </w:rPr>
        <w:t xml:space="preserve"> </w:t>
      </w:r>
      <w:r w:rsidRPr="00B5080E">
        <w:rPr>
          <w:rFonts w:hint="eastAsia"/>
          <w:rtl/>
        </w:rPr>
        <w:t>الكاشاني،</w:t>
      </w:r>
      <w:r w:rsidRPr="00B5080E">
        <w:rPr>
          <w:rtl/>
        </w:rPr>
        <w:t xml:space="preserve"> </w:t>
      </w:r>
      <w:r w:rsidRPr="00B5080E">
        <w:rPr>
          <w:rFonts w:hint="eastAsia"/>
          <w:rtl/>
        </w:rPr>
        <w:t>المحجة</w:t>
      </w:r>
      <w:r w:rsidRPr="00B5080E">
        <w:rPr>
          <w:rtl/>
        </w:rPr>
        <w:t xml:space="preserve"> </w:t>
      </w:r>
      <w:r w:rsidRPr="00B5080E">
        <w:rPr>
          <w:rFonts w:hint="eastAsia"/>
          <w:rtl/>
        </w:rPr>
        <w:t>البيضاء</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cs"/>
          <w:rtl/>
        </w:rPr>
        <w:t>إ</w:t>
      </w:r>
      <w:r w:rsidRPr="00B5080E">
        <w:rPr>
          <w:rFonts w:hint="eastAsia"/>
          <w:rtl/>
        </w:rPr>
        <w:t>حياء</w:t>
      </w:r>
      <w:r w:rsidRPr="00B5080E">
        <w:rPr>
          <w:rtl/>
        </w:rPr>
        <w:t xml:space="preserve"> </w:t>
      </w:r>
      <w:r w:rsidRPr="00B5080E">
        <w:rPr>
          <w:rFonts w:hint="eastAsia"/>
          <w:rtl/>
        </w:rPr>
        <w:t>ال</w:t>
      </w:r>
      <w:r w:rsidRPr="00B5080E">
        <w:rPr>
          <w:rFonts w:hint="cs"/>
          <w:rtl/>
        </w:rPr>
        <w:t>إ</w:t>
      </w:r>
      <w:r w:rsidRPr="00B5080E">
        <w:rPr>
          <w:rFonts w:hint="eastAsia"/>
          <w:rtl/>
        </w:rPr>
        <w:t>حياء،</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cs"/>
          <w:rtl/>
        </w:rPr>
        <w:t>أ</w:t>
      </w:r>
      <w:r w:rsidRPr="00B5080E">
        <w:rPr>
          <w:rFonts w:hint="eastAsia"/>
          <w:rtl/>
        </w:rPr>
        <w:t>كبر</w:t>
      </w:r>
      <w:r w:rsidRPr="00B5080E">
        <w:rPr>
          <w:rtl/>
        </w:rPr>
        <w:t xml:space="preserve"> </w:t>
      </w:r>
      <w:r w:rsidRPr="00B5080E">
        <w:rPr>
          <w:rFonts w:hint="eastAsia"/>
          <w:rtl/>
        </w:rPr>
        <w:t>غفاري،</w:t>
      </w:r>
      <w:r w:rsidRPr="00B5080E">
        <w:rPr>
          <w:rtl/>
        </w:rPr>
        <w:t xml:space="preserve"> 8 مجلدات، </w:t>
      </w:r>
      <w:r w:rsidRPr="00B5080E">
        <w:rPr>
          <w:rFonts w:hint="eastAsia"/>
          <w:rtl/>
        </w:rPr>
        <w:t>الطبعة</w:t>
      </w:r>
      <w:r w:rsidRPr="00B5080E">
        <w:rPr>
          <w:rtl/>
        </w:rPr>
        <w:t xml:space="preserve"> </w:t>
      </w:r>
      <w:r w:rsidRPr="00B5080E">
        <w:rPr>
          <w:rFonts w:hint="eastAsia"/>
          <w:rtl/>
        </w:rPr>
        <w:t>الثانية،</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آقا</w:t>
      </w:r>
      <w:r w:rsidRPr="00B5080E">
        <w:rPr>
          <w:rtl/>
        </w:rPr>
        <w:t xml:space="preserve"> </w:t>
      </w:r>
      <w:r w:rsidRPr="00B5080E">
        <w:rPr>
          <w:rFonts w:hint="eastAsia"/>
          <w:rtl/>
        </w:rPr>
        <w:t>محمّد</w:t>
      </w:r>
      <w:r w:rsidRPr="00B5080E">
        <w:rPr>
          <w:rFonts w:hint="cs"/>
          <w:rtl/>
        </w:rPr>
        <w:t xml:space="preserve"> </w:t>
      </w:r>
      <w:r w:rsidRPr="00B5080E">
        <w:rPr>
          <w:rFonts w:hint="eastAsia"/>
          <w:rtl/>
        </w:rPr>
        <w:t>رضا</w:t>
      </w:r>
      <w:r w:rsidRPr="00B5080E">
        <w:rPr>
          <w:rtl/>
        </w:rPr>
        <w:t xml:space="preserve"> </w:t>
      </w:r>
      <w:r w:rsidRPr="00B5080E">
        <w:rPr>
          <w:rFonts w:hint="eastAsia"/>
          <w:rtl/>
        </w:rPr>
        <w:t>قمشه</w:t>
      </w:r>
      <w:r w:rsidRPr="00B5080E">
        <w:rPr>
          <w:rFonts w:hint="cs"/>
          <w:rtl/>
        </w:rPr>
        <w:t xml:space="preserve"> إي</w:t>
      </w:r>
      <w:r w:rsidRPr="00B5080E">
        <w:rPr>
          <w:rFonts w:hint="eastAsia"/>
          <w:rtl/>
        </w:rPr>
        <w:t>،</w:t>
      </w:r>
      <w:r w:rsidRPr="00B5080E">
        <w:rPr>
          <w:rtl/>
        </w:rPr>
        <w:t xml:space="preserve"> </w:t>
      </w:r>
      <w:r w:rsidRPr="00B5080E">
        <w:rPr>
          <w:rFonts w:hint="eastAsia"/>
          <w:rtl/>
        </w:rPr>
        <w:t>تعليقات</w:t>
      </w:r>
      <w:r w:rsidRPr="00B5080E">
        <w:rPr>
          <w:rtl/>
        </w:rPr>
        <w:t xml:space="preserve"> </w:t>
      </w:r>
      <w:r w:rsidRPr="00B5080E">
        <w:rPr>
          <w:rFonts w:hint="eastAsia"/>
          <w:rtl/>
        </w:rPr>
        <w:t>على</w:t>
      </w:r>
      <w:r w:rsidRPr="00B5080E">
        <w:rPr>
          <w:rtl/>
        </w:rPr>
        <w:t xml:space="preserve"> </w:t>
      </w:r>
      <w:r w:rsidRPr="00B5080E">
        <w:rPr>
          <w:rFonts w:hint="eastAsia"/>
          <w:rtl/>
        </w:rPr>
        <w:t>فصوص</w:t>
      </w:r>
      <w:r w:rsidRPr="00B5080E">
        <w:rPr>
          <w:rtl/>
        </w:rPr>
        <w:t xml:space="preserve"> </w:t>
      </w:r>
      <w:r w:rsidRPr="00B5080E">
        <w:rPr>
          <w:rFonts w:hint="eastAsia"/>
          <w:rtl/>
        </w:rPr>
        <w:t>الحكم،</w:t>
      </w:r>
      <w:r w:rsidRPr="00B5080E">
        <w:rPr>
          <w:rtl/>
        </w:rPr>
        <w:t xml:space="preserve"> </w:t>
      </w:r>
      <w:r w:rsidRPr="00B5080E">
        <w:rPr>
          <w:rFonts w:hint="eastAsia"/>
          <w:rtl/>
        </w:rPr>
        <w:t>تحقيق</w:t>
      </w:r>
      <w:r w:rsidRPr="00B5080E">
        <w:rPr>
          <w:rtl/>
        </w:rPr>
        <w:t xml:space="preserve"> </w:t>
      </w:r>
      <w:r w:rsidRPr="00B5080E">
        <w:rPr>
          <w:rFonts w:hint="eastAsia"/>
          <w:rtl/>
        </w:rPr>
        <w:t>فى</w:t>
      </w:r>
      <w:r w:rsidRPr="00B5080E">
        <w:rPr>
          <w:rtl/>
        </w:rPr>
        <w:t xml:space="preserve"> </w:t>
      </w:r>
      <w:r w:rsidRPr="00B5080E">
        <w:rPr>
          <w:rFonts w:hint="eastAsia"/>
          <w:rtl/>
        </w:rPr>
        <w:t>مباحث</w:t>
      </w:r>
      <w:r w:rsidRPr="00B5080E">
        <w:rPr>
          <w:rtl/>
        </w:rPr>
        <w:t xml:space="preserve"> </w:t>
      </w:r>
      <w:r w:rsidRPr="00B5080E">
        <w:rPr>
          <w:rFonts w:hint="eastAsia"/>
          <w:rtl/>
        </w:rPr>
        <w:t>الولاية</w:t>
      </w:r>
      <w:r w:rsidRPr="00B5080E">
        <w:rPr>
          <w:rtl/>
        </w:rPr>
        <w:t xml:space="preserve"> </w:t>
      </w:r>
      <w:r w:rsidRPr="00B5080E">
        <w:rPr>
          <w:rFonts w:hint="eastAsia"/>
          <w:rtl/>
        </w:rPr>
        <w:t>الكلية،</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السيد</w:t>
      </w:r>
      <w:r w:rsidRPr="00B5080E">
        <w:rPr>
          <w:rtl/>
        </w:rPr>
        <w:t xml:space="preserve"> </w:t>
      </w:r>
      <w:r w:rsidRPr="00B5080E">
        <w:rPr>
          <w:rFonts w:hint="eastAsia"/>
          <w:rtl/>
        </w:rPr>
        <w:t>جلال</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آشتيان</w:t>
      </w:r>
      <w:r w:rsidRPr="00B5080E">
        <w:rPr>
          <w:rFonts w:hint="cs"/>
          <w:rtl/>
        </w:rPr>
        <w:t>ي</w:t>
      </w:r>
      <w:r w:rsidRPr="00B5080E">
        <w:rPr>
          <w:rFonts w:hint="eastAsia"/>
          <w:rtl/>
        </w:rPr>
        <w:t>،</w:t>
      </w:r>
      <w:r w:rsidRPr="00B5080E">
        <w:rPr>
          <w:rtl/>
        </w:rPr>
        <w:t xml:space="preserve"> </w:t>
      </w:r>
      <w:r w:rsidRPr="00B5080E">
        <w:rPr>
          <w:rFonts w:hint="eastAsia"/>
          <w:rtl/>
        </w:rPr>
        <w:t>مع</w:t>
      </w:r>
      <w:r w:rsidRPr="00B5080E">
        <w:rPr>
          <w:rtl/>
        </w:rPr>
        <w:t xml:space="preserve"> </w:t>
      </w:r>
      <w:r w:rsidRPr="00B5080E">
        <w:rPr>
          <w:rFonts w:hint="eastAsia"/>
          <w:rtl/>
        </w:rPr>
        <w:t>رسائل</w:t>
      </w:r>
      <w:r w:rsidRPr="00B5080E">
        <w:rPr>
          <w:rtl/>
        </w:rPr>
        <w:t xml:space="preserve"> </w:t>
      </w:r>
      <w:r w:rsidRPr="00B5080E">
        <w:rPr>
          <w:rFonts w:hint="eastAsia"/>
          <w:rtl/>
        </w:rPr>
        <w:t>قيصر</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1357</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عل</w:t>
      </w:r>
      <w:r w:rsidRPr="00B5080E">
        <w:rPr>
          <w:rFonts w:hint="cs"/>
          <w:rtl/>
        </w:rPr>
        <w:t>ي</w:t>
      </w:r>
      <w:r w:rsidRPr="00B5080E">
        <w:rPr>
          <w:rtl/>
        </w:rPr>
        <w:t xml:space="preserve"> </w:t>
      </w:r>
      <w:r w:rsidRPr="00B5080E">
        <w:rPr>
          <w:rFonts w:hint="eastAsia"/>
          <w:rtl/>
        </w:rPr>
        <w:t>بن</w:t>
      </w:r>
      <w:r w:rsidRPr="00B5080E">
        <w:rPr>
          <w:rtl/>
        </w:rPr>
        <w:t xml:space="preserve"> </w:t>
      </w:r>
      <w:r w:rsidRPr="00B5080E">
        <w:rPr>
          <w:rFonts w:hint="cs"/>
          <w:rtl/>
        </w:rPr>
        <w:t>إ</w:t>
      </w:r>
      <w:r w:rsidRPr="00B5080E">
        <w:rPr>
          <w:rFonts w:hint="eastAsia"/>
          <w:rtl/>
        </w:rPr>
        <w:t>براهيم</w:t>
      </w:r>
      <w:r w:rsidRPr="00B5080E">
        <w:rPr>
          <w:rtl/>
        </w:rPr>
        <w:t xml:space="preserve"> </w:t>
      </w:r>
      <w:r w:rsidRPr="00B5080E">
        <w:rPr>
          <w:rFonts w:hint="eastAsia"/>
          <w:rtl/>
        </w:rPr>
        <w:t>القم</w:t>
      </w:r>
      <w:r w:rsidRPr="00B5080E">
        <w:rPr>
          <w:rFonts w:hint="cs"/>
          <w:rtl/>
        </w:rPr>
        <w:t>ّ</w:t>
      </w:r>
      <w:r w:rsidRPr="00B5080E">
        <w:rPr>
          <w:rFonts w:hint="eastAsia"/>
          <w:rtl/>
        </w:rPr>
        <w:t>ي،</w:t>
      </w:r>
      <w:r w:rsidRPr="00B5080E">
        <w:rPr>
          <w:rtl/>
        </w:rPr>
        <w:t xml:space="preserve"> </w:t>
      </w:r>
      <w:r w:rsidRPr="00B5080E">
        <w:rPr>
          <w:rFonts w:hint="eastAsia"/>
          <w:rtl/>
        </w:rPr>
        <w:t>تفسير</w:t>
      </w:r>
      <w:r w:rsidRPr="00B5080E">
        <w:rPr>
          <w:rtl/>
        </w:rPr>
        <w:t xml:space="preserve"> </w:t>
      </w:r>
      <w:r w:rsidRPr="00B5080E">
        <w:rPr>
          <w:rFonts w:hint="eastAsia"/>
          <w:rtl/>
        </w:rPr>
        <w:t>القم</w:t>
      </w:r>
      <w:r w:rsidRPr="00B5080E">
        <w:rPr>
          <w:rFonts w:hint="cs"/>
          <w:rtl/>
        </w:rPr>
        <w:t>ّ</w:t>
      </w:r>
      <w:r w:rsidRPr="00B5080E">
        <w:rPr>
          <w:rFonts w:hint="eastAsia"/>
          <w:rtl/>
        </w:rPr>
        <w:t>ي،</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السيد</w:t>
      </w:r>
      <w:r w:rsidRPr="00B5080E">
        <w:rPr>
          <w:rtl/>
        </w:rPr>
        <w:t xml:space="preserve"> </w:t>
      </w:r>
      <w:r w:rsidRPr="00B5080E">
        <w:rPr>
          <w:rFonts w:hint="eastAsia"/>
          <w:rtl/>
        </w:rPr>
        <w:t>طيب</w:t>
      </w:r>
      <w:r w:rsidRPr="00B5080E">
        <w:rPr>
          <w:rtl/>
        </w:rPr>
        <w:t xml:space="preserve"> </w:t>
      </w:r>
      <w:r w:rsidRPr="00B5080E">
        <w:rPr>
          <w:rFonts w:hint="eastAsia"/>
          <w:rtl/>
        </w:rPr>
        <w:t>الموسوي</w:t>
      </w:r>
      <w:r w:rsidRPr="00B5080E">
        <w:rPr>
          <w:rtl/>
        </w:rPr>
        <w:t xml:space="preserve"> </w:t>
      </w:r>
      <w:r w:rsidRPr="00B5080E">
        <w:rPr>
          <w:rFonts w:hint="cs"/>
          <w:rtl/>
        </w:rPr>
        <w:t>ال</w:t>
      </w:r>
      <w:r w:rsidRPr="00B5080E">
        <w:rPr>
          <w:rFonts w:hint="eastAsia"/>
          <w:rtl/>
        </w:rPr>
        <w:t>جزائر</w:t>
      </w:r>
      <w:r w:rsidRPr="00B5080E">
        <w:rPr>
          <w:rFonts w:hint="cs"/>
          <w:rtl/>
        </w:rPr>
        <w:t>ي</w:t>
      </w:r>
      <w:r w:rsidRPr="00B5080E">
        <w:rPr>
          <w:rFonts w:hint="eastAsia"/>
          <w:rtl/>
        </w:rPr>
        <w:t>،</w:t>
      </w:r>
      <w:r w:rsidRPr="00B5080E">
        <w:rPr>
          <w:rtl/>
        </w:rPr>
        <w:t xml:space="preserve"> 2 </w:t>
      </w:r>
      <w:r w:rsidRPr="00B5080E">
        <w:rPr>
          <w:rFonts w:hint="eastAsia"/>
          <w:rtl/>
        </w:rPr>
        <w:t>مجلد،</w:t>
      </w:r>
      <w:r w:rsidRPr="00B5080E">
        <w:rPr>
          <w:rtl/>
        </w:rPr>
        <w:t xml:space="preserve"> (</w:t>
      </w:r>
      <w:r w:rsidRPr="00B5080E">
        <w:rPr>
          <w:rFonts w:hint="eastAsia"/>
          <w:rtl/>
        </w:rPr>
        <w:t>بيروت،</w:t>
      </w:r>
      <w:r w:rsidRPr="00B5080E">
        <w:rPr>
          <w:rtl/>
        </w:rPr>
        <w:t xml:space="preserve"> 1411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الميرزا</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القمي،</w:t>
      </w:r>
      <w:r w:rsidRPr="00B5080E">
        <w:rPr>
          <w:rtl/>
        </w:rPr>
        <w:t xml:space="preserve"> </w:t>
      </w:r>
      <w:r w:rsidRPr="00B5080E">
        <w:rPr>
          <w:rFonts w:hint="eastAsia"/>
          <w:rtl/>
        </w:rPr>
        <w:t>جامع</w:t>
      </w:r>
      <w:r w:rsidRPr="00B5080E">
        <w:rPr>
          <w:rtl/>
        </w:rPr>
        <w:t xml:space="preserve"> </w:t>
      </w:r>
      <w:r w:rsidRPr="00B5080E">
        <w:rPr>
          <w:rFonts w:hint="eastAsia"/>
          <w:rtl/>
        </w:rPr>
        <w:t>الشتات،</w:t>
      </w:r>
      <w:r w:rsidRPr="00B5080E">
        <w:rPr>
          <w:rtl/>
        </w:rPr>
        <w:t xml:space="preserve"> 2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داو</w:t>
      </w:r>
      <w:r w:rsidRPr="00B5080E">
        <w:rPr>
          <w:rFonts w:hint="cs"/>
          <w:rtl/>
        </w:rPr>
        <w:t>و</w:t>
      </w:r>
      <w:r w:rsidRPr="00B5080E">
        <w:rPr>
          <w:rFonts w:hint="eastAsia"/>
          <w:rtl/>
        </w:rPr>
        <w:t>د</w:t>
      </w:r>
      <w:r w:rsidRPr="00B5080E">
        <w:rPr>
          <w:rtl/>
        </w:rPr>
        <w:t xml:space="preserve"> </w:t>
      </w:r>
      <w:r w:rsidRPr="00B5080E">
        <w:rPr>
          <w:rFonts w:hint="cs"/>
          <w:rtl/>
        </w:rPr>
        <w:t>ال</w:t>
      </w:r>
      <w:r w:rsidRPr="00B5080E">
        <w:rPr>
          <w:rFonts w:hint="eastAsia"/>
          <w:rtl/>
        </w:rPr>
        <w:t>قيصر</w:t>
      </w:r>
      <w:r w:rsidRPr="00B5080E">
        <w:rPr>
          <w:rFonts w:hint="cs"/>
          <w:rtl/>
        </w:rPr>
        <w:t>ي</w:t>
      </w:r>
      <w:r w:rsidRPr="00B5080E">
        <w:rPr>
          <w:rFonts w:hint="eastAsia"/>
          <w:rtl/>
        </w:rPr>
        <w:t>،</w:t>
      </w:r>
      <w:r w:rsidRPr="00B5080E">
        <w:rPr>
          <w:rtl/>
        </w:rPr>
        <w:t xml:space="preserve"> </w:t>
      </w:r>
      <w:r w:rsidRPr="00B5080E">
        <w:rPr>
          <w:rFonts w:hint="eastAsia"/>
          <w:rtl/>
        </w:rPr>
        <w:t>رسائل،</w:t>
      </w:r>
      <w:r w:rsidRPr="00B5080E">
        <w:rPr>
          <w:rtl/>
        </w:rPr>
        <w:t xml:space="preserve"> </w:t>
      </w:r>
      <w:r w:rsidRPr="00B5080E">
        <w:rPr>
          <w:rFonts w:hint="eastAsia"/>
          <w:rtl/>
        </w:rPr>
        <w:t>رسالة</w:t>
      </w:r>
      <w:r w:rsidRPr="00B5080E">
        <w:rPr>
          <w:rtl/>
        </w:rPr>
        <w:t xml:space="preserve"> </w:t>
      </w:r>
      <w:r w:rsidRPr="00B5080E">
        <w:rPr>
          <w:rFonts w:hint="eastAsia"/>
          <w:rtl/>
        </w:rPr>
        <w:t>ف</w:t>
      </w:r>
      <w:r w:rsidRPr="00B5080E">
        <w:rPr>
          <w:rFonts w:hint="cs"/>
          <w:rtl/>
        </w:rPr>
        <w:t xml:space="preserve">ي </w:t>
      </w:r>
      <w:r w:rsidRPr="00B5080E">
        <w:rPr>
          <w:rtl/>
        </w:rPr>
        <w:t>‏</w:t>
      </w:r>
      <w:r w:rsidRPr="00B5080E">
        <w:rPr>
          <w:rFonts w:hint="eastAsia"/>
          <w:rtl/>
        </w:rPr>
        <w:t>التوحيد</w:t>
      </w:r>
      <w:r w:rsidRPr="00B5080E">
        <w:rPr>
          <w:rtl/>
        </w:rPr>
        <w:t xml:space="preserve"> </w:t>
      </w:r>
      <w:r w:rsidRPr="00B5080E">
        <w:rPr>
          <w:rFonts w:hint="eastAsia"/>
          <w:rtl/>
        </w:rPr>
        <w:t>والولاية،</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السيد</w:t>
      </w:r>
      <w:r w:rsidRPr="00B5080E">
        <w:rPr>
          <w:rtl/>
        </w:rPr>
        <w:t xml:space="preserve"> </w:t>
      </w:r>
      <w:r w:rsidRPr="00B5080E">
        <w:rPr>
          <w:rFonts w:hint="eastAsia"/>
          <w:rtl/>
        </w:rPr>
        <w:t>جلال</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cs"/>
          <w:rtl/>
        </w:rPr>
        <w:t>ال</w:t>
      </w:r>
      <w:r w:rsidRPr="00B5080E">
        <w:rPr>
          <w:rFonts w:hint="eastAsia"/>
          <w:rtl/>
        </w:rPr>
        <w:t>آشتيا</w:t>
      </w:r>
      <w:r w:rsidRPr="00B5080E">
        <w:rPr>
          <w:rFonts w:hint="cs"/>
          <w:rtl/>
        </w:rPr>
        <w:t>ني</w:t>
      </w:r>
      <w:r w:rsidRPr="00B5080E">
        <w:rPr>
          <w:rFonts w:hint="eastAsia"/>
          <w:rtl/>
        </w:rPr>
        <w:t>،</w:t>
      </w:r>
      <w:r w:rsidRPr="00B5080E">
        <w:rPr>
          <w:rtl/>
        </w:rPr>
        <w:t xml:space="preserve"> (</w:t>
      </w:r>
      <w:r w:rsidRPr="00B5080E">
        <w:rPr>
          <w:rFonts w:hint="eastAsia"/>
          <w:rtl/>
        </w:rPr>
        <w:t>طهران،</w:t>
      </w:r>
      <w:r w:rsidRPr="00B5080E">
        <w:rPr>
          <w:rtl/>
        </w:rPr>
        <w:t xml:space="preserve"> 1357</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داو</w:t>
      </w:r>
      <w:r w:rsidRPr="00B5080E">
        <w:rPr>
          <w:rFonts w:hint="cs"/>
          <w:rtl/>
        </w:rPr>
        <w:t>و</w:t>
      </w:r>
      <w:r w:rsidRPr="00B5080E">
        <w:rPr>
          <w:rFonts w:hint="eastAsia"/>
          <w:rtl/>
        </w:rPr>
        <w:t>د</w:t>
      </w:r>
      <w:r w:rsidRPr="00B5080E">
        <w:rPr>
          <w:rtl/>
        </w:rPr>
        <w:t xml:space="preserve"> </w:t>
      </w:r>
      <w:r w:rsidRPr="00B5080E">
        <w:rPr>
          <w:rFonts w:hint="cs"/>
          <w:rtl/>
        </w:rPr>
        <w:t>ال</w:t>
      </w:r>
      <w:r w:rsidRPr="00B5080E">
        <w:rPr>
          <w:rFonts w:hint="eastAsia"/>
          <w:rtl/>
        </w:rPr>
        <w:t>قيصر</w:t>
      </w:r>
      <w:r w:rsidRPr="00B5080E">
        <w:rPr>
          <w:rFonts w:hint="cs"/>
          <w:rtl/>
        </w:rPr>
        <w:t>ي</w:t>
      </w:r>
      <w:r w:rsidRPr="00B5080E">
        <w:rPr>
          <w:rFonts w:hint="eastAsia"/>
          <w:rtl/>
        </w:rPr>
        <w:t>،</w:t>
      </w:r>
      <w:r w:rsidRPr="00B5080E">
        <w:rPr>
          <w:rtl/>
        </w:rPr>
        <w:t xml:space="preserve"> </w:t>
      </w:r>
      <w:r w:rsidRPr="00B5080E">
        <w:rPr>
          <w:rFonts w:hint="eastAsia"/>
          <w:rtl/>
        </w:rPr>
        <w:t>شرح</w:t>
      </w:r>
      <w:r w:rsidRPr="00B5080E">
        <w:rPr>
          <w:rtl/>
        </w:rPr>
        <w:t xml:space="preserve"> </w:t>
      </w:r>
      <w:r w:rsidRPr="00B5080E">
        <w:rPr>
          <w:rFonts w:hint="eastAsia"/>
          <w:rtl/>
        </w:rPr>
        <w:t>فصوص</w:t>
      </w:r>
      <w:r w:rsidRPr="00B5080E">
        <w:rPr>
          <w:rtl/>
        </w:rPr>
        <w:t xml:space="preserve"> </w:t>
      </w:r>
      <w:r w:rsidRPr="00B5080E">
        <w:rPr>
          <w:rFonts w:hint="eastAsia"/>
          <w:rtl/>
        </w:rPr>
        <w:t>الحكم،</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السيد</w:t>
      </w:r>
      <w:r w:rsidRPr="00B5080E">
        <w:rPr>
          <w:rtl/>
        </w:rPr>
        <w:t xml:space="preserve"> </w:t>
      </w:r>
      <w:r w:rsidRPr="00B5080E">
        <w:rPr>
          <w:rFonts w:hint="eastAsia"/>
          <w:rtl/>
        </w:rPr>
        <w:t>جلال</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cs"/>
          <w:rtl/>
        </w:rPr>
        <w:t>ال</w:t>
      </w:r>
      <w:r w:rsidRPr="00B5080E">
        <w:rPr>
          <w:rFonts w:hint="eastAsia"/>
          <w:rtl/>
        </w:rPr>
        <w:t>آشتيان</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1375</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كمال</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عبد</w:t>
      </w:r>
      <w:r w:rsidRPr="00B5080E">
        <w:rPr>
          <w:rFonts w:hint="cs"/>
          <w:rtl/>
        </w:rPr>
        <w:t xml:space="preserve"> </w:t>
      </w:r>
      <w:r w:rsidRPr="00B5080E">
        <w:rPr>
          <w:rFonts w:hint="eastAsia"/>
          <w:rtl/>
        </w:rPr>
        <w:t>الرزاق</w:t>
      </w:r>
      <w:r w:rsidRPr="00B5080E">
        <w:rPr>
          <w:rtl/>
        </w:rPr>
        <w:t xml:space="preserve"> </w:t>
      </w:r>
      <w:r w:rsidRPr="00B5080E">
        <w:rPr>
          <w:rFonts w:hint="cs"/>
          <w:rtl/>
        </w:rPr>
        <w:t>ال</w:t>
      </w:r>
      <w:r w:rsidRPr="00B5080E">
        <w:rPr>
          <w:rFonts w:hint="eastAsia"/>
          <w:rtl/>
        </w:rPr>
        <w:t>كاشان</w:t>
      </w:r>
      <w:r w:rsidRPr="00B5080E">
        <w:rPr>
          <w:rFonts w:hint="cs"/>
          <w:rtl/>
        </w:rPr>
        <w:t>ي</w:t>
      </w:r>
      <w:r w:rsidRPr="00B5080E">
        <w:rPr>
          <w:rFonts w:hint="eastAsia"/>
          <w:rtl/>
        </w:rPr>
        <w:t>،</w:t>
      </w:r>
      <w:r w:rsidRPr="00B5080E">
        <w:rPr>
          <w:rtl/>
        </w:rPr>
        <w:t xml:space="preserve"> </w:t>
      </w:r>
      <w:r w:rsidRPr="00B5080E">
        <w:rPr>
          <w:rFonts w:hint="eastAsia"/>
          <w:rtl/>
        </w:rPr>
        <w:t>اصطلاحات</w:t>
      </w:r>
      <w:r w:rsidRPr="00B5080E">
        <w:rPr>
          <w:rtl/>
        </w:rPr>
        <w:t xml:space="preserve"> </w:t>
      </w:r>
      <w:r w:rsidRPr="00B5080E">
        <w:rPr>
          <w:rFonts w:hint="eastAsia"/>
          <w:rtl/>
        </w:rPr>
        <w:t>الصوفية،</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محمد</w:t>
      </w:r>
      <w:r w:rsidRPr="00B5080E">
        <w:rPr>
          <w:rFonts w:hint="cs"/>
          <w:rtl/>
        </w:rPr>
        <w:t xml:space="preserve"> </w:t>
      </w:r>
      <w:r w:rsidRPr="00B5080E">
        <w:rPr>
          <w:rFonts w:hint="eastAsia"/>
          <w:rtl/>
        </w:rPr>
        <w:t>كمال</w:t>
      </w:r>
      <w:r w:rsidRPr="00B5080E">
        <w:rPr>
          <w:rtl/>
        </w:rPr>
        <w:t xml:space="preserve"> </w:t>
      </w:r>
      <w:r w:rsidRPr="00B5080E">
        <w:rPr>
          <w:rFonts w:hint="cs"/>
          <w:rtl/>
        </w:rPr>
        <w:t>إ</w:t>
      </w:r>
      <w:r w:rsidRPr="00B5080E">
        <w:rPr>
          <w:rFonts w:hint="eastAsia"/>
          <w:rtl/>
        </w:rPr>
        <w:t>براهيم</w:t>
      </w:r>
      <w:r w:rsidRPr="00B5080E">
        <w:rPr>
          <w:rtl/>
        </w:rPr>
        <w:t xml:space="preserve"> </w:t>
      </w:r>
      <w:r w:rsidRPr="00B5080E">
        <w:rPr>
          <w:rFonts w:hint="eastAsia"/>
          <w:rtl/>
        </w:rPr>
        <w:t>جعفر،</w:t>
      </w:r>
      <w:r w:rsidRPr="00B5080E">
        <w:rPr>
          <w:rtl/>
        </w:rPr>
        <w:t xml:space="preserve"> </w:t>
      </w:r>
      <w:r w:rsidRPr="00B5080E">
        <w:rPr>
          <w:rFonts w:hint="eastAsia"/>
          <w:rtl/>
        </w:rPr>
        <w:t>الطبعة</w:t>
      </w:r>
      <w:r w:rsidRPr="00B5080E">
        <w:rPr>
          <w:rtl/>
        </w:rPr>
        <w:t xml:space="preserve"> </w:t>
      </w:r>
      <w:r w:rsidRPr="00B5080E">
        <w:rPr>
          <w:rFonts w:hint="eastAsia"/>
          <w:rtl/>
        </w:rPr>
        <w:t>الثانية،</w:t>
      </w:r>
      <w:r w:rsidRPr="00B5080E">
        <w:rPr>
          <w:rtl/>
        </w:rPr>
        <w:t xml:space="preserve"> (</w:t>
      </w:r>
      <w:r w:rsidRPr="00B5080E">
        <w:rPr>
          <w:rFonts w:hint="eastAsia"/>
          <w:rtl/>
        </w:rPr>
        <w:t>قم،</w:t>
      </w:r>
      <w:r w:rsidRPr="00B5080E">
        <w:rPr>
          <w:rtl/>
        </w:rPr>
        <w:t xml:space="preserve"> 1370</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كمال</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عبد</w:t>
      </w:r>
      <w:r w:rsidRPr="00B5080E">
        <w:rPr>
          <w:rFonts w:hint="cs"/>
          <w:rtl/>
        </w:rPr>
        <w:t xml:space="preserve"> </w:t>
      </w:r>
      <w:r w:rsidRPr="00B5080E">
        <w:rPr>
          <w:rFonts w:hint="eastAsia"/>
          <w:rtl/>
        </w:rPr>
        <w:t>الرزاق</w:t>
      </w:r>
      <w:r w:rsidRPr="00B5080E">
        <w:rPr>
          <w:rtl/>
        </w:rPr>
        <w:t xml:space="preserve"> </w:t>
      </w:r>
      <w:r w:rsidRPr="00B5080E">
        <w:rPr>
          <w:rFonts w:hint="cs"/>
          <w:rtl/>
        </w:rPr>
        <w:t>ال</w:t>
      </w:r>
      <w:r w:rsidRPr="00B5080E">
        <w:rPr>
          <w:rFonts w:hint="eastAsia"/>
          <w:rtl/>
        </w:rPr>
        <w:t>كاشان</w:t>
      </w:r>
      <w:r w:rsidRPr="00B5080E">
        <w:rPr>
          <w:rFonts w:hint="cs"/>
          <w:rtl/>
        </w:rPr>
        <w:t>ي</w:t>
      </w:r>
      <w:r w:rsidRPr="00B5080E">
        <w:rPr>
          <w:rFonts w:hint="eastAsia"/>
          <w:rtl/>
        </w:rPr>
        <w:t>،</w:t>
      </w:r>
      <w:r w:rsidRPr="00B5080E">
        <w:rPr>
          <w:rtl/>
        </w:rPr>
        <w:t xml:space="preserve"> </w:t>
      </w:r>
      <w:r w:rsidRPr="00B5080E">
        <w:rPr>
          <w:rFonts w:hint="eastAsia"/>
          <w:rtl/>
        </w:rPr>
        <w:t>شرح</w:t>
      </w:r>
      <w:r w:rsidRPr="00B5080E">
        <w:rPr>
          <w:rtl/>
        </w:rPr>
        <w:t xml:space="preserve"> </w:t>
      </w:r>
      <w:r w:rsidRPr="00B5080E">
        <w:rPr>
          <w:rFonts w:hint="eastAsia"/>
          <w:rtl/>
        </w:rPr>
        <w:t>منازل</w:t>
      </w:r>
      <w:r w:rsidRPr="00B5080E">
        <w:rPr>
          <w:rtl/>
        </w:rPr>
        <w:t xml:space="preserve"> </w:t>
      </w:r>
      <w:r w:rsidRPr="00B5080E">
        <w:rPr>
          <w:rFonts w:hint="eastAsia"/>
          <w:rtl/>
        </w:rPr>
        <w:t>السائرين،</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محسن</w:t>
      </w:r>
      <w:r w:rsidRPr="00B5080E">
        <w:rPr>
          <w:rtl/>
        </w:rPr>
        <w:t xml:space="preserve"> </w:t>
      </w:r>
      <w:r w:rsidRPr="00B5080E">
        <w:rPr>
          <w:rFonts w:hint="eastAsia"/>
          <w:rtl/>
        </w:rPr>
        <w:t>بيدارفر،</w:t>
      </w:r>
      <w:r w:rsidRPr="00B5080E">
        <w:rPr>
          <w:rtl/>
        </w:rPr>
        <w:t xml:space="preserve"> (</w:t>
      </w:r>
      <w:r w:rsidRPr="00B5080E">
        <w:rPr>
          <w:rFonts w:hint="eastAsia"/>
          <w:rtl/>
        </w:rPr>
        <w:t>قم،</w:t>
      </w:r>
      <w:r w:rsidRPr="00B5080E">
        <w:rPr>
          <w:rtl/>
        </w:rPr>
        <w:t xml:space="preserve"> 1413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جعفر،</w:t>
      </w:r>
      <w:r w:rsidRPr="00B5080E">
        <w:rPr>
          <w:rtl/>
        </w:rPr>
        <w:t xml:space="preserve"> </w:t>
      </w:r>
      <w:r w:rsidRPr="00B5080E">
        <w:rPr>
          <w:rFonts w:hint="eastAsia"/>
          <w:rtl/>
        </w:rPr>
        <w:t>كشف</w:t>
      </w:r>
      <w:r w:rsidRPr="00B5080E">
        <w:rPr>
          <w:rtl/>
        </w:rPr>
        <w:t>‏</w:t>
      </w:r>
      <w:r w:rsidRPr="00B5080E">
        <w:rPr>
          <w:rFonts w:hint="eastAsia"/>
          <w:rtl/>
        </w:rPr>
        <w:t>الغطاء</w:t>
      </w:r>
      <w:r w:rsidRPr="00B5080E">
        <w:rPr>
          <w:rtl/>
        </w:rPr>
        <w:t xml:space="preserve"> </w:t>
      </w:r>
      <w:r w:rsidRPr="00B5080E">
        <w:rPr>
          <w:rFonts w:hint="eastAsia"/>
          <w:rtl/>
        </w:rPr>
        <w:t>عن</w:t>
      </w:r>
      <w:r w:rsidRPr="00B5080E">
        <w:rPr>
          <w:rtl/>
        </w:rPr>
        <w:t xml:space="preserve"> </w:t>
      </w:r>
      <w:r w:rsidRPr="00B5080E">
        <w:rPr>
          <w:rFonts w:hint="eastAsia"/>
          <w:rtl/>
        </w:rPr>
        <w:t>مبهمات</w:t>
      </w:r>
      <w:r w:rsidRPr="00B5080E">
        <w:rPr>
          <w:rtl/>
        </w:rPr>
        <w:t xml:space="preserve"> </w:t>
      </w:r>
      <w:r w:rsidRPr="00B5080E">
        <w:rPr>
          <w:rFonts w:hint="eastAsia"/>
          <w:rtl/>
        </w:rPr>
        <w:t>الشريعة</w:t>
      </w:r>
      <w:r w:rsidRPr="00B5080E">
        <w:rPr>
          <w:rtl/>
        </w:rPr>
        <w:t xml:space="preserve"> </w:t>
      </w:r>
      <w:r w:rsidRPr="00B5080E">
        <w:rPr>
          <w:rFonts w:hint="eastAsia"/>
          <w:rtl/>
        </w:rPr>
        <w:t>الغرّاء،</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cs"/>
          <w:rtl/>
        </w:rPr>
        <w:t>ال</w:t>
      </w:r>
      <w:r w:rsidRPr="00B5080E">
        <w:rPr>
          <w:rFonts w:hint="eastAsia"/>
          <w:rtl/>
        </w:rPr>
        <w:t>كراجك</w:t>
      </w:r>
      <w:r w:rsidRPr="00B5080E">
        <w:rPr>
          <w:rFonts w:hint="cs"/>
          <w:rtl/>
        </w:rPr>
        <w:t>ي</w:t>
      </w:r>
      <w:r w:rsidRPr="00B5080E">
        <w:rPr>
          <w:rFonts w:hint="eastAsia"/>
          <w:rtl/>
        </w:rPr>
        <w:t>،</w:t>
      </w:r>
      <w:r w:rsidRPr="00B5080E">
        <w:rPr>
          <w:rtl/>
        </w:rPr>
        <w:t xml:space="preserve"> </w:t>
      </w:r>
      <w:r w:rsidRPr="00B5080E">
        <w:rPr>
          <w:rFonts w:hint="eastAsia"/>
          <w:rtl/>
        </w:rPr>
        <w:t>كنز</w:t>
      </w:r>
      <w:r w:rsidRPr="00B5080E">
        <w:rPr>
          <w:rtl/>
        </w:rPr>
        <w:t xml:space="preserve"> </w:t>
      </w:r>
      <w:r w:rsidRPr="00B5080E">
        <w:rPr>
          <w:rFonts w:hint="eastAsia"/>
          <w:rtl/>
        </w:rPr>
        <w:t>الفوائد،</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ثقة</w:t>
      </w:r>
      <w:r w:rsidRPr="00B5080E">
        <w:rPr>
          <w:rFonts w:hint="cs"/>
          <w:rtl/>
        </w:rPr>
        <w:t xml:space="preserve"> </w:t>
      </w:r>
      <w:r w:rsidRPr="00B5080E">
        <w:rPr>
          <w:rFonts w:hint="eastAsia"/>
          <w:rtl/>
        </w:rPr>
        <w:t>ال</w:t>
      </w:r>
      <w:r w:rsidRPr="00B5080E">
        <w:rPr>
          <w:rFonts w:hint="cs"/>
          <w:rtl/>
        </w:rPr>
        <w:t>إ</w:t>
      </w:r>
      <w:r w:rsidRPr="00B5080E">
        <w:rPr>
          <w:rFonts w:hint="eastAsia"/>
          <w:rtl/>
        </w:rPr>
        <w:t>سلام</w:t>
      </w:r>
      <w:r w:rsidRPr="00B5080E">
        <w:rPr>
          <w:rtl/>
        </w:rPr>
        <w:t xml:space="preserve"> </w:t>
      </w:r>
      <w:r w:rsidRPr="00B5080E">
        <w:rPr>
          <w:rFonts w:hint="eastAsia"/>
          <w:rtl/>
        </w:rPr>
        <w:t>محمّد</w:t>
      </w:r>
      <w:r w:rsidRPr="00B5080E">
        <w:rPr>
          <w:rFonts w:hint="cs"/>
          <w:rtl/>
        </w:rPr>
        <w:t xml:space="preserve"> </w:t>
      </w:r>
      <w:r w:rsidRPr="00B5080E">
        <w:rPr>
          <w:rFonts w:hint="eastAsia"/>
          <w:rtl/>
        </w:rPr>
        <w:t>بن</w:t>
      </w:r>
      <w:r w:rsidRPr="00B5080E">
        <w:rPr>
          <w:rtl/>
        </w:rPr>
        <w:t xml:space="preserve"> </w:t>
      </w:r>
      <w:r w:rsidRPr="00B5080E">
        <w:rPr>
          <w:rFonts w:hint="eastAsia"/>
          <w:rtl/>
        </w:rPr>
        <w:t>يعقوب</w:t>
      </w:r>
      <w:r w:rsidRPr="00B5080E">
        <w:rPr>
          <w:rtl/>
        </w:rPr>
        <w:t xml:space="preserve"> </w:t>
      </w:r>
      <w:r w:rsidRPr="00B5080E">
        <w:rPr>
          <w:rFonts w:hint="eastAsia"/>
          <w:rtl/>
        </w:rPr>
        <w:t>الكليني،</w:t>
      </w:r>
      <w:r w:rsidRPr="00B5080E">
        <w:rPr>
          <w:rtl/>
        </w:rPr>
        <w:t xml:space="preserve"> </w:t>
      </w:r>
      <w:r w:rsidRPr="00B5080E">
        <w:rPr>
          <w:rFonts w:hint="eastAsia"/>
          <w:rtl/>
        </w:rPr>
        <w:t>الكافي،</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عل</w:t>
      </w:r>
      <w:r w:rsidRPr="00B5080E">
        <w:rPr>
          <w:rFonts w:hint="cs"/>
          <w:rtl/>
        </w:rPr>
        <w:t>ي</w:t>
      </w:r>
      <w:r w:rsidRPr="00B5080E">
        <w:rPr>
          <w:rtl/>
        </w:rPr>
        <w:t>‏</w:t>
      </w:r>
      <w:r w:rsidRPr="00B5080E">
        <w:rPr>
          <w:rFonts w:hint="cs"/>
          <w:rtl/>
        </w:rPr>
        <w:t xml:space="preserve"> أك</w:t>
      </w:r>
      <w:r w:rsidRPr="00B5080E">
        <w:rPr>
          <w:rFonts w:hint="eastAsia"/>
          <w:rtl/>
        </w:rPr>
        <w:t>بر</w:t>
      </w:r>
      <w:r w:rsidRPr="00B5080E">
        <w:rPr>
          <w:rtl/>
        </w:rPr>
        <w:t xml:space="preserve"> </w:t>
      </w:r>
      <w:r w:rsidRPr="00B5080E">
        <w:rPr>
          <w:rFonts w:hint="eastAsia"/>
          <w:rtl/>
        </w:rPr>
        <w:t>غفاري،</w:t>
      </w:r>
      <w:r w:rsidRPr="00B5080E">
        <w:rPr>
          <w:rtl/>
        </w:rPr>
        <w:t xml:space="preserve"> 8 مجلدات، </w:t>
      </w:r>
      <w:r w:rsidRPr="00B5080E">
        <w:rPr>
          <w:rFonts w:hint="eastAsia"/>
          <w:rtl/>
        </w:rPr>
        <w:t>الطبعة</w:t>
      </w:r>
      <w:r w:rsidRPr="00B5080E">
        <w:rPr>
          <w:rtl/>
        </w:rPr>
        <w:t xml:space="preserve"> </w:t>
      </w:r>
      <w:r w:rsidRPr="00B5080E">
        <w:rPr>
          <w:rFonts w:hint="eastAsia"/>
          <w:rtl/>
        </w:rPr>
        <w:t>الثالثة،</w:t>
      </w:r>
      <w:r w:rsidRPr="00B5080E">
        <w:rPr>
          <w:rtl/>
        </w:rPr>
        <w:t xml:space="preserve"> (</w:t>
      </w:r>
      <w:r w:rsidRPr="00B5080E">
        <w:rPr>
          <w:rFonts w:hint="eastAsia"/>
          <w:rtl/>
        </w:rPr>
        <w:t>طهران،</w:t>
      </w:r>
      <w:r w:rsidRPr="00B5080E">
        <w:rPr>
          <w:rtl/>
        </w:rPr>
        <w:t xml:space="preserve"> 1388</w:t>
      </w:r>
      <w:r w:rsidRPr="00B5080E">
        <w:rPr>
          <w:rFonts w:hint="cs"/>
          <w:rtl/>
        </w:rPr>
        <w:t>هـ</w:t>
      </w:r>
      <w:r w:rsidRPr="00B5080E">
        <w:rPr>
          <w:rtl/>
        </w:rPr>
        <w:t>).</w:t>
      </w:r>
    </w:p>
    <w:p w:rsidR="00EA09EB" w:rsidRPr="00B5080E" w:rsidRDefault="00EA09EB" w:rsidP="00B5080E">
      <w:r w:rsidRPr="00B5080E">
        <w:rPr>
          <w:rFonts w:hint="cs"/>
          <w:rtl/>
        </w:rPr>
        <w:t>ـ ال</w:t>
      </w:r>
      <w:r w:rsidRPr="00B5080E">
        <w:rPr>
          <w:rFonts w:hint="eastAsia"/>
          <w:rtl/>
        </w:rPr>
        <w:t>ملا</w:t>
      </w:r>
      <w:r w:rsidRPr="00B5080E">
        <w:rPr>
          <w:rFonts w:hint="cs"/>
          <w:rtl/>
        </w:rPr>
        <w:t xml:space="preserve">ّ </w:t>
      </w:r>
      <w:r w:rsidRPr="00B5080E">
        <w:rPr>
          <w:rFonts w:hint="eastAsia"/>
          <w:rtl/>
        </w:rPr>
        <w:t>محمّد</w:t>
      </w:r>
      <w:r w:rsidRPr="00B5080E">
        <w:rPr>
          <w:rtl/>
        </w:rPr>
        <w:t xml:space="preserve"> </w:t>
      </w:r>
      <w:r w:rsidRPr="00B5080E">
        <w:rPr>
          <w:rFonts w:hint="eastAsia"/>
          <w:rtl/>
        </w:rPr>
        <w:t>صالح</w:t>
      </w:r>
      <w:r w:rsidRPr="00B5080E">
        <w:rPr>
          <w:rtl/>
        </w:rPr>
        <w:t xml:space="preserve"> </w:t>
      </w:r>
      <w:r w:rsidRPr="00B5080E">
        <w:rPr>
          <w:rFonts w:hint="cs"/>
          <w:rtl/>
        </w:rPr>
        <w:t>ال</w:t>
      </w:r>
      <w:r w:rsidRPr="00B5080E">
        <w:rPr>
          <w:rFonts w:hint="eastAsia"/>
          <w:rtl/>
        </w:rPr>
        <w:t>مازندران</w:t>
      </w:r>
      <w:r w:rsidRPr="00B5080E">
        <w:rPr>
          <w:rFonts w:hint="cs"/>
          <w:rtl/>
        </w:rPr>
        <w:t>ي</w:t>
      </w:r>
      <w:r w:rsidRPr="00B5080E">
        <w:rPr>
          <w:rFonts w:hint="eastAsia"/>
          <w:rtl/>
        </w:rPr>
        <w:t>،</w:t>
      </w:r>
      <w:r w:rsidRPr="00B5080E">
        <w:rPr>
          <w:rtl/>
        </w:rPr>
        <w:t xml:space="preserve"> </w:t>
      </w:r>
      <w:r w:rsidRPr="00B5080E">
        <w:rPr>
          <w:rFonts w:hint="eastAsia"/>
          <w:rtl/>
        </w:rPr>
        <w:t>شرح</w:t>
      </w:r>
      <w:r w:rsidRPr="00B5080E">
        <w:rPr>
          <w:rtl/>
        </w:rPr>
        <w:t xml:space="preserve"> </w:t>
      </w:r>
      <w:r w:rsidRPr="00B5080E">
        <w:rPr>
          <w:rFonts w:hint="eastAsia"/>
          <w:rtl/>
        </w:rPr>
        <w:t>الكاف</w:t>
      </w:r>
      <w:r w:rsidRPr="00B5080E">
        <w:rPr>
          <w:rFonts w:hint="cs"/>
          <w:rtl/>
        </w:rPr>
        <w:t>ي</w:t>
      </w:r>
      <w:r w:rsidRPr="00B5080E">
        <w:rPr>
          <w:rFonts w:hint="eastAsia"/>
          <w:rtl/>
        </w:rPr>
        <w:t>،</w:t>
      </w:r>
      <w:r w:rsidRPr="00B5080E">
        <w:rPr>
          <w:rtl/>
        </w:rPr>
        <w:t xml:space="preserve"> 12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الأولى،</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محمّد</w:t>
      </w:r>
      <w:r w:rsidRPr="00B5080E">
        <w:rPr>
          <w:rtl/>
        </w:rPr>
        <w:t xml:space="preserve"> </w:t>
      </w:r>
      <w:r w:rsidRPr="00B5080E">
        <w:rPr>
          <w:rFonts w:hint="eastAsia"/>
          <w:rtl/>
        </w:rPr>
        <w:t>مجاهد،</w:t>
      </w:r>
      <w:r w:rsidRPr="00B5080E">
        <w:rPr>
          <w:rtl/>
        </w:rPr>
        <w:t xml:space="preserve"> </w:t>
      </w:r>
      <w:r w:rsidRPr="00B5080E">
        <w:rPr>
          <w:rFonts w:hint="eastAsia"/>
          <w:rtl/>
        </w:rPr>
        <w:t>الجهادي</w:t>
      </w:r>
      <w:r w:rsidRPr="00B5080E">
        <w:rPr>
          <w:rFonts w:hint="cs"/>
          <w:rtl/>
        </w:rPr>
        <w:t>ة</w:t>
      </w:r>
      <w:r w:rsidRPr="00B5080E">
        <w:rPr>
          <w:rtl/>
        </w:rPr>
        <w:t>.</w:t>
      </w:r>
    </w:p>
    <w:p w:rsidR="00EA09EB" w:rsidRPr="00B5080E" w:rsidRDefault="00EA09EB" w:rsidP="00B5080E">
      <w:r w:rsidRPr="00B5080E">
        <w:rPr>
          <w:rFonts w:hint="cs"/>
          <w:rtl/>
        </w:rPr>
        <w:t>ـ ال</w:t>
      </w:r>
      <w:r w:rsidRPr="00B5080E">
        <w:rPr>
          <w:rFonts w:hint="eastAsia"/>
          <w:rtl/>
        </w:rPr>
        <w:t>ملا</w:t>
      </w:r>
      <w:r w:rsidRPr="00B5080E">
        <w:rPr>
          <w:rFonts w:hint="cs"/>
          <w:rtl/>
        </w:rPr>
        <w:t xml:space="preserve">ّ </w:t>
      </w:r>
      <w:r w:rsidRPr="00B5080E">
        <w:rPr>
          <w:rFonts w:hint="eastAsia"/>
          <w:rtl/>
        </w:rPr>
        <w:t>محمّد</w:t>
      </w:r>
      <w:r w:rsidRPr="00B5080E">
        <w:rPr>
          <w:rFonts w:hint="cs"/>
          <w:rtl/>
        </w:rPr>
        <w:t xml:space="preserve"> </w:t>
      </w:r>
      <w:r w:rsidRPr="00B5080E">
        <w:rPr>
          <w:rFonts w:hint="eastAsia"/>
          <w:rtl/>
        </w:rPr>
        <w:t>باقر</w:t>
      </w:r>
      <w:r w:rsidRPr="00B5080E">
        <w:rPr>
          <w:rtl/>
        </w:rPr>
        <w:t xml:space="preserve"> </w:t>
      </w:r>
      <w:r w:rsidRPr="00B5080E">
        <w:rPr>
          <w:rFonts w:hint="cs"/>
          <w:rtl/>
        </w:rPr>
        <w:t>ال</w:t>
      </w:r>
      <w:r w:rsidRPr="00B5080E">
        <w:rPr>
          <w:rFonts w:hint="eastAsia"/>
          <w:rtl/>
        </w:rPr>
        <w:t>مجلس</w:t>
      </w:r>
      <w:r w:rsidRPr="00B5080E">
        <w:rPr>
          <w:rFonts w:hint="cs"/>
          <w:rtl/>
        </w:rPr>
        <w:t>ي</w:t>
      </w:r>
      <w:r w:rsidRPr="00B5080E">
        <w:rPr>
          <w:rFonts w:hint="eastAsia"/>
          <w:rtl/>
        </w:rPr>
        <w:t>،</w:t>
      </w:r>
      <w:r w:rsidRPr="00B5080E">
        <w:rPr>
          <w:rtl/>
        </w:rPr>
        <w:t xml:space="preserve"> </w:t>
      </w:r>
      <w:r w:rsidRPr="00B5080E">
        <w:rPr>
          <w:rFonts w:hint="eastAsia"/>
          <w:rtl/>
        </w:rPr>
        <w:t>بحار</w:t>
      </w:r>
      <w:r w:rsidRPr="00B5080E">
        <w:rPr>
          <w:rFonts w:hint="cs"/>
          <w:rtl/>
        </w:rPr>
        <w:t xml:space="preserve"> </w:t>
      </w:r>
      <w:r w:rsidRPr="00B5080E">
        <w:rPr>
          <w:rFonts w:hint="eastAsia"/>
          <w:rtl/>
        </w:rPr>
        <w:t>ال</w:t>
      </w:r>
      <w:r w:rsidRPr="00B5080E">
        <w:rPr>
          <w:rFonts w:hint="cs"/>
          <w:rtl/>
        </w:rPr>
        <w:t>أ</w:t>
      </w:r>
      <w:r w:rsidRPr="00B5080E">
        <w:rPr>
          <w:rFonts w:hint="eastAsia"/>
          <w:rtl/>
        </w:rPr>
        <w:t>نوار</w:t>
      </w:r>
      <w:r w:rsidRPr="00B5080E">
        <w:rPr>
          <w:rtl/>
        </w:rPr>
        <w:t xml:space="preserve"> </w:t>
      </w:r>
      <w:r w:rsidRPr="00B5080E">
        <w:rPr>
          <w:rFonts w:hint="eastAsia"/>
          <w:rtl/>
        </w:rPr>
        <w:t>الجامعة</w:t>
      </w:r>
      <w:r w:rsidRPr="00B5080E">
        <w:rPr>
          <w:rtl/>
        </w:rPr>
        <w:t xml:space="preserve"> </w:t>
      </w:r>
      <w:r w:rsidRPr="00B5080E">
        <w:rPr>
          <w:rFonts w:hint="eastAsia"/>
          <w:rtl/>
        </w:rPr>
        <w:t>لدرر</w:t>
      </w:r>
      <w:r w:rsidRPr="00B5080E">
        <w:rPr>
          <w:rtl/>
        </w:rPr>
        <w:t xml:space="preserve"> </w:t>
      </w:r>
      <w:r w:rsidRPr="00B5080E">
        <w:rPr>
          <w:rFonts w:hint="cs"/>
          <w:rtl/>
        </w:rPr>
        <w:t>أ</w:t>
      </w:r>
      <w:r w:rsidRPr="00B5080E">
        <w:rPr>
          <w:rFonts w:hint="eastAsia"/>
          <w:rtl/>
        </w:rPr>
        <w:t>خبار</w:t>
      </w:r>
      <w:r w:rsidRPr="00B5080E">
        <w:rPr>
          <w:rtl/>
        </w:rPr>
        <w:t xml:space="preserve"> </w:t>
      </w:r>
      <w:r w:rsidRPr="00B5080E">
        <w:rPr>
          <w:rFonts w:hint="eastAsia"/>
          <w:rtl/>
        </w:rPr>
        <w:t>ال</w:t>
      </w:r>
      <w:r w:rsidRPr="00B5080E">
        <w:rPr>
          <w:rFonts w:hint="cs"/>
          <w:rtl/>
        </w:rPr>
        <w:t>أ</w:t>
      </w:r>
      <w:r w:rsidRPr="00B5080E">
        <w:rPr>
          <w:rFonts w:hint="eastAsia"/>
          <w:rtl/>
        </w:rPr>
        <w:t>ئمة</w:t>
      </w:r>
      <w:r w:rsidRPr="00B5080E">
        <w:rPr>
          <w:rFonts w:hint="cs"/>
          <w:rtl/>
        </w:rPr>
        <w:t xml:space="preserve"> الأ</w:t>
      </w:r>
      <w:r w:rsidRPr="00B5080E">
        <w:rPr>
          <w:rFonts w:hint="eastAsia"/>
          <w:rtl/>
        </w:rPr>
        <w:t>طهار،</w:t>
      </w:r>
      <w:r w:rsidRPr="00B5080E">
        <w:rPr>
          <w:rtl/>
        </w:rPr>
        <w:t xml:space="preserve"> 110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الرابعة،</w:t>
      </w:r>
      <w:r w:rsidRPr="00B5080E">
        <w:rPr>
          <w:rtl/>
        </w:rPr>
        <w:t xml:space="preserve"> (</w:t>
      </w:r>
      <w:r w:rsidRPr="00B5080E">
        <w:rPr>
          <w:rFonts w:hint="eastAsia"/>
          <w:rtl/>
        </w:rPr>
        <w:t>طهران،</w:t>
      </w:r>
      <w:r w:rsidRPr="00B5080E">
        <w:rPr>
          <w:rtl/>
        </w:rPr>
        <w:t xml:space="preserve"> 1363</w:t>
      </w:r>
      <w:r w:rsidRPr="00B5080E">
        <w:rPr>
          <w:rFonts w:hint="cs"/>
          <w:rtl/>
        </w:rPr>
        <w:t>هـ.ش</w:t>
      </w:r>
      <w:r w:rsidRPr="00B5080E">
        <w:rPr>
          <w:rtl/>
        </w:rPr>
        <w:t>).</w:t>
      </w:r>
    </w:p>
    <w:p w:rsidR="00EA09EB" w:rsidRPr="00B5080E" w:rsidRDefault="00EA09EB" w:rsidP="00B5080E">
      <w:r w:rsidRPr="00B5080E">
        <w:rPr>
          <w:rFonts w:hint="cs"/>
          <w:rtl/>
        </w:rPr>
        <w:t>ـ ال</w:t>
      </w:r>
      <w:r w:rsidRPr="00B5080E">
        <w:rPr>
          <w:rFonts w:hint="eastAsia"/>
          <w:rtl/>
        </w:rPr>
        <w:t>ملا</w:t>
      </w:r>
      <w:r w:rsidRPr="00B5080E">
        <w:rPr>
          <w:rFonts w:hint="cs"/>
          <w:rtl/>
        </w:rPr>
        <w:t xml:space="preserve">ّ </w:t>
      </w:r>
      <w:r w:rsidRPr="00B5080E">
        <w:rPr>
          <w:rFonts w:hint="eastAsia"/>
          <w:rtl/>
        </w:rPr>
        <w:t>محمّد</w:t>
      </w:r>
      <w:r w:rsidRPr="00B5080E">
        <w:rPr>
          <w:rFonts w:hint="cs"/>
          <w:rtl/>
        </w:rPr>
        <w:t xml:space="preserve"> </w:t>
      </w:r>
      <w:r w:rsidRPr="00B5080E">
        <w:rPr>
          <w:rFonts w:hint="eastAsia"/>
          <w:rtl/>
        </w:rPr>
        <w:t>باقر</w:t>
      </w:r>
      <w:r w:rsidRPr="00B5080E">
        <w:rPr>
          <w:rtl/>
        </w:rPr>
        <w:t xml:space="preserve"> </w:t>
      </w:r>
      <w:r w:rsidRPr="00B5080E">
        <w:rPr>
          <w:rFonts w:hint="cs"/>
          <w:rtl/>
        </w:rPr>
        <w:t>ال</w:t>
      </w:r>
      <w:r w:rsidRPr="00B5080E">
        <w:rPr>
          <w:rFonts w:hint="eastAsia"/>
          <w:rtl/>
        </w:rPr>
        <w:t>مجلس</w:t>
      </w:r>
      <w:r w:rsidRPr="00B5080E">
        <w:rPr>
          <w:rFonts w:hint="cs"/>
          <w:rtl/>
        </w:rPr>
        <w:t>ي</w:t>
      </w:r>
      <w:r w:rsidRPr="00B5080E">
        <w:rPr>
          <w:rFonts w:hint="eastAsia"/>
          <w:rtl/>
        </w:rPr>
        <w:t>،</w:t>
      </w:r>
      <w:r w:rsidRPr="00B5080E">
        <w:rPr>
          <w:rtl/>
        </w:rPr>
        <w:t xml:space="preserve"> </w:t>
      </w:r>
      <w:r w:rsidRPr="00B5080E">
        <w:rPr>
          <w:rFonts w:hint="eastAsia"/>
          <w:rtl/>
        </w:rPr>
        <w:t>مرآة</w:t>
      </w:r>
      <w:r w:rsidRPr="00B5080E">
        <w:rPr>
          <w:rtl/>
        </w:rPr>
        <w:t xml:space="preserve"> </w:t>
      </w:r>
      <w:r w:rsidRPr="00B5080E">
        <w:rPr>
          <w:rFonts w:hint="eastAsia"/>
          <w:rtl/>
        </w:rPr>
        <w:t>العقول</w:t>
      </w:r>
      <w:r w:rsidRPr="00B5080E">
        <w:rPr>
          <w:rtl/>
        </w:rPr>
        <w:t xml:space="preserve"> </w:t>
      </w:r>
      <w:r w:rsidRPr="00B5080E">
        <w:rPr>
          <w:rFonts w:hint="eastAsia"/>
          <w:rtl/>
        </w:rPr>
        <w:t>فى</w:t>
      </w:r>
      <w:r w:rsidRPr="00B5080E">
        <w:rPr>
          <w:rtl/>
        </w:rPr>
        <w:t xml:space="preserve"> </w:t>
      </w:r>
      <w:r w:rsidRPr="00B5080E">
        <w:rPr>
          <w:rFonts w:hint="eastAsia"/>
          <w:rtl/>
        </w:rPr>
        <w:t>شرح</w:t>
      </w:r>
      <w:r w:rsidRPr="00B5080E">
        <w:rPr>
          <w:rtl/>
        </w:rPr>
        <w:t xml:space="preserve"> </w:t>
      </w:r>
      <w:r w:rsidRPr="00B5080E">
        <w:rPr>
          <w:rFonts w:hint="cs"/>
          <w:rtl/>
        </w:rPr>
        <w:t>أ</w:t>
      </w:r>
      <w:r w:rsidRPr="00B5080E">
        <w:rPr>
          <w:rFonts w:hint="eastAsia"/>
          <w:rtl/>
        </w:rPr>
        <w:t>خبار</w:t>
      </w:r>
      <w:r w:rsidRPr="00B5080E">
        <w:rPr>
          <w:rtl/>
        </w:rPr>
        <w:t xml:space="preserve"> </w:t>
      </w:r>
      <w:r w:rsidRPr="00B5080E">
        <w:rPr>
          <w:rFonts w:hint="eastAsia"/>
          <w:rtl/>
        </w:rPr>
        <w:t>الرسول</w:t>
      </w:r>
      <w:r w:rsidRPr="00B5080E">
        <w:rPr>
          <w:rFonts w:hint="cs"/>
          <w:rtl/>
        </w:rPr>
        <w:sym w:font="Roumouz" w:char="F02D"/>
      </w:r>
      <w:r w:rsidRPr="00B5080E">
        <w:rPr>
          <w:rFonts w:hint="eastAsia"/>
          <w:rtl/>
        </w:rPr>
        <w:t>،</w:t>
      </w:r>
      <w:r w:rsidRPr="00B5080E">
        <w:rPr>
          <w:rtl/>
        </w:rPr>
        <w:t xml:space="preserve"> 24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الأولى،</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ـ ال</w:t>
      </w:r>
      <w:r w:rsidRPr="00B5080E">
        <w:rPr>
          <w:rFonts w:hint="eastAsia"/>
          <w:rtl/>
        </w:rPr>
        <w:t>محق</w:t>
      </w:r>
      <w:r w:rsidRPr="00B5080E">
        <w:rPr>
          <w:rFonts w:hint="cs"/>
          <w:rtl/>
        </w:rPr>
        <w:t>ِّ</w:t>
      </w:r>
      <w:r w:rsidRPr="00B5080E">
        <w:rPr>
          <w:rFonts w:hint="eastAsia"/>
          <w:rtl/>
        </w:rPr>
        <w:t>ق</w:t>
      </w:r>
      <w:r w:rsidRPr="00B5080E">
        <w:rPr>
          <w:rtl/>
        </w:rPr>
        <w:t xml:space="preserve"> </w:t>
      </w:r>
      <w:r w:rsidRPr="00B5080E">
        <w:rPr>
          <w:rFonts w:hint="cs"/>
          <w:rtl/>
        </w:rPr>
        <w:t>ال</w:t>
      </w:r>
      <w:r w:rsidRPr="00B5080E">
        <w:rPr>
          <w:rFonts w:hint="eastAsia"/>
          <w:rtl/>
        </w:rPr>
        <w:t>ثان</w:t>
      </w:r>
      <w:r w:rsidRPr="00B5080E">
        <w:rPr>
          <w:rFonts w:hint="cs"/>
          <w:rtl/>
        </w:rPr>
        <w:t>ي</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بن</w:t>
      </w:r>
      <w:r w:rsidRPr="00B5080E">
        <w:rPr>
          <w:rtl/>
        </w:rPr>
        <w:t xml:space="preserve"> </w:t>
      </w:r>
      <w:r w:rsidRPr="00B5080E">
        <w:rPr>
          <w:rFonts w:hint="eastAsia"/>
          <w:rtl/>
        </w:rPr>
        <w:t>عبد</w:t>
      </w:r>
      <w:r w:rsidRPr="00B5080E">
        <w:rPr>
          <w:rFonts w:hint="cs"/>
          <w:rtl/>
        </w:rPr>
        <w:t xml:space="preserve"> </w:t>
      </w:r>
      <w:r w:rsidRPr="00B5080E">
        <w:rPr>
          <w:rFonts w:hint="eastAsia"/>
          <w:rtl/>
        </w:rPr>
        <w:t>العال</w:t>
      </w:r>
      <w:r w:rsidRPr="00B5080E">
        <w:rPr>
          <w:rFonts w:hint="cs"/>
          <w:rtl/>
        </w:rPr>
        <w:t>ي</w:t>
      </w:r>
      <w:r w:rsidRPr="00B5080E">
        <w:rPr>
          <w:rFonts w:hint="eastAsia"/>
          <w:rtl/>
        </w:rPr>
        <w:t>،</w:t>
      </w:r>
      <w:r w:rsidRPr="00B5080E">
        <w:rPr>
          <w:rtl/>
        </w:rPr>
        <w:t xml:space="preserve"> </w:t>
      </w:r>
      <w:r w:rsidRPr="00B5080E">
        <w:rPr>
          <w:rFonts w:hint="eastAsia"/>
          <w:rtl/>
        </w:rPr>
        <w:t>رسائل</w:t>
      </w:r>
      <w:r w:rsidRPr="00B5080E">
        <w:rPr>
          <w:rtl/>
        </w:rPr>
        <w:t xml:space="preserve"> </w:t>
      </w:r>
      <w:r w:rsidRPr="00B5080E">
        <w:rPr>
          <w:rFonts w:hint="eastAsia"/>
          <w:rtl/>
        </w:rPr>
        <w:t>المحق</w:t>
      </w:r>
      <w:r w:rsidRPr="00B5080E">
        <w:rPr>
          <w:rFonts w:hint="cs"/>
          <w:rtl/>
        </w:rPr>
        <w:t>ِّ</w:t>
      </w:r>
      <w:r w:rsidRPr="00B5080E">
        <w:rPr>
          <w:rFonts w:hint="eastAsia"/>
          <w:rtl/>
        </w:rPr>
        <w:t>ق</w:t>
      </w:r>
      <w:r w:rsidRPr="00B5080E">
        <w:rPr>
          <w:rtl/>
        </w:rPr>
        <w:t xml:space="preserve"> </w:t>
      </w:r>
      <w:r w:rsidRPr="00B5080E">
        <w:rPr>
          <w:rFonts w:hint="eastAsia"/>
          <w:rtl/>
        </w:rPr>
        <w:t>الكرك</w:t>
      </w:r>
      <w:r w:rsidRPr="00B5080E">
        <w:rPr>
          <w:rFonts w:hint="cs"/>
          <w:rtl/>
        </w:rPr>
        <w:t>ي</w:t>
      </w:r>
      <w:r w:rsidRPr="00B5080E">
        <w:rPr>
          <w:rFonts w:hint="eastAsia"/>
          <w:rtl/>
        </w:rPr>
        <w:t>،</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حسّون،</w:t>
      </w:r>
      <w:r w:rsidRPr="00B5080E">
        <w:rPr>
          <w:rtl/>
        </w:rPr>
        <w:t xml:space="preserve"> 4 </w:t>
      </w:r>
      <w:r w:rsidRPr="00B5080E">
        <w:rPr>
          <w:rFonts w:hint="eastAsia"/>
          <w:rtl/>
        </w:rPr>
        <w:t>مجلد،</w:t>
      </w:r>
      <w:r w:rsidRPr="00B5080E">
        <w:rPr>
          <w:rtl/>
        </w:rPr>
        <w:t xml:space="preserve"> (</w:t>
      </w:r>
      <w:r w:rsidRPr="00B5080E">
        <w:rPr>
          <w:rFonts w:hint="eastAsia"/>
          <w:rtl/>
        </w:rPr>
        <w:t>قم،</w:t>
      </w:r>
      <w:r w:rsidRPr="00B5080E">
        <w:rPr>
          <w:rtl/>
        </w:rPr>
        <w:t xml:space="preserve"> 1409</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مير</w:t>
      </w:r>
      <w:r w:rsidRPr="00B5080E">
        <w:rPr>
          <w:rtl/>
        </w:rPr>
        <w:t xml:space="preserve"> </w:t>
      </w:r>
      <w:r w:rsidRPr="00B5080E">
        <w:rPr>
          <w:rFonts w:hint="eastAsia"/>
          <w:rtl/>
        </w:rPr>
        <w:t>عبد</w:t>
      </w:r>
      <w:r w:rsidRPr="00B5080E">
        <w:rPr>
          <w:rFonts w:hint="cs"/>
          <w:rtl/>
        </w:rPr>
        <w:t xml:space="preserve"> </w:t>
      </w:r>
      <w:r w:rsidRPr="00B5080E">
        <w:rPr>
          <w:rFonts w:hint="eastAsia"/>
          <w:rtl/>
        </w:rPr>
        <w:t>الفت</w:t>
      </w:r>
      <w:r w:rsidRPr="00B5080E">
        <w:rPr>
          <w:rFonts w:hint="cs"/>
          <w:rtl/>
        </w:rPr>
        <w:t>ّ</w:t>
      </w:r>
      <w:r w:rsidRPr="00B5080E">
        <w:rPr>
          <w:rFonts w:hint="eastAsia"/>
          <w:rtl/>
        </w:rPr>
        <w:t>اح</w:t>
      </w:r>
      <w:r w:rsidRPr="00B5080E">
        <w:rPr>
          <w:rtl/>
        </w:rPr>
        <w:t xml:space="preserve"> </w:t>
      </w:r>
      <w:r w:rsidRPr="00B5080E">
        <w:rPr>
          <w:rFonts w:hint="eastAsia"/>
          <w:rtl/>
        </w:rPr>
        <w:t>حسين</w:t>
      </w:r>
      <w:r w:rsidRPr="00B5080E">
        <w:rPr>
          <w:rFonts w:hint="cs"/>
          <w:rtl/>
        </w:rPr>
        <w:t>ي</w:t>
      </w:r>
      <w:r w:rsidRPr="00B5080E">
        <w:rPr>
          <w:rtl/>
        </w:rPr>
        <w:t xml:space="preserve"> </w:t>
      </w:r>
      <w:r w:rsidRPr="00B5080E">
        <w:rPr>
          <w:rFonts w:hint="cs"/>
          <w:rtl/>
        </w:rPr>
        <w:t>ال</w:t>
      </w:r>
      <w:r w:rsidRPr="00B5080E">
        <w:rPr>
          <w:rFonts w:hint="eastAsia"/>
          <w:rtl/>
        </w:rPr>
        <w:t>مراغ</w:t>
      </w:r>
      <w:r w:rsidRPr="00B5080E">
        <w:rPr>
          <w:rFonts w:hint="cs"/>
          <w:rtl/>
        </w:rPr>
        <w:t>ي</w:t>
      </w:r>
      <w:r w:rsidRPr="00B5080E">
        <w:rPr>
          <w:rFonts w:hint="eastAsia"/>
          <w:rtl/>
        </w:rPr>
        <w:t>،</w:t>
      </w:r>
      <w:r w:rsidRPr="00B5080E">
        <w:rPr>
          <w:rtl/>
        </w:rPr>
        <w:t xml:space="preserve"> </w:t>
      </w:r>
      <w:r w:rsidRPr="00B5080E">
        <w:rPr>
          <w:rFonts w:hint="eastAsia"/>
          <w:rtl/>
        </w:rPr>
        <w:t>العناوين،</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محمّد</w:t>
      </w:r>
      <w:r w:rsidRPr="00B5080E">
        <w:rPr>
          <w:rFonts w:hint="cs"/>
          <w:rtl/>
        </w:rPr>
        <w:t xml:space="preserve"> </w:t>
      </w:r>
      <w:r w:rsidRPr="00B5080E">
        <w:rPr>
          <w:rFonts w:hint="eastAsia"/>
          <w:rtl/>
        </w:rPr>
        <w:t>تق</w:t>
      </w:r>
      <w:r w:rsidRPr="00B5080E">
        <w:rPr>
          <w:rFonts w:hint="cs"/>
          <w:rtl/>
        </w:rPr>
        <w:t>ي</w:t>
      </w:r>
      <w:r w:rsidRPr="00B5080E">
        <w:rPr>
          <w:rtl/>
        </w:rPr>
        <w:t xml:space="preserve"> </w:t>
      </w:r>
      <w:r w:rsidRPr="00B5080E">
        <w:rPr>
          <w:rFonts w:hint="eastAsia"/>
          <w:rtl/>
        </w:rPr>
        <w:t>مصباح</w:t>
      </w:r>
      <w:r w:rsidRPr="00B5080E">
        <w:rPr>
          <w:rtl/>
        </w:rPr>
        <w:t xml:space="preserve"> </w:t>
      </w:r>
      <w:r w:rsidRPr="00B5080E">
        <w:rPr>
          <w:rFonts w:hint="eastAsia"/>
          <w:rtl/>
        </w:rPr>
        <w:t>اليزدي</w:t>
      </w:r>
      <w:r w:rsidRPr="00B5080E">
        <w:rPr>
          <w:rtl/>
        </w:rPr>
        <w:t xml:space="preserve"> (</w:t>
      </w:r>
      <w:r w:rsidRPr="00B5080E">
        <w:rPr>
          <w:rFonts w:hint="eastAsia"/>
          <w:rtl/>
        </w:rPr>
        <w:t>وآخرون</w:t>
      </w:r>
      <w:r w:rsidRPr="00B5080E">
        <w:rPr>
          <w:rtl/>
        </w:rPr>
        <w:t>)</w:t>
      </w:r>
      <w:r w:rsidRPr="00B5080E">
        <w:rPr>
          <w:rFonts w:hint="eastAsia"/>
          <w:rtl/>
        </w:rPr>
        <w:t>،</w:t>
      </w:r>
      <w:r w:rsidRPr="00B5080E">
        <w:rPr>
          <w:rtl/>
        </w:rPr>
        <w:t xml:space="preserve"> </w:t>
      </w:r>
      <w:r w:rsidRPr="00B5080E">
        <w:rPr>
          <w:rFonts w:hint="eastAsia"/>
          <w:rtl/>
        </w:rPr>
        <w:t>ال</w:t>
      </w:r>
      <w:r w:rsidRPr="00B5080E">
        <w:rPr>
          <w:rFonts w:hint="cs"/>
          <w:rtl/>
        </w:rPr>
        <w:t>إ</w:t>
      </w:r>
      <w:r w:rsidRPr="00B5080E">
        <w:rPr>
          <w:rFonts w:hint="eastAsia"/>
          <w:rtl/>
        </w:rPr>
        <w:t>مامة</w:t>
      </w:r>
      <w:r w:rsidRPr="00B5080E">
        <w:rPr>
          <w:rtl/>
        </w:rPr>
        <w:t xml:space="preserve"> </w:t>
      </w:r>
      <w:r w:rsidRPr="00B5080E">
        <w:rPr>
          <w:rFonts w:hint="eastAsia"/>
          <w:rtl/>
        </w:rPr>
        <w:t>والولاية</w:t>
      </w:r>
      <w:r w:rsidRPr="00B5080E">
        <w:rPr>
          <w:rtl/>
        </w:rPr>
        <w:t xml:space="preserve"> </w:t>
      </w:r>
      <w:r w:rsidRPr="00B5080E">
        <w:rPr>
          <w:rFonts w:hint="eastAsia"/>
          <w:rtl/>
        </w:rPr>
        <w:t>ف</w:t>
      </w:r>
      <w:r w:rsidRPr="00B5080E">
        <w:rPr>
          <w:rFonts w:hint="cs"/>
          <w:rtl/>
        </w:rPr>
        <w:t xml:space="preserve">ي </w:t>
      </w:r>
      <w:r w:rsidRPr="00B5080E">
        <w:rPr>
          <w:rtl/>
        </w:rPr>
        <w:t>‏</w:t>
      </w:r>
      <w:r w:rsidRPr="00B5080E">
        <w:rPr>
          <w:rFonts w:hint="eastAsia"/>
          <w:rtl/>
        </w:rPr>
        <w:t>القرآن</w:t>
      </w:r>
      <w:r w:rsidRPr="00B5080E">
        <w:rPr>
          <w:rtl/>
        </w:rPr>
        <w:t xml:space="preserve"> </w:t>
      </w:r>
      <w:r w:rsidRPr="00B5080E">
        <w:rPr>
          <w:rFonts w:hint="eastAsia"/>
          <w:rtl/>
        </w:rPr>
        <w:t>الكريم،</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إ</w:t>
      </w:r>
      <w:r w:rsidRPr="00B5080E">
        <w:rPr>
          <w:rFonts w:hint="eastAsia"/>
          <w:rtl/>
        </w:rPr>
        <w:t>سماعيل</w:t>
      </w:r>
      <w:r w:rsidRPr="00B5080E">
        <w:rPr>
          <w:rtl/>
        </w:rPr>
        <w:t xml:space="preserve"> </w:t>
      </w:r>
      <w:r w:rsidRPr="00B5080E">
        <w:rPr>
          <w:rFonts w:hint="eastAsia"/>
          <w:rtl/>
        </w:rPr>
        <w:t>معزّى</w:t>
      </w:r>
      <w:r w:rsidRPr="00B5080E">
        <w:rPr>
          <w:rtl/>
        </w:rPr>
        <w:t xml:space="preserve"> </w:t>
      </w:r>
      <w:r w:rsidRPr="00B5080E">
        <w:rPr>
          <w:rFonts w:hint="cs"/>
          <w:rtl/>
        </w:rPr>
        <w:t>ال</w:t>
      </w:r>
      <w:r w:rsidRPr="00B5080E">
        <w:rPr>
          <w:rFonts w:hint="eastAsia"/>
          <w:rtl/>
        </w:rPr>
        <w:t>ملاير</w:t>
      </w:r>
      <w:r w:rsidRPr="00B5080E">
        <w:rPr>
          <w:rFonts w:hint="cs"/>
          <w:rtl/>
        </w:rPr>
        <w:t>ي</w:t>
      </w:r>
      <w:r w:rsidRPr="00B5080E">
        <w:rPr>
          <w:rFonts w:hint="eastAsia"/>
          <w:rtl/>
        </w:rPr>
        <w:t>،</w:t>
      </w:r>
      <w:r w:rsidRPr="00B5080E">
        <w:rPr>
          <w:rtl/>
        </w:rPr>
        <w:t xml:space="preserve"> </w:t>
      </w:r>
      <w:r w:rsidRPr="00B5080E">
        <w:rPr>
          <w:rFonts w:hint="eastAsia"/>
          <w:rtl/>
        </w:rPr>
        <w:t>جامع</w:t>
      </w:r>
      <w:r w:rsidRPr="00B5080E">
        <w:rPr>
          <w:rtl/>
        </w:rPr>
        <w:t xml:space="preserve"> </w:t>
      </w:r>
      <w:r w:rsidRPr="00B5080E">
        <w:rPr>
          <w:rFonts w:hint="cs"/>
          <w:rtl/>
        </w:rPr>
        <w:t>أ</w:t>
      </w:r>
      <w:r w:rsidRPr="00B5080E">
        <w:rPr>
          <w:rFonts w:hint="eastAsia"/>
          <w:rtl/>
        </w:rPr>
        <w:t>حاديث</w:t>
      </w:r>
      <w:r w:rsidRPr="00B5080E">
        <w:rPr>
          <w:rtl/>
        </w:rPr>
        <w:t xml:space="preserve"> </w:t>
      </w:r>
      <w:r w:rsidRPr="00B5080E">
        <w:rPr>
          <w:rFonts w:hint="eastAsia"/>
          <w:rtl/>
        </w:rPr>
        <w:t>الشيعة،</w:t>
      </w:r>
      <w:r w:rsidRPr="00B5080E">
        <w:rPr>
          <w:rtl/>
        </w:rPr>
        <w:t xml:space="preserve"> </w:t>
      </w:r>
      <w:r w:rsidRPr="00B5080E">
        <w:rPr>
          <w:rFonts w:hint="eastAsia"/>
          <w:rtl/>
        </w:rPr>
        <w:t>الطبعة</w:t>
      </w:r>
      <w:r w:rsidRPr="00B5080E">
        <w:rPr>
          <w:rtl/>
        </w:rPr>
        <w:t xml:space="preserve"> </w:t>
      </w:r>
      <w:r w:rsidRPr="00B5080E">
        <w:rPr>
          <w:rFonts w:hint="eastAsia"/>
          <w:rtl/>
        </w:rPr>
        <w:t>الثانية،</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لويس</w:t>
      </w:r>
      <w:r w:rsidRPr="00B5080E">
        <w:rPr>
          <w:rtl/>
        </w:rPr>
        <w:t xml:space="preserve"> </w:t>
      </w:r>
      <w:r w:rsidRPr="00B5080E">
        <w:rPr>
          <w:rFonts w:hint="eastAsia"/>
          <w:rtl/>
        </w:rPr>
        <w:t>معلوف</w:t>
      </w:r>
      <w:r w:rsidRPr="00B5080E">
        <w:rPr>
          <w:rtl/>
        </w:rPr>
        <w:t xml:space="preserve"> </w:t>
      </w:r>
      <w:r w:rsidRPr="00B5080E">
        <w:rPr>
          <w:rFonts w:hint="eastAsia"/>
          <w:rtl/>
        </w:rPr>
        <w:t>اليسوعي،</w:t>
      </w:r>
      <w:r w:rsidRPr="00B5080E">
        <w:rPr>
          <w:rtl/>
        </w:rPr>
        <w:t xml:space="preserve"> </w:t>
      </w:r>
      <w:r w:rsidRPr="00B5080E">
        <w:rPr>
          <w:rFonts w:hint="eastAsia"/>
          <w:rtl/>
        </w:rPr>
        <w:t>المنجد</w:t>
      </w:r>
      <w:r w:rsidRPr="00B5080E">
        <w:rPr>
          <w:rtl/>
        </w:rPr>
        <w:t xml:space="preserve"> </w:t>
      </w:r>
      <w:r w:rsidRPr="00B5080E">
        <w:rPr>
          <w:rFonts w:hint="eastAsia"/>
          <w:rtl/>
        </w:rPr>
        <w:t>ف</w:t>
      </w:r>
      <w:r w:rsidRPr="00B5080E">
        <w:rPr>
          <w:rFonts w:hint="cs"/>
          <w:rtl/>
        </w:rPr>
        <w:t xml:space="preserve">ي </w:t>
      </w:r>
      <w:r w:rsidRPr="00B5080E">
        <w:rPr>
          <w:rtl/>
        </w:rPr>
        <w:t>‏</w:t>
      </w:r>
      <w:r w:rsidRPr="00B5080E">
        <w:rPr>
          <w:rFonts w:hint="eastAsia"/>
          <w:rtl/>
        </w:rPr>
        <w:t>اللغة</w:t>
      </w:r>
      <w:r w:rsidRPr="00B5080E">
        <w:rPr>
          <w:rtl/>
        </w:rPr>
        <w:t xml:space="preserve"> </w:t>
      </w:r>
      <w:r w:rsidRPr="00B5080E">
        <w:rPr>
          <w:rFonts w:hint="eastAsia"/>
          <w:rtl/>
        </w:rPr>
        <w:t>وال</w:t>
      </w:r>
      <w:r w:rsidRPr="00B5080E">
        <w:rPr>
          <w:rFonts w:hint="cs"/>
          <w:rtl/>
        </w:rPr>
        <w:t>أ</w:t>
      </w:r>
      <w:r w:rsidRPr="00B5080E">
        <w:rPr>
          <w:rFonts w:hint="eastAsia"/>
          <w:rtl/>
        </w:rPr>
        <w:t>دب</w:t>
      </w:r>
      <w:r w:rsidRPr="00B5080E">
        <w:rPr>
          <w:rtl/>
        </w:rPr>
        <w:t xml:space="preserve"> </w:t>
      </w:r>
      <w:r w:rsidRPr="00B5080E">
        <w:rPr>
          <w:rFonts w:hint="eastAsia"/>
          <w:rtl/>
        </w:rPr>
        <w:t>والعلوم،</w:t>
      </w:r>
      <w:r w:rsidRPr="00B5080E">
        <w:rPr>
          <w:rtl/>
        </w:rPr>
        <w:t xml:space="preserve"> </w:t>
      </w:r>
      <w:r w:rsidRPr="00B5080E">
        <w:rPr>
          <w:rFonts w:hint="eastAsia"/>
          <w:rtl/>
        </w:rPr>
        <w:t>الطبعة</w:t>
      </w:r>
      <w:r w:rsidRPr="00B5080E">
        <w:rPr>
          <w:rtl/>
        </w:rPr>
        <w:t xml:space="preserve"> 18</w:t>
      </w:r>
      <w:r w:rsidRPr="00B5080E">
        <w:rPr>
          <w:rFonts w:hint="eastAsia"/>
          <w:rtl/>
        </w:rPr>
        <w:t>،</w:t>
      </w:r>
      <w:r w:rsidRPr="00B5080E">
        <w:rPr>
          <w:rtl/>
        </w:rPr>
        <w:t xml:space="preserve"> (</w:t>
      </w:r>
      <w:r w:rsidRPr="00B5080E">
        <w:rPr>
          <w:rFonts w:hint="eastAsia"/>
          <w:rtl/>
        </w:rPr>
        <w:t>بيروت</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ال</w:t>
      </w:r>
      <w:r w:rsidRPr="00B5080E">
        <w:rPr>
          <w:rFonts w:hint="eastAsia"/>
          <w:rtl/>
        </w:rPr>
        <w:t>مفيد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eastAsia"/>
          <w:rtl/>
        </w:rPr>
        <w:t>محمد</w:t>
      </w:r>
      <w:r w:rsidRPr="00B5080E">
        <w:rPr>
          <w:rtl/>
        </w:rPr>
        <w:t xml:space="preserve"> </w:t>
      </w:r>
      <w:r w:rsidRPr="00B5080E">
        <w:rPr>
          <w:rFonts w:hint="eastAsia"/>
          <w:rtl/>
        </w:rPr>
        <w:t>بن</w:t>
      </w:r>
      <w:r w:rsidRPr="00B5080E">
        <w:rPr>
          <w:rtl/>
        </w:rPr>
        <w:t xml:space="preserve"> </w:t>
      </w:r>
      <w:r w:rsidRPr="00B5080E">
        <w:rPr>
          <w:rFonts w:hint="eastAsia"/>
          <w:rtl/>
        </w:rPr>
        <w:t>محمّد</w:t>
      </w:r>
      <w:r w:rsidRPr="00B5080E">
        <w:rPr>
          <w:rtl/>
        </w:rPr>
        <w:t>)</w:t>
      </w:r>
      <w:r w:rsidRPr="00B5080E">
        <w:rPr>
          <w:rFonts w:hint="eastAsia"/>
          <w:rtl/>
        </w:rPr>
        <w:t>،</w:t>
      </w:r>
      <w:r w:rsidRPr="00B5080E">
        <w:rPr>
          <w:rtl/>
        </w:rPr>
        <w:t xml:space="preserve"> </w:t>
      </w:r>
      <w:r w:rsidRPr="00B5080E">
        <w:rPr>
          <w:rFonts w:hint="cs"/>
          <w:rtl/>
        </w:rPr>
        <w:t>أ</w:t>
      </w:r>
      <w:r w:rsidRPr="00B5080E">
        <w:rPr>
          <w:rFonts w:hint="eastAsia"/>
          <w:rtl/>
        </w:rPr>
        <w:t>وائل</w:t>
      </w:r>
      <w:r w:rsidRPr="00B5080E">
        <w:rPr>
          <w:rtl/>
        </w:rPr>
        <w:t xml:space="preserve"> </w:t>
      </w:r>
      <w:r w:rsidRPr="00B5080E">
        <w:rPr>
          <w:rFonts w:hint="eastAsia"/>
          <w:rtl/>
        </w:rPr>
        <w:t>المقالات،</w:t>
      </w:r>
      <w:r w:rsidRPr="00B5080E">
        <w:rPr>
          <w:rtl/>
        </w:rPr>
        <w:t xml:space="preserve"> </w:t>
      </w:r>
      <w:r w:rsidRPr="00B5080E">
        <w:rPr>
          <w:rFonts w:hint="eastAsia"/>
          <w:rtl/>
        </w:rPr>
        <w:t>مصنفات</w:t>
      </w:r>
      <w:r w:rsidRPr="00B5080E">
        <w:rPr>
          <w:rtl/>
        </w:rPr>
        <w:t xml:space="preserve"> </w:t>
      </w:r>
      <w:r w:rsidRPr="00B5080E">
        <w:rPr>
          <w:rFonts w:hint="eastAsia"/>
          <w:rtl/>
        </w:rPr>
        <w:t>الشيخ</w:t>
      </w:r>
      <w:r w:rsidRPr="00B5080E">
        <w:rPr>
          <w:rtl/>
        </w:rPr>
        <w:t xml:space="preserve"> </w:t>
      </w:r>
      <w:r w:rsidRPr="00B5080E">
        <w:rPr>
          <w:rFonts w:hint="eastAsia"/>
          <w:rtl/>
        </w:rPr>
        <w:t>المفيد،</w:t>
      </w:r>
      <w:r w:rsidRPr="00B5080E">
        <w:rPr>
          <w:rtl/>
        </w:rPr>
        <w:t xml:space="preserve"> </w:t>
      </w:r>
      <w:r w:rsidRPr="00B5080E">
        <w:rPr>
          <w:rFonts w:hint="eastAsia"/>
          <w:rtl/>
        </w:rPr>
        <w:t>المجلد</w:t>
      </w:r>
      <w:r w:rsidRPr="00B5080E">
        <w:rPr>
          <w:rtl/>
        </w:rPr>
        <w:t xml:space="preserve"> </w:t>
      </w:r>
      <w:r w:rsidRPr="00B5080E">
        <w:rPr>
          <w:rFonts w:hint="eastAsia"/>
          <w:rtl/>
        </w:rPr>
        <w:t>الرابع،</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cs"/>
          <w:rtl/>
        </w:rPr>
        <w:t>إب</w:t>
      </w:r>
      <w:r w:rsidRPr="00B5080E">
        <w:rPr>
          <w:rFonts w:hint="eastAsia"/>
          <w:rtl/>
        </w:rPr>
        <w:t>راهيم</w:t>
      </w:r>
      <w:r w:rsidRPr="00B5080E">
        <w:rPr>
          <w:rtl/>
        </w:rPr>
        <w:t xml:space="preserve"> </w:t>
      </w:r>
      <w:r w:rsidRPr="00B5080E">
        <w:rPr>
          <w:rFonts w:hint="eastAsia"/>
          <w:rtl/>
        </w:rPr>
        <w:t>الأنصاري</w:t>
      </w:r>
      <w:r w:rsidRPr="00B5080E">
        <w:rPr>
          <w:rtl/>
        </w:rPr>
        <w:t xml:space="preserve"> </w:t>
      </w:r>
      <w:r w:rsidRPr="00B5080E">
        <w:rPr>
          <w:rFonts w:hint="cs"/>
          <w:rtl/>
        </w:rPr>
        <w:t>ال</w:t>
      </w:r>
      <w:r w:rsidRPr="00B5080E">
        <w:rPr>
          <w:rFonts w:hint="eastAsia"/>
          <w:rtl/>
        </w:rPr>
        <w:t>زنجان</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1413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ال</w:t>
      </w:r>
      <w:r w:rsidRPr="00B5080E">
        <w:rPr>
          <w:rFonts w:hint="eastAsia"/>
          <w:rtl/>
        </w:rPr>
        <w:t>مفيد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eastAsia"/>
          <w:rtl/>
        </w:rPr>
        <w:t>محمد</w:t>
      </w:r>
      <w:r w:rsidRPr="00B5080E">
        <w:rPr>
          <w:rtl/>
        </w:rPr>
        <w:t xml:space="preserve"> </w:t>
      </w:r>
      <w:r w:rsidRPr="00B5080E">
        <w:rPr>
          <w:rFonts w:hint="eastAsia"/>
          <w:rtl/>
        </w:rPr>
        <w:t>بن</w:t>
      </w:r>
      <w:r w:rsidRPr="00B5080E">
        <w:rPr>
          <w:rtl/>
        </w:rPr>
        <w:t xml:space="preserve"> </w:t>
      </w:r>
      <w:r w:rsidRPr="00B5080E">
        <w:rPr>
          <w:rFonts w:hint="eastAsia"/>
          <w:rtl/>
        </w:rPr>
        <w:t>محمّد</w:t>
      </w:r>
      <w:r w:rsidRPr="00B5080E">
        <w:rPr>
          <w:rFonts w:hint="cs"/>
          <w:rtl/>
        </w:rPr>
        <w:t>)</w:t>
      </w:r>
      <w:r w:rsidRPr="00B5080E">
        <w:rPr>
          <w:rFonts w:hint="eastAsia"/>
          <w:rtl/>
        </w:rPr>
        <w:t>،</w:t>
      </w:r>
      <w:r w:rsidRPr="00B5080E">
        <w:rPr>
          <w:rtl/>
        </w:rPr>
        <w:t xml:space="preserve"> </w:t>
      </w:r>
      <w:r w:rsidRPr="00B5080E">
        <w:rPr>
          <w:rFonts w:hint="eastAsia"/>
          <w:rtl/>
        </w:rPr>
        <w:t>الاختصاص،</w:t>
      </w:r>
      <w:r w:rsidRPr="00B5080E">
        <w:rPr>
          <w:rtl/>
        </w:rPr>
        <w:t xml:space="preserve"> </w:t>
      </w:r>
      <w:r w:rsidRPr="00B5080E">
        <w:rPr>
          <w:rFonts w:hint="eastAsia"/>
          <w:rtl/>
        </w:rPr>
        <w:t>مصنفات</w:t>
      </w:r>
      <w:r w:rsidRPr="00B5080E">
        <w:rPr>
          <w:rtl/>
        </w:rPr>
        <w:t xml:space="preserve"> </w:t>
      </w:r>
      <w:r w:rsidRPr="00B5080E">
        <w:rPr>
          <w:rFonts w:hint="eastAsia"/>
          <w:rtl/>
        </w:rPr>
        <w:t>الشيخ</w:t>
      </w:r>
      <w:r w:rsidRPr="00B5080E">
        <w:rPr>
          <w:rtl/>
        </w:rPr>
        <w:t xml:space="preserve">  </w:t>
      </w:r>
      <w:r w:rsidRPr="00B5080E">
        <w:rPr>
          <w:rFonts w:hint="eastAsia"/>
          <w:rtl/>
        </w:rPr>
        <w:t>المفيد،</w:t>
      </w:r>
      <w:r w:rsidRPr="00B5080E">
        <w:rPr>
          <w:rtl/>
        </w:rPr>
        <w:t xml:space="preserve"> </w:t>
      </w:r>
      <w:r w:rsidRPr="00B5080E">
        <w:rPr>
          <w:rFonts w:hint="eastAsia"/>
          <w:rtl/>
        </w:rPr>
        <w:t>مجلد</w:t>
      </w:r>
      <w:r w:rsidRPr="00B5080E">
        <w:rPr>
          <w:rtl/>
        </w:rPr>
        <w:t xml:space="preserve"> 12</w:t>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عل</w:t>
      </w:r>
      <w:r w:rsidRPr="00B5080E">
        <w:rPr>
          <w:rFonts w:hint="cs"/>
          <w:rtl/>
        </w:rPr>
        <w:t>ي أ</w:t>
      </w:r>
      <w:r w:rsidRPr="00B5080E">
        <w:rPr>
          <w:rFonts w:hint="eastAsia"/>
          <w:rtl/>
        </w:rPr>
        <w:t>اكبر</w:t>
      </w:r>
      <w:r w:rsidRPr="00B5080E">
        <w:rPr>
          <w:rtl/>
        </w:rPr>
        <w:t xml:space="preserve"> </w:t>
      </w:r>
      <w:r w:rsidRPr="00B5080E">
        <w:rPr>
          <w:rFonts w:hint="eastAsia"/>
          <w:rtl/>
        </w:rPr>
        <w:t>غفاري،</w:t>
      </w:r>
      <w:r w:rsidRPr="00B5080E">
        <w:rPr>
          <w:rtl/>
        </w:rPr>
        <w:t xml:space="preserve"> (</w:t>
      </w:r>
      <w:r w:rsidRPr="00B5080E">
        <w:rPr>
          <w:rFonts w:hint="eastAsia"/>
          <w:rtl/>
        </w:rPr>
        <w:t>قم،</w:t>
      </w:r>
      <w:r w:rsidRPr="00B5080E">
        <w:rPr>
          <w:rtl/>
        </w:rPr>
        <w:t xml:space="preserve"> 1413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ال</w:t>
      </w:r>
      <w:r w:rsidRPr="00B5080E">
        <w:rPr>
          <w:rFonts w:hint="eastAsia"/>
          <w:rtl/>
        </w:rPr>
        <w:t>مفيد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eastAsia"/>
          <w:rtl/>
        </w:rPr>
        <w:t>محمد</w:t>
      </w:r>
      <w:r w:rsidRPr="00B5080E">
        <w:rPr>
          <w:rtl/>
        </w:rPr>
        <w:t xml:space="preserve"> </w:t>
      </w:r>
      <w:r w:rsidRPr="00B5080E">
        <w:rPr>
          <w:rFonts w:hint="eastAsia"/>
          <w:rtl/>
        </w:rPr>
        <w:t>بن</w:t>
      </w:r>
      <w:r w:rsidRPr="00B5080E">
        <w:rPr>
          <w:rtl/>
        </w:rPr>
        <w:t xml:space="preserve"> </w:t>
      </w:r>
      <w:r w:rsidRPr="00B5080E">
        <w:rPr>
          <w:rFonts w:hint="eastAsia"/>
          <w:rtl/>
        </w:rPr>
        <w:t>محمّد</w:t>
      </w:r>
      <w:r w:rsidRPr="00B5080E">
        <w:rPr>
          <w:rtl/>
        </w:rPr>
        <w:t>)</w:t>
      </w:r>
      <w:r w:rsidRPr="00B5080E">
        <w:rPr>
          <w:rFonts w:hint="eastAsia"/>
          <w:rtl/>
        </w:rPr>
        <w:t>،</w:t>
      </w:r>
      <w:r w:rsidRPr="00B5080E">
        <w:rPr>
          <w:rtl/>
        </w:rPr>
        <w:t xml:space="preserve"> </w:t>
      </w:r>
      <w:r w:rsidRPr="00B5080E">
        <w:rPr>
          <w:rFonts w:hint="eastAsia"/>
          <w:rtl/>
        </w:rPr>
        <w:t>تصحيح</w:t>
      </w:r>
      <w:r w:rsidRPr="00B5080E">
        <w:rPr>
          <w:rtl/>
        </w:rPr>
        <w:t xml:space="preserve"> </w:t>
      </w:r>
      <w:r w:rsidRPr="00B5080E">
        <w:rPr>
          <w:rFonts w:hint="eastAsia"/>
          <w:rtl/>
        </w:rPr>
        <w:t>الاعتقاد،</w:t>
      </w:r>
      <w:r w:rsidRPr="00B5080E">
        <w:rPr>
          <w:rtl/>
        </w:rPr>
        <w:t xml:space="preserve"> </w:t>
      </w:r>
      <w:r w:rsidRPr="00B5080E">
        <w:rPr>
          <w:rFonts w:hint="eastAsia"/>
          <w:rtl/>
        </w:rPr>
        <w:t>مصنفات</w:t>
      </w:r>
      <w:r w:rsidRPr="00B5080E">
        <w:rPr>
          <w:rtl/>
        </w:rPr>
        <w:t xml:space="preserve"> </w:t>
      </w:r>
      <w:r w:rsidRPr="00B5080E">
        <w:rPr>
          <w:rFonts w:hint="eastAsia"/>
          <w:rtl/>
        </w:rPr>
        <w:t>الشيخ</w:t>
      </w:r>
      <w:r w:rsidRPr="00B5080E">
        <w:rPr>
          <w:rtl/>
        </w:rPr>
        <w:t xml:space="preserve"> </w:t>
      </w:r>
      <w:r w:rsidRPr="00B5080E">
        <w:rPr>
          <w:rFonts w:hint="eastAsia"/>
          <w:rtl/>
        </w:rPr>
        <w:t>المفيد،</w:t>
      </w:r>
      <w:r w:rsidRPr="00B5080E">
        <w:rPr>
          <w:rtl/>
        </w:rPr>
        <w:t xml:space="preserve"> </w:t>
      </w:r>
      <w:r w:rsidRPr="00B5080E">
        <w:rPr>
          <w:rFonts w:hint="eastAsia"/>
          <w:rtl/>
        </w:rPr>
        <w:t>مجلد</w:t>
      </w:r>
      <w:r w:rsidRPr="00B5080E">
        <w:rPr>
          <w:rtl/>
        </w:rPr>
        <w:t xml:space="preserve"> </w:t>
      </w:r>
      <w:r w:rsidRPr="00B5080E">
        <w:rPr>
          <w:rFonts w:hint="cs"/>
          <w:rtl/>
        </w:rPr>
        <w:t>5</w:t>
      </w:r>
      <w:r w:rsidRPr="00B5080E">
        <w:rPr>
          <w:rFonts w:hint="eastAsia"/>
          <w:rtl/>
        </w:rPr>
        <w:t>،</w:t>
      </w:r>
      <w:r w:rsidRPr="00B5080E">
        <w:rPr>
          <w:rtl/>
        </w:rPr>
        <w:t xml:space="preserve"> </w:t>
      </w:r>
      <w:r w:rsidRPr="00B5080E">
        <w:rPr>
          <w:rFonts w:hint="eastAsia"/>
          <w:rtl/>
        </w:rPr>
        <w:t>تحقيق</w:t>
      </w:r>
      <w:r w:rsidRPr="00B5080E">
        <w:rPr>
          <w:rFonts w:hint="cs"/>
          <w:rtl/>
        </w:rPr>
        <w:t>:</w:t>
      </w:r>
      <w:r w:rsidRPr="00B5080E">
        <w:rPr>
          <w:rtl/>
        </w:rPr>
        <w:t xml:space="preserve"> </w:t>
      </w:r>
      <w:r w:rsidRPr="00B5080E">
        <w:rPr>
          <w:rFonts w:hint="eastAsia"/>
          <w:rtl/>
        </w:rPr>
        <w:t>حسين</w:t>
      </w:r>
      <w:r w:rsidRPr="00B5080E">
        <w:rPr>
          <w:rtl/>
        </w:rPr>
        <w:t xml:space="preserve"> </w:t>
      </w:r>
      <w:r w:rsidRPr="00B5080E">
        <w:rPr>
          <w:rFonts w:hint="eastAsia"/>
          <w:rtl/>
        </w:rPr>
        <w:t>درگاه</w:t>
      </w:r>
      <w:r w:rsidRPr="00B5080E">
        <w:rPr>
          <w:rFonts w:hint="cs"/>
          <w:rtl/>
        </w:rPr>
        <w:t>ي،</w:t>
      </w:r>
      <w:r w:rsidRPr="00B5080E">
        <w:rPr>
          <w:rtl/>
        </w:rPr>
        <w:t xml:space="preserve"> (</w:t>
      </w:r>
      <w:r w:rsidRPr="00B5080E">
        <w:rPr>
          <w:rFonts w:hint="eastAsia"/>
          <w:rtl/>
        </w:rPr>
        <w:t>قم،</w:t>
      </w:r>
      <w:r w:rsidRPr="00B5080E">
        <w:rPr>
          <w:rtl/>
        </w:rPr>
        <w:t xml:space="preserve"> 1413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ال</w:t>
      </w:r>
      <w:r w:rsidRPr="00B5080E">
        <w:rPr>
          <w:rFonts w:hint="eastAsia"/>
          <w:rtl/>
        </w:rPr>
        <w:t>مفيد</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eastAsia"/>
          <w:rtl/>
        </w:rPr>
        <w:t>محمد</w:t>
      </w:r>
      <w:r w:rsidRPr="00B5080E">
        <w:rPr>
          <w:rtl/>
        </w:rPr>
        <w:t xml:space="preserve"> </w:t>
      </w:r>
      <w:r w:rsidRPr="00B5080E">
        <w:rPr>
          <w:rFonts w:hint="eastAsia"/>
          <w:rtl/>
        </w:rPr>
        <w:t>بن</w:t>
      </w:r>
      <w:r w:rsidRPr="00B5080E">
        <w:rPr>
          <w:rtl/>
        </w:rPr>
        <w:t xml:space="preserve"> </w:t>
      </w:r>
      <w:r w:rsidRPr="00B5080E">
        <w:rPr>
          <w:rFonts w:hint="eastAsia"/>
          <w:rtl/>
        </w:rPr>
        <w:t>محمّد</w:t>
      </w:r>
      <w:r w:rsidRPr="00B5080E">
        <w:rPr>
          <w:rtl/>
        </w:rPr>
        <w:t>)</w:t>
      </w:r>
      <w:r w:rsidRPr="00B5080E">
        <w:rPr>
          <w:rFonts w:hint="eastAsia"/>
          <w:rtl/>
        </w:rPr>
        <w:t>،</w:t>
      </w:r>
      <w:r w:rsidRPr="00B5080E">
        <w:rPr>
          <w:rtl/>
        </w:rPr>
        <w:t xml:space="preserve"> </w:t>
      </w:r>
      <w:r w:rsidRPr="00B5080E">
        <w:rPr>
          <w:rFonts w:hint="eastAsia"/>
          <w:rtl/>
        </w:rPr>
        <w:t>المقنعة،</w:t>
      </w:r>
      <w:r w:rsidRPr="00B5080E">
        <w:rPr>
          <w:rtl/>
        </w:rPr>
        <w:t xml:space="preserve"> </w:t>
      </w:r>
      <w:r w:rsidRPr="00B5080E">
        <w:rPr>
          <w:rFonts w:hint="eastAsia"/>
          <w:rtl/>
        </w:rPr>
        <w:t>مصنفات</w:t>
      </w:r>
      <w:r w:rsidRPr="00B5080E">
        <w:rPr>
          <w:rtl/>
        </w:rPr>
        <w:t xml:space="preserve"> </w:t>
      </w:r>
      <w:r w:rsidRPr="00B5080E">
        <w:rPr>
          <w:rFonts w:hint="eastAsia"/>
          <w:rtl/>
        </w:rPr>
        <w:t>الشيخ</w:t>
      </w:r>
      <w:r w:rsidRPr="00B5080E">
        <w:rPr>
          <w:rtl/>
        </w:rPr>
        <w:t xml:space="preserve"> </w:t>
      </w:r>
      <w:r w:rsidRPr="00B5080E">
        <w:rPr>
          <w:rFonts w:hint="eastAsia"/>
          <w:rtl/>
        </w:rPr>
        <w:t>المفيد،</w:t>
      </w:r>
      <w:r w:rsidRPr="00B5080E">
        <w:rPr>
          <w:rtl/>
        </w:rPr>
        <w:t xml:space="preserve"> </w:t>
      </w:r>
      <w:r w:rsidRPr="00B5080E">
        <w:rPr>
          <w:rFonts w:hint="eastAsia"/>
          <w:rtl/>
        </w:rPr>
        <w:t>مجلد</w:t>
      </w:r>
      <w:r w:rsidRPr="00B5080E">
        <w:rPr>
          <w:rtl/>
        </w:rPr>
        <w:t xml:space="preserve"> 14</w:t>
      </w:r>
      <w:r w:rsidRPr="00B5080E">
        <w:rPr>
          <w:rFonts w:hint="eastAsia"/>
          <w:rtl/>
        </w:rPr>
        <w:t>،</w:t>
      </w:r>
      <w:r w:rsidRPr="00B5080E">
        <w:rPr>
          <w:rtl/>
        </w:rPr>
        <w:t xml:space="preserve"> </w:t>
      </w:r>
      <w:r w:rsidRPr="00B5080E">
        <w:rPr>
          <w:rFonts w:hint="eastAsia"/>
          <w:rtl/>
        </w:rPr>
        <w:t>تصحيح</w:t>
      </w:r>
      <w:r w:rsidRPr="00B5080E">
        <w:rPr>
          <w:rtl/>
        </w:rPr>
        <w:t xml:space="preserve"> </w:t>
      </w:r>
      <w:r w:rsidRPr="00B5080E">
        <w:rPr>
          <w:rFonts w:hint="eastAsia"/>
          <w:rtl/>
        </w:rPr>
        <w:t>مؤس</w:t>
      </w:r>
      <w:r w:rsidRPr="00B5080E">
        <w:rPr>
          <w:rFonts w:hint="cs"/>
          <w:rtl/>
        </w:rPr>
        <w:t>ّ</w:t>
      </w:r>
      <w:r w:rsidRPr="00B5080E">
        <w:rPr>
          <w:rFonts w:hint="eastAsia"/>
          <w:rtl/>
        </w:rPr>
        <w:t>سة</w:t>
      </w:r>
      <w:r w:rsidRPr="00B5080E">
        <w:rPr>
          <w:rtl/>
        </w:rPr>
        <w:t xml:space="preserve"> </w:t>
      </w:r>
      <w:r w:rsidRPr="00B5080E">
        <w:rPr>
          <w:rFonts w:hint="eastAsia"/>
          <w:rtl/>
        </w:rPr>
        <w:t>النشر</w:t>
      </w:r>
      <w:r w:rsidRPr="00B5080E">
        <w:rPr>
          <w:rtl/>
        </w:rPr>
        <w:t xml:space="preserve"> </w:t>
      </w:r>
      <w:r w:rsidRPr="00B5080E">
        <w:rPr>
          <w:rFonts w:hint="eastAsia"/>
          <w:rtl/>
        </w:rPr>
        <w:t>ال</w:t>
      </w:r>
      <w:r w:rsidRPr="00B5080E">
        <w:rPr>
          <w:rFonts w:hint="cs"/>
          <w:rtl/>
        </w:rPr>
        <w:t>إ</w:t>
      </w:r>
      <w:r w:rsidRPr="00B5080E">
        <w:rPr>
          <w:rFonts w:hint="eastAsia"/>
          <w:rtl/>
        </w:rPr>
        <w:t>سلامي،</w:t>
      </w:r>
      <w:r w:rsidRPr="00B5080E">
        <w:rPr>
          <w:rtl/>
        </w:rPr>
        <w:t xml:space="preserve"> (</w:t>
      </w:r>
      <w:r w:rsidRPr="00B5080E">
        <w:rPr>
          <w:rFonts w:hint="eastAsia"/>
          <w:rtl/>
        </w:rPr>
        <w:t>قم،</w:t>
      </w:r>
      <w:r w:rsidRPr="00B5080E">
        <w:rPr>
          <w:rtl/>
        </w:rPr>
        <w:t xml:space="preserve"> 1413</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رضا</w:t>
      </w:r>
      <w:r w:rsidRPr="00B5080E">
        <w:rPr>
          <w:rtl/>
        </w:rPr>
        <w:t xml:space="preserve"> </w:t>
      </w:r>
      <w:r w:rsidRPr="00B5080E">
        <w:rPr>
          <w:rFonts w:hint="eastAsia"/>
          <w:rtl/>
        </w:rPr>
        <w:t>المظف</w:t>
      </w:r>
      <w:r w:rsidRPr="00B5080E">
        <w:rPr>
          <w:rFonts w:hint="cs"/>
          <w:rtl/>
        </w:rPr>
        <w:t>َّ</w:t>
      </w:r>
      <w:r w:rsidRPr="00B5080E">
        <w:rPr>
          <w:rFonts w:hint="eastAsia"/>
          <w:rtl/>
        </w:rPr>
        <w:t>ر،</w:t>
      </w:r>
      <w:r w:rsidRPr="00B5080E">
        <w:rPr>
          <w:rtl/>
        </w:rPr>
        <w:t xml:space="preserve"> </w:t>
      </w:r>
      <w:r w:rsidRPr="00B5080E">
        <w:rPr>
          <w:rFonts w:hint="eastAsia"/>
          <w:rtl/>
        </w:rPr>
        <w:t>عقائد</w:t>
      </w:r>
      <w:r w:rsidRPr="00B5080E">
        <w:rPr>
          <w:rtl/>
        </w:rPr>
        <w:t xml:space="preserve"> </w:t>
      </w:r>
      <w:r w:rsidRPr="00B5080E">
        <w:rPr>
          <w:rFonts w:hint="eastAsia"/>
          <w:rtl/>
        </w:rPr>
        <w:t>ال</w:t>
      </w:r>
      <w:r w:rsidRPr="00B5080E">
        <w:rPr>
          <w:rFonts w:hint="cs"/>
          <w:rtl/>
        </w:rPr>
        <w:t>إ</w:t>
      </w:r>
      <w:r w:rsidRPr="00B5080E">
        <w:rPr>
          <w:rFonts w:hint="eastAsia"/>
          <w:rtl/>
        </w:rPr>
        <w:t>مامية،</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ناصر</w:t>
      </w:r>
      <w:r w:rsidRPr="00B5080E">
        <w:rPr>
          <w:rtl/>
        </w:rPr>
        <w:t xml:space="preserve"> </w:t>
      </w:r>
      <w:r w:rsidRPr="00B5080E">
        <w:rPr>
          <w:rFonts w:hint="eastAsia"/>
          <w:rtl/>
        </w:rPr>
        <w:t>مكارم</w:t>
      </w:r>
      <w:r w:rsidRPr="00B5080E">
        <w:rPr>
          <w:rtl/>
        </w:rPr>
        <w:t xml:space="preserve"> </w:t>
      </w:r>
      <w:r w:rsidRPr="00B5080E">
        <w:rPr>
          <w:rFonts w:hint="eastAsia"/>
          <w:rtl/>
        </w:rPr>
        <w:t>الشيرازي،</w:t>
      </w:r>
      <w:r w:rsidRPr="00B5080E">
        <w:rPr>
          <w:rtl/>
        </w:rPr>
        <w:t xml:space="preserve"> </w:t>
      </w:r>
      <w:r w:rsidRPr="00B5080E">
        <w:rPr>
          <w:rFonts w:hint="cs"/>
          <w:rtl/>
        </w:rPr>
        <w:t>أ</w:t>
      </w:r>
      <w:r w:rsidRPr="00B5080E">
        <w:rPr>
          <w:rFonts w:hint="eastAsia"/>
          <w:rtl/>
        </w:rPr>
        <w:t>نوار</w:t>
      </w:r>
      <w:r w:rsidRPr="00B5080E">
        <w:rPr>
          <w:rtl/>
        </w:rPr>
        <w:t xml:space="preserve"> </w:t>
      </w:r>
      <w:r w:rsidRPr="00B5080E">
        <w:rPr>
          <w:rFonts w:hint="eastAsia"/>
          <w:rtl/>
        </w:rPr>
        <w:t>الفقاهة،</w:t>
      </w:r>
      <w:r w:rsidRPr="00B5080E">
        <w:rPr>
          <w:rtl/>
        </w:rPr>
        <w:t xml:space="preserve"> </w:t>
      </w:r>
      <w:r w:rsidRPr="00B5080E">
        <w:rPr>
          <w:rFonts w:hint="eastAsia"/>
          <w:rtl/>
        </w:rPr>
        <w:t>كتاب</w:t>
      </w:r>
      <w:r w:rsidRPr="00B5080E">
        <w:rPr>
          <w:rtl/>
        </w:rPr>
        <w:t xml:space="preserve"> </w:t>
      </w:r>
      <w:r w:rsidRPr="00B5080E">
        <w:rPr>
          <w:rFonts w:hint="eastAsia"/>
          <w:rtl/>
        </w:rPr>
        <w:t>البيع،</w:t>
      </w:r>
      <w:r w:rsidRPr="00B5080E">
        <w:rPr>
          <w:rtl/>
        </w:rPr>
        <w:t xml:space="preserve"> (</w:t>
      </w:r>
      <w:r w:rsidRPr="00B5080E">
        <w:rPr>
          <w:rFonts w:hint="eastAsia"/>
          <w:rtl/>
        </w:rPr>
        <w:t>قم،</w:t>
      </w:r>
      <w:r w:rsidRPr="00B5080E">
        <w:rPr>
          <w:rtl/>
        </w:rPr>
        <w:t xml:space="preserve"> 1411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حسن</w:t>
      </w:r>
      <w:r w:rsidRPr="00B5080E">
        <w:rPr>
          <w:rtl/>
        </w:rPr>
        <w:t xml:space="preserve"> </w:t>
      </w:r>
      <w:r w:rsidRPr="00B5080E">
        <w:rPr>
          <w:rFonts w:hint="eastAsia"/>
          <w:rtl/>
        </w:rPr>
        <w:t>محمّد</w:t>
      </w:r>
      <w:r w:rsidRPr="00B5080E">
        <w:rPr>
          <w:rtl/>
        </w:rPr>
        <w:t xml:space="preserve"> </w:t>
      </w:r>
      <w:r w:rsidRPr="00B5080E">
        <w:rPr>
          <w:rFonts w:hint="eastAsia"/>
          <w:rtl/>
        </w:rPr>
        <w:t>مكي</w:t>
      </w:r>
      <w:r w:rsidRPr="00B5080E">
        <w:rPr>
          <w:rtl/>
        </w:rPr>
        <w:t xml:space="preserve"> </w:t>
      </w:r>
      <w:r w:rsidRPr="00B5080E">
        <w:rPr>
          <w:rFonts w:hint="eastAsia"/>
          <w:rtl/>
        </w:rPr>
        <w:t>العاملي،</w:t>
      </w:r>
      <w:r w:rsidRPr="00B5080E">
        <w:rPr>
          <w:rtl/>
        </w:rPr>
        <w:t xml:space="preserve"> </w:t>
      </w:r>
      <w:r w:rsidRPr="00B5080E">
        <w:rPr>
          <w:rFonts w:hint="eastAsia"/>
          <w:rtl/>
        </w:rPr>
        <w:t>ال</w:t>
      </w:r>
      <w:r w:rsidRPr="00B5080E">
        <w:rPr>
          <w:rFonts w:hint="cs"/>
          <w:rtl/>
        </w:rPr>
        <w:t>إ</w:t>
      </w:r>
      <w:r w:rsidRPr="00B5080E">
        <w:rPr>
          <w:rFonts w:hint="eastAsia"/>
          <w:rtl/>
        </w:rPr>
        <w:t>لهيات</w:t>
      </w:r>
      <w:r w:rsidRPr="00B5080E">
        <w:rPr>
          <w:rtl/>
        </w:rPr>
        <w:t xml:space="preserve"> </w:t>
      </w:r>
      <w:r w:rsidRPr="00B5080E">
        <w:rPr>
          <w:rFonts w:hint="eastAsia"/>
          <w:rtl/>
        </w:rPr>
        <w:t>على</w:t>
      </w:r>
      <w:r w:rsidRPr="00B5080E">
        <w:rPr>
          <w:rtl/>
        </w:rPr>
        <w:t xml:space="preserve"> </w:t>
      </w:r>
      <w:r w:rsidRPr="00B5080E">
        <w:rPr>
          <w:rFonts w:hint="eastAsia"/>
          <w:rtl/>
        </w:rPr>
        <w:t>هدى</w:t>
      </w:r>
      <w:r w:rsidRPr="00B5080E">
        <w:rPr>
          <w:rtl/>
        </w:rPr>
        <w:t xml:space="preserve"> </w:t>
      </w:r>
      <w:r w:rsidRPr="00B5080E">
        <w:rPr>
          <w:rFonts w:hint="eastAsia"/>
          <w:rtl/>
        </w:rPr>
        <w:t>الكتاب</w:t>
      </w:r>
      <w:r w:rsidRPr="00B5080E">
        <w:rPr>
          <w:rtl/>
        </w:rPr>
        <w:t xml:space="preserve"> </w:t>
      </w:r>
      <w:r w:rsidRPr="00B5080E">
        <w:rPr>
          <w:rFonts w:hint="eastAsia"/>
          <w:rtl/>
        </w:rPr>
        <w:t>والسنة</w:t>
      </w:r>
      <w:r w:rsidRPr="00B5080E">
        <w:rPr>
          <w:rtl/>
        </w:rPr>
        <w:t xml:space="preserve"> </w:t>
      </w:r>
      <w:r w:rsidRPr="00B5080E">
        <w:rPr>
          <w:rFonts w:hint="eastAsia"/>
          <w:rtl/>
        </w:rPr>
        <w:t>والعقل،</w:t>
      </w:r>
      <w:r w:rsidRPr="00B5080E">
        <w:rPr>
          <w:rtl/>
        </w:rPr>
        <w:t xml:space="preserve">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الشيخ</w:t>
      </w:r>
      <w:r w:rsidRPr="00B5080E">
        <w:rPr>
          <w:rtl/>
        </w:rPr>
        <w:t xml:space="preserve"> </w:t>
      </w:r>
      <w:r w:rsidRPr="00B5080E">
        <w:rPr>
          <w:rFonts w:hint="eastAsia"/>
          <w:rtl/>
        </w:rPr>
        <w:t>جعفر</w:t>
      </w:r>
      <w:r w:rsidRPr="00B5080E">
        <w:rPr>
          <w:rtl/>
        </w:rPr>
        <w:t xml:space="preserve"> </w:t>
      </w:r>
      <w:r w:rsidRPr="00B5080E">
        <w:rPr>
          <w:rFonts w:hint="eastAsia"/>
          <w:rtl/>
        </w:rPr>
        <w:t>السبحاني،</w:t>
      </w:r>
      <w:r w:rsidRPr="00B5080E">
        <w:rPr>
          <w:rtl/>
        </w:rPr>
        <w:t xml:space="preserve"> 2 </w:t>
      </w:r>
      <w:r w:rsidRPr="00B5080E">
        <w:rPr>
          <w:rFonts w:hint="eastAsia"/>
          <w:rtl/>
        </w:rPr>
        <w:t>مجلد،</w:t>
      </w:r>
      <w:r w:rsidRPr="00B5080E">
        <w:rPr>
          <w:rtl/>
        </w:rPr>
        <w:t xml:space="preserve"> (</w:t>
      </w:r>
      <w:r w:rsidRPr="00B5080E">
        <w:rPr>
          <w:rFonts w:hint="eastAsia"/>
          <w:rtl/>
        </w:rPr>
        <w:t>قم،</w:t>
      </w:r>
      <w:r w:rsidRPr="00B5080E">
        <w:rPr>
          <w:rtl/>
        </w:rPr>
        <w:t xml:space="preserve"> 1409</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cs"/>
          <w:rtl/>
        </w:rPr>
        <w:t>ال</w:t>
      </w:r>
      <w:r w:rsidRPr="00B5080E">
        <w:rPr>
          <w:rFonts w:hint="eastAsia"/>
          <w:rtl/>
        </w:rPr>
        <w:t>م</w:t>
      </w:r>
      <w:r w:rsidRPr="00B5080E">
        <w:rPr>
          <w:rFonts w:hint="cs"/>
          <w:rtl/>
        </w:rPr>
        <w:t>ا</w:t>
      </w:r>
      <w:r w:rsidRPr="00B5080E">
        <w:rPr>
          <w:rFonts w:hint="eastAsia"/>
          <w:rtl/>
        </w:rPr>
        <w:t>مقان</w:t>
      </w:r>
      <w:r w:rsidRPr="00B5080E">
        <w:rPr>
          <w:rFonts w:hint="cs"/>
          <w:rtl/>
        </w:rPr>
        <w:t>ي</w:t>
      </w:r>
      <w:r w:rsidRPr="00B5080E">
        <w:rPr>
          <w:rFonts w:hint="eastAsia"/>
          <w:rtl/>
        </w:rPr>
        <w:t>،</w:t>
      </w:r>
      <w:r w:rsidRPr="00B5080E">
        <w:rPr>
          <w:rtl/>
        </w:rPr>
        <w:t xml:space="preserve"> </w:t>
      </w:r>
      <w:r w:rsidRPr="00B5080E">
        <w:rPr>
          <w:rFonts w:hint="eastAsia"/>
          <w:rtl/>
        </w:rPr>
        <w:t>تنقيح</w:t>
      </w:r>
      <w:r w:rsidRPr="00B5080E">
        <w:rPr>
          <w:rFonts w:hint="cs"/>
          <w:rtl/>
        </w:rPr>
        <w:t xml:space="preserve"> </w:t>
      </w:r>
      <w:r w:rsidRPr="00B5080E">
        <w:rPr>
          <w:rtl/>
        </w:rPr>
        <w:t>‏</w:t>
      </w:r>
      <w:r w:rsidRPr="00B5080E">
        <w:rPr>
          <w:rFonts w:hint="eastAsia"/>
          <w:rtl/>
        </w:rPr>
        <w:t>المقال</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معرفة</w:t>
      </w:r>
      <w:r w:rsidRPr="00B5080E">
        <w:rPr>
          <w:rtl/>
        </w:rPr>
        <w:t xml:space="preserve"> </w:t>
      </w:r>
      <w:r w:rsidRPr="00B5080E">
        <w:rPr>
          <w:rFonts w:hint="eastAsia"/>
          <w:rtl/>
        </w:rPr>
        <w:t>علم</w:t>
      </w:r>
      <w:r w:rsidRPr="00B5080E">
        <w:rPr>
          <w:rFonts w:hint="cs"/>
          <w:rtl/>
        </w:rPr>
        <w:t xml:space="preserve"> </w:t>
      </w:r>
      <w:r w:rsidRPr="00B5080E">
        <w:rPr>
          <w:rtl/>
        </w:rPr>
        <w:t>‏</w:t>
      </w:r>
      <w:r w:rsidRPr="00B5080E">
        <w:rPr>
          <w:rFonts w:hint="eastAsia"/>
          <w:rtl/>
        </w:rPr>
        <w:t>الرجال،</w:t>
      </w:r>
      <w:r w:rsidRPr="00B5080E">
        <w:rPr>
          <w:rtl/>
        </w:rPr>
        <w:t xml:space="preserve"> 3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cs"/>
          <w:rtl/>
        </w:rPr>
        <w:t>ال</w:t>
      </w:r>
      <w:r w:rsidRPr="00B5080E">
        <w:rPr>
          <w:rFonts w:hint="eastAsia"/>
          <w:rtl/>
        </w:rPr>
        <w:t>م</w:t>
      </w:r>
      <w:r w:rsidRPr="00B5080E">
        <w:rPr>
          <w:rFonts w:hint="cs"/>
          <w:rtl/>
        </w:rPr>
        <w:t>ا</w:t>
      </w:r>
      <w:r w:rsidRPr="00B5080E">
        <w:rPr>
          <w:rFonts w:hint="eastAsia"/>
          <w:rtl/>
        </w:rPr>
        <w:t>مقان</w:t>
      </w:r>
      <w:r w:rsidRPr="00B5080E">
        <w:rPr>
          <w:rFonts w:hint="cs"/>
          <w:rtl/>
        </w:rPr>
        <w:t>ي</w:t>
      </w:r>
      <w:r w:rsidRPr="00B5080E">
        <w:rPr>
          <w:rFonts w:hint="eastAsia"/>
          <w:rtl/>
        </w:rPr>
        <w:t>،</w:t>
      </w:r>
      <w:r w:rsidRPr="00B5080E">
        <w:rPr>
          <w:rtl/>
        </w:rPr>
        <w:t xml:space="preserve"> </w:t>
      </w:r>
      <w:r w:rsidRPr="00B5080E">
        <w:rPr>
          <w:rFonts w:hint="eastAsia"/>
          <w:rtl/>
        </w:rPr>
        <w:t>رسالة</w:t>
      </w:r>
      <w:r w:rsidRPr="00B5080E">
        <w:rPr>
          <w:rtl/>
        </w:rPr>
        <w:t xml:space="preserve"> </w:t>
      </w:r>
      <w:r w:rsidRPr="00B5080E">
        <w:rPr>
          <w:rFonts w:hint="eastAsia"/>
          <w:rtl/>
        </w:rPr>
        <w:t>هداية</w:t>
      </w:r>
      <w:r w:rsidRPr="00B5080E">
        <w:rPr>
          <w:rtl/>
        </w:rPr>
        <w:t xml:space="preserve"> </w:t>
      </w:r>
      <w:r w:rsidRPr="00B5080E">
        <w:rPr>
          <w:rFonts w:hint="eastAsia"/>
          <w:rtl/>
        </w:rPr>
        <w:t>ا</w:t>
      </w:r>
      <w:r w:rsidRPr="00B5080E">
        <w:rPr>
          <w:rFonts w:hint="cs"/>
          <w:rtl/>
        </w:rPr>
        <w:t>لأ</w:t>
      </w:r>
      <w:r w:rsidRPr="00B5080E">
        <w:rPr>
          <w:rFonts w:hint="eastAsia"/>
          <w:rtl/>
        </w:rPr>
        <w:t>نام</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حكم</w:t>
      </w:r>
      <w:r w:rsidRPr="00B5080E">
        <w:rPr>
          <w:rtl/>
        </w:rPr>
        <w:t xml:space="preserve"> </w:t>
      </w:r>
      <w:r w:rsidRPr="00B5080E">
        <w:rPr>
          <w:rFonts w:hint="cs"/>
          <w:rtl/>
        </w:rPr>
        <w:t>أ</w:t>
      </w:r>
      <w:r w:rsidRPr="00B5080E">
        <w:rPr>
          <w:rFonts w:hint="eastAsia"/>
          <w:rtl/>
        </w:rPr>
        <w:t>موال</w:t>
      </w:r>
      <w:r w:rsidRPr="00B5080E">
        <w:rPr>
          <w:rtl/>
        </w:rPr>
        <w:t xml:space="preserve"> </w:t>
      </w:r>
      <w:r w:rsidRPr="00B5080E">
        <w:rPr>
          <w:rFonts w:hint="eastAsia"/>
          <w:rtl/>
        </w:rPr>
        <w:t>ال</w:t>
      </w:r>
      <w:r w:rsidRPr="00B5080E">
        <w:rPr>
          <w:rFonts w:hint="cs"/>
          <w:rtl/>
        </w:rPr>
        <w:t>إ</w:t>
      </w:r>
      <w:r w:rsidRPr="00B5080E">
        <w:rPr>
          <w:rFonts w:hint="eastAsia"/>
          <w:rtl/>
        </w:rPr>
        <w:t>مام،</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حسن</w:t>
      </w:r>
      <w:r w:rsidRPr="00B5080E">
        <w:rPr>
          <w:rtl/>
        </w:rPr>
        <w:t xml:space="preserve"> </w:t>
      </w:r>
      <w:r w:rsidRPr="00B5080E">
        <w:rPr>
          <w:rFonts w:hint="cs"/>
          <w:rtl/>
        </w:rPr>
        <w:t>ال</w:t>
      </w:r>
      <w:r w:rsidRPr="00B5080E">
        <w:rPr>
          <w:rFonts w:hint="eastAsia"/>
          <w:rtl/>
        </w:rPr>
        <w:t>م</w:t>
      </w:r>
      <w:r w:rsidRPr="00B5080E">
        <w:rPr>
          <w:rFonts w:hint="cs"/>
          <w:rtl/>
        </w:rPr>
        <w:t>ا</w:t>
      </w:r>
      <w:r w:rsidRPr="00B5080E">
        <w:rPr>
          <w:rFonts w:hint="eastAsia"/>
          <w:rtl/>
        </w:rPr>
        <w:t>مقان</w:t>
      </w:r>
      <w:r w:rsidRPr="00B5080E">
        <w:rPr>
          <w:rFonts w:hint="cs"/>
          <w:rtl/>
        </w:rPr>
        <w:t>ي</w:t>
      </w:r>
      <w:r w:rsidRPr="00B5080E">
        <w:rPr>
          <w:rFonts w:hint="eastAsia"/>
          <w:rtl/>
        </w:rPr>
        <w:t>،</w:t>
      </w:r>
      <w:r w:rsidRPr="00B5080E">
        <w:rPr>
          <w:rtl/>
        </w:rPr>
        <w:t xml:space="preserve"> </w:t>
      </w:r>
      <w:r w:rsidRPr="00B5080E">
        <w:rPr>
          <w:rFonts w:hint="eastAsia"/>
          <w:rtl/>
        </w:rPr>
        <w:t>غاية</w:t>
      </w:r>
      <w:r w:rsidRPr="00B5080E">
        <w:rPr>
          <w:rtl/>
        </w:rPr>
        <w:t xml:space="preserve"> </w:t>
      </w:r>
      <w:r w:rsidRPr="00B5080E">
        <w:rPr>
          <w:rFonts w:hint="eastAsia"/>
          <w:rtl/>
        </w:rPr>
        <w:t>الآمال،</w:t>
      </w:r>
      <w:r w:rsidRPr="00B5080E">
        <w:rPr>
          <w:rtl/>
        </w:rPr>
        <w:t xml:space="preserve"> 2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حسين</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منتظر</w:t>
      </w:r>
      <w:r w:rsidRPr="00B5080E">
        <w:rPr>
          <w:rFonts w:hint="cs"/>
          <w:rtl/>
        </w:rPr>
        <w:t>ي</w:t>
      </w:r>
      <w:r w:rsidRPr="00B5080E">
        <w:rPr>
          <w:rtl/>
        </w:rPr>
        <w:t xml:space="preserve"> </w:t>
      </w:r>
      <w:r w:rsidRPr="00B5080E">
        <w:rPr>
          <w:rFonts w:hint="eastAsia"/>
          <w:rtl/>
        </w:rPr>
        <w:t>النجف</w:t>
      </w:r>
      <w:r w:rsidRPr="00B5080E">
        <w:rPr>
          <w:rtl/>
        </w:rPr>
        <w:t>‏</w:t>
      </w:r>
      <w:r w:rsidRPr="00B5080E">
        <w:rPr>
          <w:rFonts w:hint="eastAsia"/>
          <w:rtl/>
        </w:rPr>
        <w:t>آباد</w:t>
      </w:r>
      <w:r w:rsidRPr="00B5080E">
        <w:rPr>
          <w:rFonts w:hint="cs"/>
          <w:rtl/>
        </w:rPr>
        <w:t>ي</w:t>
      </w:r>
      <w:r w:rsidRPr="00B5080E">
        <w:rPr>
          <w:rFonts w:hint="eastAsia"/>
          <w:rtl/>
        </w:rPr>
        <w:t>،</w:t>
      </w:r>
      <w:r w:rsidRPr="00B5080E">
        <w:rPr>
          <w:rtl/>
        </w:rPr>
        <w:t xml:space="preserve"> </w:t>
      </w:r>
      <w:r w:rsidRPr="00B5080E">
        <w:rPr>
          <w:rFonts w:hint="eastAsia"/>
          <w:rtl/>
        </w:rPr>
        <w:t>البدر</w:t>
      </w:r>
      <w:r w:rsidRPr="00B5080E">
        <w:rPr>
          <w:rtl/>
        </w:rPr>
        <w:t xml:space="preserve"> </w:t>
      </w:r>
      <w:r w:rsidRPr="00B5080E">
        <w:rPr>
          <w:rFonts w:hint="eastAsia"/>
          <w:rtl/>
        </w:rPr>
        <w:t>الزاهر</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صلاة</w:t>
      </w:r>
      <w:r w:rsidRPr="00B5080E">
        <w:rPr>
          <w:rFonts w:hint="cs"/>
          <w:rtl/>
        </w:rPr>
        <w:t xml:space="preserve"> </w:t>
      </w:r>
      <w:r w:rsidRPr="00B5080E">
        <w:rPr>
          <w:rFonts w:hint="eastAsia"/>
          <w:rtl/>
        </w:rPr>
        <w:t>الجمعة</w:t>
      </w:r>
      <w:r w:rsidRPr="00B5080E">
        <w:rPr>
          <w:rtl/>
        </w:rPr>
        <w:t xml:space="preserve"> </w:t>
      </w:r>
      <w:r w:rsidRPr="00B5080E">
        <w:rPr>
          <w:rFonts w:hint="eastAsia"/>
          <w:rtl/>
        </w:rPr>
        <w:t>والمسافر،</w:t>
      </w:r>
      <w:r w:rsidRPr="00B5080E">
        <w:rPr>
          <w:rtl/>
        </w:rPr>
        <w:t xml:space="preserve">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السيد</w:t>
      </w:r>
      <w:r w:rsidRPr="00B5080E">
        <w:rPr>
          <w:rFonts w:hint="cs"/>
          <w:rtl/>
        </w:rPr>
        <w:t xml:space="preserve"> </w:t>
      </w:r>
      <w:r w:rsidRPr="00B5080E">
        <w:rPr>
          <w:rFonts w:hint="eastAsia"/>
          <w:rtl/>
        </w:rPr>
        <w:t>محمد</w:t>
      </w:r>
      <w:r w:rsidRPr="00B5080E">
        <w:rPr>
          <w:rFonts w:hint="cs"/>
          <w:rtl/>
        </w:rPr>
        <w:t xml:space="preserve"> </w:t>
      </w:r>
      <w:r w:rsidRPr="00B5080E">
        <w:rPr>
          <w:rFonts w:hint="eastAsia"/>
          <w:rtl/>
        </w:rPr>
        <w:t>حسين</w:t>
      </w:r>
      <w:r w:rsidRPr="00B5080E">
        <w:rPr>
          <w:rtl/>
        </w:rPr>
        <w:t xml:space="preserve"> </w:t>
      </w:r>
      <w:r w:rsidRPr="00B5080E">
        <w:rPr>
          <w:rFonts w:hint="eastAsia"/>
          <w:rtl/>
        </w:rPr>
        <w:t>البروجردي،</w:t>
      </w:r>
      <w:r w:rsidRPr="00B5080E">
        <w:rPr>
          <w:rtl/>
        </w:rPr>
        <w:t xml:space="preserve"> </w:t>
      </w:r>
      <w:r w:rsidRPr="00B5080E">
        <w:rPr>
          <w:rFonts w:hint="eastAsia"/>
          <w:rtl/>
        </w:rPr>
        <w:t>الطبعة</w:t>
      </w:r>
      <w:r w:rsidRPr="00B5080E">
        <w:rPr>
          <w:rtl/>
        </w:rPr>
        <w:t xml:space="preserve"> </w:t>
      </w:r>
      <w:r w:rsidRPr="00B5080E">
        <w:rPr>
          <w:rFonts w:hint="eastAsia"/>
          <w:rtl/>
        </w:rPr>
        <w:t>الثالثة،</w:t>
      </w:r>
      <w:r w:rsidRPr="00B5080E">
        <w:rPr>
          <w:rtl/>
        </w:rPr>
        <w:t xml:space="preserve"> (</w:t>
      </w:r>
      <w:r w:rsidRPr="00B5080E">
        <w:rPr>
          <w:rFonts w:hint="eastAsia"/>
          <w:rtl/>
        </w:rPr>
        <w:t>قم،</w:t>
      </w:r>
      <w:r w:rsidRPr="00B5080E">
        <w:rPr>
          <w:rtl/>
        </w:rPr>
        <w:t xml:space="preserve"> 1374</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حسين</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منتظر</w:t>
      </w:r>
      <w:r w:rsidRPr="00B5080E">
        <w:rPr>
          <w:rFonts w:hint="cs"/>
          <w:rtl/>
        </w:rPr>
        <w:t>ي</w:t>
      </w:r>
      <w:r w:rsidRPr="00B5080E">
        <w:rPr>
          <w:rtl/>
        </w:rPr>
        <w:t xml:space="preserve"> </w:t>
      </w:r>
      <w:r w:rsidRPr="00B5080E">
        <w:rPr>
          <w:rFonts w:hint="eastAsia"/>
          <w:rtl/>
        </w:rPr>
        <w:t>النجف</w:t>
      </w:r>
      <w:r w:rsidRPr="00B5080E">
        <w:rPr>
          <w:rtl/>
        </w:rPr>
        <w:t>‏</w:t>
      </w:r>
      <w:r w:rsidRPr="00B5080E">
        <w:rPr>
          <w:rFonts w:hint="eastAsia"/>
          <w:rtl/>
        </w:rPr>
        <w:t>آباد</w:t>
      </w:r>
      <w:r w:rsidRPr="00B5080E">
        <w:rPr>
          <w:rFonts w:hint="cs"/>
          <w:rtl/>
        </w:rPr>
        <w:t>ي</w:t>
      </w:r>
      <w:r w:rsidRPr="00B5080E">
        <w:rPr>
          <w:rFonts w:hint="eastAsia"/>
          <w:rtl/>
        </w:rPr>
        <w:t>،</w:t>
      </w:r>
      <w:r w:rsidRPr="00B5080E">
        <w:rPr>
          <w:rtl/>
        </w:rPr>
        <w:t xml:space="preserve"> </w:t>
      </w:r>
      <w:r w:rsidRPr="00B5080E">
        <w:rPr>
          <w:rFonts w:hint="eastAsia"/>
          <w:rtl/>
        </w:rPr>
        <w:t>دراسات</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ولاية</w:t>
      </w:r>
      <w:r w:rsidRPr="00B5080E">
        <w:rPr>
          <w:rtl/>
        </w:rPr>
        <w:t xml:space="preserve"> </w:t>
      </w:r>
      <w:r w:rsidRPr="00B5080E">
        <w:rPr>
          <w:rFonts w:hint="eastAsia"/>
          <w:rtl/>
        </w:rPr>
        <w:t>الفقيه</w:t>
      </w:r>
      <w:r w:rsidRPr="00B5080E">
        <w:rPr>
          <w:rtl/>
        </w:rPr>
        <w:t xml:space="preserve"> </w:t>
      </w:r>
      <w:r w:rsidRPr="00B5080E">
        <w:rPr>
          <w:rFonts w:hint="eastAsia"/>
          <w:rtl/>
        </w:rPr>
        <w:t>وفقه</w:t>
      </w:r>
      <w:r w:rsidRPr="00B5080E">
        <w:rPr>
          <w:rFonts w:hint="cs"/>
          <w:rtl/>
        </w:rPr>
        <w:t xml:space="preserve"> </w:t>
      </w:r>
      <w:r w:rsidRPr="00B5080E">
        <w:rPr>
          <w:rtl/>
        </w:rPr>
        <w:t>‏</w:t>
      </w:r>
      <w:r w:rsidRPr="00B5080E">
        <w:rPr>
          <w:rFonts w:hint="eastAsia"/>
          <w:rtl/>
        </w:rPr>
        <w:t>الدولة</w:t>
      </w:r>
      <w:r w:rsidRPr="00B5080E">
        <w:rPr>
          <w:rtl/>
        </w:rPr>
        <w:t xml:space="preserve"> </w:t>
      </w:r>
      <w:r w:rsidRPr="00B5080E">
        <w:rPr>
          <w:rFonts w:hint="eastAsia"/>
          <w:rtl/>
        </w:rPr>
        <w:t>ال</w:t>
      </w:r>
      <w:r w:rsidRPr="00B5080E">
        <w:rPr>
          <w:rFonts w:hint="cs"/>
          <w:rtl/>
        </w:rPr>
        <w:t>إ</w:t>
      </w:r>
      <w:r w:rsidRPr="00B5080E">
        <w:rPr>
          <w:rFonts w:hint="eastAsia"/>
          <w:rtl/>
        </w:rPr>
        <w:t>سلامية،</w:t>
      </w:r>
      <w:r w:rsidRPr="00B5080E">
        <w:rPr>
          <w:rtl/>
        </w:rPr>
        <w:t xml:space="preserve"> 4 </w:t>
      </w:r>
      <w:r w:rsidRPr="00B5080E">
        <w:rPr>
          <w:rFonts w:hint="eastAsia"/>
          <w:rtl/>
        </w:rPr>
        <w:t>مجلد،</w:t>
      </w:r>
      <w:r w:rsidRPr="00B5080E">
        <w:rPr>
          <w:rtl/>
        </w:rPr>
        <w:t xml:space="preserve"> (</w:t>
      </w:r>
      <w:r w:rsidRPr="00B5080E">
        <w:rPr>
          <w:rFonts w:hint="eastAsia"/>
          <w:rtl/>
        </w:rPr>
        <w:t>قم،</w:t>
      </w:r>
      <w:r w:rsidRPr="00B5080E">
        <w:rPr>
          <w:rtl/>
        </w:rPr>
        <w:t xml:space="preserve"> 1408 </w:t>
      </w:r>
      <w:r w:rsidRPr="00B5080E">
        <w:rPr>
          <w:rFonts w:hint="cs"/>
          <w:rtl/>
        </w:rPr>
        <w:t>ـ</w:t>
      </w:r>
      <w:r w:rsidRPr="00B5080E">
        <w:rPr>
          <w:rtl/>
        </w:rPr>
        <w:t xml:space="preserve"> 1411</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مؤمن</w:t>
      </w:r>
      <w:r w:rsidRPr="00B5080E">
        <w:rPr>
          <w:rtl/>
        </w:rPr>
        <w:t xml:space="preserve"> </w:t>
      </w:r>
      <w:r w:rsidRPr="00B5080E">
        <w:rPr>
          <w:rFonts w:hint="eastAsia"/>
          <w:rtl/>
        </w:rPr>
        <w:t>القم</w:t>
      </w:r>
      <w:r w:rsidRPr="00B5080E">
        <w:rPr>
          <w:rFonts w:hint="cs"/>
          <w:rtl/>
        </w:rPr>
        <w:t>ّ</w:t>
      </w:r>
      <w:r w:rsidRPr="00B5080E">
        <w:rPr>
          <w:rFonts w:hint="eastAsia"/>
          <w:rtl/>
        </w:rPr>
        <w:t>ي،</w:t>
      </w:r>
      <w:r w:rsidRPr="00B5080E">
        <w:rPr>
          <w:rtl/>
        </w:rPr>
        <w:t xml:space="preserve"> </w:t>
      </w:r>
      <w:r w:rsidRPr="00B5080E">
        <w:rPr>
          <w:rFonts w:hint="eastAsia"/>
          <w:rtl/>
        </w:rPr>
        <w:t>كلمات</w:t>
      </w:r>
      <w:r w:rsidRPr="00B5080E">
        <w:rPr>
          <w:rtl/>
        </w:rPr>
        <w:t xml:space="preserve"> </w:t>
      </w:r>
      <w:r w:rsidRPr="00B5080E">
        <w:rPr>
          <w:rFonts w:hint="eastAsia"/>
          <w:rtl/>
        </w:rPr>
        <w:t>سديدة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مسائل</w:t>
      </w:r>
      <w:r w:rsidRPr="00B5080E">
        <w:rPr>
          <w:rtl/>
        </w:rPr>
        <w:t xml:space="preserve"> </w:t>
      </w:r>
      <w:r w:rsidRPr="00B5080E">
        <w:rPr>
          <w:rFonts w:hint="eastAsia"/>
          <w:rtl/>
        </w:rPr>
        <w:t>جديدة،</w:t>
      </w:r>
      <w:r w:rsidRPr="00B5080E">
        <w:rPr>
          <w:rtl/>
        </w:rPr>
        <w:t xml:space="preserve"> (</w:t>
      </w:r>
      <w:r w:rsidRPr="00B5080E">
        <w:rPr>
          <w:rFonts w:hint="eastAsia"/>
          <w:rtl/>
        </w:rPr>
        <w:t>قم،</w:t>
      </w:r>
      <w:r w:rsidRPr="00B5080E">
        <w:rPr>
          <w:rtl/>
        </w:rPr>
        <w:t xml:space="preserve"> 1415</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مؤمن</w:t>
      </w:r>
      <w:r w:rsidRPr="00B5080E">
        <w:rPr>
          <w:rtl/>
        </w:rPr>
        <w:t xml:space="preserve"> </w:t>
      </w:r>
      <w:r w:rsidRPr="00B5080E">
        <w:rPr>
          <w:rFonts w:hint="eastAsia"/>
          <w:rtl/>
        </w:rPr>
        <w:t>القم</w:t>
      </w:r>
      <w:r w:rsidRPr="00B5080E">
        <w:rPr>
          <w:rFonts w:hint="cs"/>
          <w:rtl/>
        </w:rPr>
        <w:t>ّ</w:t>
      </w:r>
      <w:r w:rsidRPr="00B5080E">
        <w:rPr>
          <w:rFonts w:hint="eastAsia"/>
          <w:rtl/>
        </w:rPr>
        <w:t>ي،</w:t>
      </w:r>
      <w:r w:rsidRPr="00B5080E">
        <w:rPr>
          <w:rtl/>
        </w:rPr>
        <w:t xml:space="preserve"> </w:t>
      </w:r>
      <w:r w:rsidRPr="00B5080E">
        <w:rPr>
          <w:rFonts w:hint="eastAsia"/>
          <w:rtl/>
        </w:rPr>
        <w:t>رسالة</w:t>
      </w:r>
      <w:r w:rsidRPr="00B5080E">
        <w:rPr>
          <w:rtl/>
        </w:rPr>
        <w:t xml:space="preserve"> </w:t>
      </w:r>
      <w:r w:rsidRPr="00B5080E">
        <w:rPr>
          <w:rFonts w:hint="eastAsia"/>
          <w:rtl/>
        </w:rPr>
        <w:t>ولاية</w:t>
      </w:r>
      <w:r w:rsidRPr="00B5080E">
        <w:rPr>
          <w:rtl/>
        </w:rPr>
        <w:t xml:space="preserve"> </w:t>
      </w:r>
      <w:r w:rsidRPr="00B5080E">
        <w:rPr>
          <w:rFonts w:hint="eastAsia"/>
          <w:rtl/>
        </w:rPr>
        <w:t>الول</w:t>
      </w:r>
      <w:r w:rsidRPr="00B5080E">
        <w:rPr>
          <w:rFonts w:hint="cs"/>
          <w:rtl/>
        </w:rPr>
        <w:t>يّ</w:t>
      </w:r>
      <w:r w:rsidRPr="00B5080E">
        <w:rPr>
          <w:rtl/>
        </w:rPr>
        <w:t xml:space="preserve"> </w:t>
      </w:r>
      <w:r w:rsidRPr="00B5080E">
        <w:rPr>
          <w:rFonts w:hint="eastAsia"/>
          <w:rtl/>
        </w:rPr>
        <w:t>المعصوم،</w:t>
      </w:r>
      <w:r w:rsidRPr="00B5080E">
        <w:rPr>
          <w:rtl/>
        </w:rPr>
        <w:t xml:space="preserve"> </w:t>
      </w:r>
      <w:r w:rsidRPr="00B5080E">
        <w:rPr>
          <w:rFonts w:hint="eastAsia"/>
          <w:rtl/>
        </w:rPr>
        <w:t>المؤتمر</w:t>
      </w:r>
      <w:r w:rsidRPr="00B5080E">
        <w:rPr>
          <w:rtl/>
        </w:rPr>
        <w:t xml:space="preserve"> </w:t>
      </w:r>
      <w:r w:rsidRPr="00B5080E">
        <w:rPr>
          <w:rFonts w:hint="eastAsia"/>
          <w:rtl/>
        </w:rPr>
        <w:t>العالمي</w:t>
      </w:r>
      <w:r w:rsidRPr="00B5080E">
        <w:rPr>
          <w:rtl/>
        </w:rPr>
        <w:t xml:space="preserve"> </w:t>
      </w:r>
      <w:r w:rsidRPr="00B5080E">
        <w:rPr>
          <w:rFonts w:hint="eastAsia"/>
          <w:rtl/>
        </w:rPr>
        <w:t>للإمام</w:t>
      </w:r>
      <w:r w:rsidRPr="00B5080E">
        <w:rPr>
          <w:rtl/>
        </w:rPr>
        <w:t xml:space="preserve"> </w:t>
      </w:r>
      <w:r w:rsidRPr="00B5080E">
        <w:rPr>
          <w:rFonts w:hint="eastAsia"/>
          <w:rtl/>
        </w:rPr>
        <w:t>الرضا</w:t>
      </w:r>
      <w:r w:rsidRPr="00B5080E">
        <w:rPr>
          <w:rFonts w:hint="cs"/>
          <w:rtl/>
        </w:rPr>
        <w:t>×</w:t>
      </w:r>
      <w:r w:rsidRPr="00B5080E">
        <w:rPr>
          <w:rFonts w:hint="eastAsia"/>
          <w:rtl/>
        </w:rPr>
        <w:t>،</w:t>
      </w:r>
      <w:r w:rsidRPr="00B5080E">
        <w:rPr>
          <w:rtl/>
        </w:rPr>
        <w:t xml:space="preserve"> (</w:t>
      </w:r>
      <w:r w:rsidRPr="00B5080E">
        <w:rPr>
          <w:rFonts w:hint="eastAsia"/>
          <w:rtl/>
        </w:rPr>
        <w:t>مشهد</w:t>
      </w:r>
      <w:r w:rsidRPr="00B5080E">
        <w:rPr>
          <w:rtl/>
        </w:rPr>
        <w:t>).</w:t>
      </w:r>
    </w:p>
    <w:p w:rsidR="00EA09EB" w:rsidRPr="00B5080E" w:rsidRDefault="00EA09EB" w:rsidP="00B5080E">
      <w:r w:rsidRPr="00B5080E">
        <w:rPr>
          <w:rFonts w:hint="cs"/>
          <w:rtl/>
        </w:rPr>
        <w:t xml:space="preserve">ـ </w:t>
      </w:r>
      <w:r w:rsidRPr="00B5080E">
        <w:rPr>
          <w:rFonts w:hint="eastAsia"/>
          <w:rtl/>
        </w:rPr>
        <w:t>مير</w:t>
      </w:r>
      <w:r w:rsidRPr="00B5080E">
        <w:rPr>
          <w:rFonts w:hint="cs"/>
          <w:rtl/>
        </w:rPr>
        <w:t xml:space="preserve"> </w:t>
      </w:r>
      <w:r w:rsidRPr="00B5080E">
        <w:rPr>
          <w:rFonts w:hint="eastAsia"/>
          <w:rtl/>
        </w:rPr>
        <w:t>حامد</w:t>
      </w:r>
      <w:r w:rsidRPr="00B5080E">
        <w:rPr>
          <w:rtl/>
        </w:rPr>
        <w:t xml:space="preserve"> </w:t>
      </w:r>
      <w:r w:rsidRPr="00B5080E">
        <w:rPr>
          <w:rFonts w:hint="eastAsia"/>
          <w:rtl/>
        </w:rPr>
        <w:t>حسين،</w:t>
      </w:r>
      <w:r w:rsidRPr="00B5080E">
        <w:rPr>
          <w:rtl/>
        </w:rPr>
        <w:t xml:space="preserve"> </w:t>
      </w:r>
      <w:r w:rsidRPr="00B5080E">
        <w:rPr>
          <w:rFonts w:hint="eastAsia"/>
          <w:rtl/>
        </w:rPr>
        <w:t>عبقات</w:t>
      </w:r>
      <w:r w:rsidRPr="00B5080E">
        <w:rPr>
          <w:rtl/>
        </w:rPr>
        <w:t xml:space="preserve"> </w:t>
      </w:r>
      <w:r w:rsidRPr="00B5080E">
        <w:rPr>
          <w:rFonts w:hint="eastAsia"/>
          <w:rtl/>
        </w:rPr>
        <w:t>ا</w:t>
      </w:r>
      <w:r w:rsidRPr="00B5080E">
        <w:rPr>
          <w:rFonts w:hint="cs"/>
          <w:rtl/>
        </w:rPr>
        <w:t>لأ</w:t>
      </w:r>
      <w:r w:rsidRPr="00B5080E">
        <w:rPr>
          <w:rFonts w:hint="eastAsia"/>
          <w:rtl/>
        </w:rPr>
        <w:t>نوار،</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محمّد</w:t>
      </w:r>
      <w:r w:rsidRPr="00B5080E">
        <w:rPr>
          <w:rFonts w:hint="cs"/>
          <w:rtl/>
        </w:rPr>
        <w:t xml:space="preserve"> </w:t>
      </w:r>
      <w:r w:rsidRPr="00B5080E">
        <w:rPr>
          <w:rFonts w:hint="eastAsia"/>
          <w:rtl/>
        </w:rPr>
        <w:t>هاد</w:t>
      </w:r>
      <w:r w:rsidRPr="00B5080E">
        <w:rPr>
          <w:rFonts w:hint="cs"/>
          <w:rtl/>
        </w:rPr>
        <w:t>ي</w:t>
      </w:r>
      <w:r w:rsidRPr="00B5080E">
        <w:rPr>
          <w:rtl/>
        </w:rPr>
        <w:t xml:space="preserve"> </w:t>
      </w:r>
      <w:r w:rsidRPr="00B5080E">
        <w:rPr>
          <w:rFonts w:hint="cs"/>
          <w:rtl/>
        </w:rPr>
        <w:t>ال</w:t>
      </w:r>
      <w:r w:rsidRPr="00B5080E">
        <w:rPr>
          <w:rFonts w:hint="eastAsia"/>
          <w:rtl/>
        </w:rPr>
        <w:t>ميلان</w:t>
      </w:r>
      <w:r w:rsidRPr="00B5080E">
        <w:rPr>
          <w:rFonts w:hint="cs"/>
          <w:rtl/>
        </w:rPr>
        <w:t>ي</w:t>
      </w:r>
      <w:r w:rsidRPr="00B5080E">
        <w:rPr>
          <w:rFonts w:hint="eastAsia"/>
          <w:rtl/>
        </w:rPr>
        <w:t>،</w:t>
      </w:r>
      <w:r w:rsidRPr="00B5080E">
        <w:rPr>
          <w:rtl/>
        </w:rPr>
        <w:t xml:space="preserve"> </w:t>
      </w:r>
      <w:r w:rsidRPr="00B5080E">
        <w:rPr>
          <w:rFonts w:hint="eastAsia"/>
          <w:rtl/>
        </w:rPr>
        <w:t>محاضرات</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فقه</w:t>
      </w:r>
      <w:r w:rsidRPr="00B5080E">
        <w:rPr>
          <w:rtl/>
        </w:rPr>
        <w:t>‏</w:t>
      </w:r>
      <w:r w:rsidRPr="00B5080E">
        <w:rPr>
          <w:rFonts w:hint="cs"/>
          <w:rtl/>
        </w:rPr>
        <w:t xml:space="preserve"> </w:t>
      </w:r>
      <w:r w:rsidRPr="00B5080E">
        <w:rPr>
          <w:rFonts w:hint="eastAsia"/>
          <w:rtl/>
        </w:rPr>
        <w:t>ال</w:t>
      </w:r>
      <w:r w:rsidRPr="00B5080E">
        <w:rPr>
          <w:rFonts w:hint="cs"/>
          <w:rtl/>
        </w:rPr>
        <w:t>إ</w:t>
      </w:r>
      <w:r w:rsidRPr="00B5080E">
        <w:rPr>
          <w:rFonts w:hint="eastAsia"/>
          <w:rtl/>
        </w:rPr>
        <w:t>مامية،</w:t>
      </w:r>
      <w:r w:rsidRPr="00B5080E">
        <w:rPr>
          <w:rtl/>
        </w:rPr>
        <w:t xml:space="preserve"> </w:t>
      </w:r>
      <w:r w:rsidRPr="00B5080E">
        <w:rPr>
          <w:rFonts w:hint="eastAsia"/>
          <w:rtl/>
        </w:rPr>
        <w:t>كتاب</w:t>
      </w:r>
      <w:r w:rsidRPr="00B5080E">
        <w:rPr>
          <w:rtl/>
        </w:rPr>
        <w:t xml:space="preserve"> </w:t>
      </w:r>
      <w:r w:rsidRPr="00B5080E">
        <w:rPr>
          <w:rFonts w:hint="eastAsia"/>
          <w:rtl/>
        </w:rPr>
        <w:t>الخمس،</w:t>
      </w:r>
      <w:r w:rsidRPr="00B5080E">
        <w:rPr>
          <w:rtl/>
        </w:rPr>
        <w:t xml:space="preserve"> </w:t>
      </w:r>
      <w:r w:rsidRPr="00B5080E">
        <w:rPr>
          <w:rFonts w:hint="cs"/>
          <w:rtl/>
        </w:rPr>
        <w:t>إ</w:t>
      </w:r>
      <w:r w:rsidRPr="00B5080E">
        <w:rPr>
          <w:rFonts w:hint="eastAsia"/>
          <w:rtl/>
        </w:rPr>
        <w:t>عداد</w:t>
      </w:r>
      <w:r w:rsidRPr="00B5080E">
        <w:rPr>
          <w:rtl/>
        </w:rPr>
        <w:t xml:space="preserve"> </w:t>
      </w:r>
      <w:r w:rsidRPr="00B5080E">
        <w:rPr>
          <w:rFonts w:hint="eastAsia"/>
          <w:rtl/>
        </w:rPr>
        <w:t>وتنظيم</w:t>
      </w:r>
      <w:r w:rsidRPr="00B5080E">
        <w:rPr>
          <w:rFonts w:hint="cs"/>
          <w:rtl/>
        </w:rPr>
        <w:t>:</w:t>
      </w:r>
      <w:r w:rsidRPr="00B5080E">
        <w:rPr>
          <w:rtl/>
        </w:rPr>
        <w:t xml:space="preserve"> </w:t>
      </w:r>
      <w:r w:rsidRPr="00B5080E">
        <w:rPr>
          <w:rFonts w:hint="eastAsia"/>
          <w:rtl/>
        </w:rPr>
        <w:t>فاضل</w:t>
      </w:r>
      <w:r w:rsidRPr="00B5080E">
        <w:rPr>
          <w:rtl/>
        </w:rPr>
        <w:t xml:space="preserve"> </w:t>
      </w:r>
      <w:r w:rsidRPr="00B5080E">
        <w:rPr>
          <w:rFonts w:hint="eastAsia"/>
          <w:rtl/>
        </w:rPr>
        <w:t>حسين</w:t>
      </w:r>
      <w:r w:rsidRPr="00B5080E">
        <w:rPr>
          <w:rFonts w:hint="cs"/>
          <w:rtl/>
        </w:rPr>
        <w:t>ي</w:t>
      </w:r>
      <w:r w:rsidRPr="00B5080E">
        <w:rPr>
          <w:rtl/>
        </w:rPr>
        <w:t xml:space="preserve"> </w:t>
      </w:r>
      <w:r w:rsidRPr="00B5080E">
        <w:rPr>
          <w:rFonts w:hint="cs"/>
          <w:rtl/>
        </w:rPr>
        <w:t>ال</w:t>
      </w:r>
      <w:r w:rsidRPr="00B5080E">
        <w:rPr>
          <w:rFonts w:hint="eastAsia"/>
          <w:rtl/>
        </w:rPr>
        <w:t>ميلان</w:t>
      </w:r>
      <w:r w:rsidRPr="00B5080E">
        <w:rPr>
          <w:rFonts w:hint="cs"/>
          <w:rtl/>
        </w:rPr>
        <w:t>ي</w:t>
      </w:r>
      <w:r w:rsidRPr="00B5080E">
        <w:rPr>
          <w:rtl/>
        </w:rPr>
        <w:t>.</w:t>
      </w:r>
    </w:p>
    <w:p w:rsidR="00EA09EB" w:rsidRPr="00B5080E" w:rsidRDefault="00EA09EB" w:rsidP="00B5080E">
      <w:r w:rsidRPr="00B5080E">
        <w:rPr>
          <w:rFonts w:hint="cs"/>
          <w:rtl/>
        </w:rPr>
        <w:t>ـ أ</w:t>
      </w:r>
      <w:r w:rsidRPr="00B5080E">
        <w:rPr>
          <w:rFonts w:hint="eastAsia"/>
          <w:rtl/>
        </w:rPr>
        <w:t>بو</w:t>
      </w:r>
      <w:r w:rsidRPr="00B5080E">
        <w:rPr>
          <w:rFonts w:hint="cs"/>
          <w:rtl/>
        </w:rPr>
        <w:t xml:space="preserve"> </w:t>
      </w:r>
      <w:r w:rsidRPr="00B5080E">
        <w:rPr>
          <w:rFonts w:hint="eastAsia"/>
          <w:rtl/>
        </w:rPr>
        <w:t>العباس</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cs"/>
          <w:rtl/>
        </w:rPr>
        <w:t>ال</w:t>
      </w:r>
      <w:r w:rsidRPr="00B5080E">
        <w:rPr>
          <w:rFonts w:hint="eastAsia"/>
          <w:rtl/>
        </w:rPr>
        <w:t>نجاش</w:t>
      </w:r>
      <w:r w:rsidRPr="00B5080E">
        <w:rPr>
          <w:rFonts w:hint="cs"/>
          <w:rtl/>
        </w:rPr>
        <w:t>ي</w:t>
      </w:r>
      <w:r w:rsidRPr="00B5080E">
        <w:rPr>
          <w:rFonts w:hint="eastAsia"/>
          <w:rtl/>
        </w:rPr>
        <w:t>،</w:t>
      </w:r>
      <w:r w:rsidRPr="00B5080E">
        <w:rPr>
          <w:rtl/>
        </w:rPr>
        <w:t xml:space="preserve"> </w:t>
      </w:r>
      <w:r w:rsidRPr="00B5080E">
        <w:rPr>
          <w:rFonts w:hint="eastAsia"/>
          <w:rtl/>
        </w:rPr>
        <w:t>رجال</w:t>
      </w:r>
      <w:r w:rsidRPr="00B5080E">
        <w:rPr>
          <w:rtl/>
        </w:rPr>
        <w:t xml:space="preserve"> </w:t>
      </w:r>
      <w:r w:rsidRPr="00B5080E">
        <w:rPr>
          <w:rFonts w:hint="eastAsia"/>
          <w:rtl/>
        </w:rPr>
        <w:t>النجاش</w:t>
      </w:r>
      <w:r w:rsidRPr="00B5080E">
        <w:rPr>
          <w:rFonts w:hint="cs"/>
          <w:rtl/>
        </w:rPr>
        <w:t>ي</w:t>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السيد</w:t>
      </w:r>
      <w:r w:rsidRPr="00B5080E">
        <w:rPr>
          <w:rFonts w:hint="cs"/>
          <w:rtl/>
        </w:rPr>
        <w:t xml:space="preserve"> </w:t>
      </w:r>
      <w:r w:rsidRPr="00B5080E">
        <w:rPr>
          <w:rFonts w:hint="eastAsia"/>
          <w:rtl/>
        </w:rPr>
        <w:t>موسى</w:t>
      </w:r>
      <w:r w:rsidRPr="00B5080E">
        <w:rPr>
          <w:rtl/>
        </w:rPr>
        <w:t xml:space="preserve"> </w:t>
      </w:r>
      <w:r w:rsidRPr="00B5080E">
        <w:rPr>
          <w:rFonts w:hint="eastAsia"/>
          <w:rtl/>
        </w:rPr>
        <w:t>شبير</w:t>
      </w:r>
      <w:r w:rsidRPr="00B5080E">
        <w:rPr>
          <w:rFonts w:hint="cs"/>
          <w:rtl/>
        </w:rPr>
        <w:t>ي</w:t>
      </w:r>
      <w:r w:rsidRPr="00B5080E">
        <w:rPr>
          <w:rtl/>
        </w:rPr>
        <w:t xml:space="preserve"> </w:t>
      </w:r>
      <w:r w:rsidRPr="00B5080E">
        <w:rPr>
          <w:rFonts w:hint="cs"/>
          <w:rtl/>
        </w:rPr>
        <w:t>ال</w:t>
      </w:r>
      <w:r w:rsidRPr="00B5080E">
        <w:rPr>
          <w:rFonts w:hint="eastAsia"/>
          <w:rtl/>
        </w:rPr>
        <w:t>زنجان</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1407</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محمد</w:t>
      </w:r>
      <w:r w:rsidRPr="00B5080E">
        <w:rPr>
          <w:rFonts w:hint="cs"/>
          <w:rtl/>
        </w:rPr>
        <w:t xml:space="preserve"> </w:t>
      </w:r>
      <w:r w:rsidRPr="00B5080E">
        <w:rPr>
          <w:rFonts w:hint="eastAsia"/>
          <w:rtl/>
        </w:rPr>
        <w:t>مهد</w:t>
      </w:r>
      <w:r w:rsidRPr="00B5080E">
        <w:rPr>
          <w:rFonts w:hint="cs"/>
          <w:rtl/>
        </w:rPr>
        <w:t>ي</w:t>
      </w:r>
      <w:r w:rsidRPr="00B5080E">
        <w:rPr>
          <w:rtl/>
        </w:rPr>
        <w:t xml:space="preserve"> </w:t>
      </w:r>
      <w:r w:rsidRPr="00B5080E">
        <w:rPr>
          <w:rFonts w:hint="eastAsia"/>
          <w:rtl/>
        </w:rPr>
        <w:t>النجف</w:t>
      </w:r>
      <w:r w:rsidRPr="00B5080E">
        <w:rPr>
          <w:rtl/>
        </w:rPr>
        <w:t xml:space="preserve"> (</w:t>
      </w:r>
      <w:r w:rsidRPr="00B5080E">
        <w:rPr>
          <w:rFonts w:hint="eastAsia"/>
          <w:rtl/>
        </w:rPr>
        <w:t>مصحّح</w:t>
      </w:r>
      <w:r w:rsidRPr="00B5080E">
        <w:rPr>
          <w:rtl/>
        </w:rPr>
        <w:t>)</w:t>
      </w:r>
      <w:r w:rsidRPr="00B5080E">
        <w:rPr>
          <w:rFonts w:hint="eastAsia"/>
          <w:rtl/>
        </w:rPr>
        <w:t>،</w:t>
      </w:r>
      <w:r w:rsidRPr="00B5080E">
        <w:rPr>
          <w:rtl/>
        </w:rPr>
        <w:t xml:space="preserve"> </w:t>
      </w:r>
      <w:r w:rsidRPr="00B5080E">
        <w:rPr>
          <w:rFonts w:hint="eastAsia"/>
          <w:rtl/>
        </w:rPr>
        <w:t>صحيفة</w:t>
      </w:r>
      <w:r w:rsidRPr="00B5080E">
        <w:rPr>
          <w:rtl/>
        </w:rPr>
        <w:t xml:space="preserve"> </w:t>
      </w:r>
      <w:r w:rsidRPr="00B5080E">
        <w:rPr>
          <w:rFonts w:hint="eastAsia"/>
          <w:rtl/>
        </w:rPr>
        <w:t>ال</w:t>
      </w:r>
      <w:r w:rsidRPr="00B5080E">
        <w:rPr>
          <w:rFonts w:hint="cs"/>
          <w:rtl/>
        </w:rPr>
        <w:t>إ</w:t>
      </w:r>
      <w:r w:rsidRPr="00B5080E">
        <w:rPr>
          <w:rFonts w:hint="eastAsia"/>
          <w:rtl/>
        </w:rPr>
        <w:t>مام</w:t>
      </w:r>
      <w:r w:rsidRPr="00B5080E">
        <w:rPr>
          <w:rtl/>
        </w:rPr>
        <w:t xml:space="preserve"> </w:t>
      </w:r>
      <w:r w:rsidRPr="00B5080E">
        <w:rPr>
          <w:rFonts w:hint="eastAsia"/>
          <w:rtl/>
        </w:rPr>
        <w:t>الرضا</w:t>
      </w:r>
      <w:r w:rsidRPr="00B5080E">
        <w:rPr>
          <w:rFonts w:hint="cs"/>
          <w:rtl/>
        </w:rPr>
        <w:t>×</w:t>
      </w:r>
      <w:r w:rsidRPr="00B5080E">
        <w:rPr>
          <w:rFonts w:hint="eastAsia"/>
          <w:rtl/>
        </w:rPr>
        <w:t>،</w:t>
      </w:r>
      <w:r w:rsidRPr="00B5080E">
        <w:rPr>
          <w:rtl/>
        </w:rPr>
        <w:t xml:space="preserve"> (</w:t>
      </w:r>
      <w:r w:rsidRPr="00B5080E">
        <w:rPr>
          <w:rFonts w:hint="eastAsia"/>
          <w:rtl/>
        </w:rPr>
        <w:t>مشهد،</w:t>
      </w:r>
      <w:r w:rsidRPr="00B5080E">
        <w:rPr>
          <w:rtl/>
        </w:rPr>
        <w:t xml:space="preserve"> 1406</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حسن</w:t>
      </w:r>
      <w:r w:rsidRPr="00B5080E">
        <w:rPr>
          <w:rtl/>
        </w:rPr>
        <w:t xml:space="preserve"> </w:t>
      </w:r>
      <w:r w:rsidRPr="00B5080E">
        <w:rPr>
          <w:rFonts w:hint="eastAsia"/>
          <w:rtl/>
        </w:rPr>
        <w:t>النجف</w:t>
      </w:r>
      <w:r w:rsidRPr="00B5080E">
        <w:rPr>
          <w:rFonts w:hint="cs"/>
          <w:rtl/>
        </w:rPr>
        <w:t>ي</w:t>
      </w:r>
      <w:r w:rsidRPr="00B5080E">
        <w:rPr>
          <w:rFonts w:hint="eastAsia"/>
          <w:rtl/>
        </w:rPr>
        <w:t>،</w:t>
      </w:r>
      <w:r w:rsidRPr="00B5080E">
        <w:rPr>
          <w:rtl/>
        </w:rPr>
        <w:t xml:space="preserve"> </w:t>
      </w:r>
      <w:r w:rsidRPr="00B5080E">
        <w:rPr>
          <w:rFonts w:hint="eastAsia"/>
          <w:rtl/>
        </w:rPr>
        <w:t>جواهر</w:t>
      </w:r>
      <w:r w:rsidRPr="00B5080E">
        <w:rPr>
          <w:rtl/>
        </w:rPr>
        <w:t xml:space="preserve"> </w:t>
      </w:r>
      <w:r w:rsidRPr="00B5080E">
        <w:rPr>
          <w:rFonts w:hint="eastAsia"/>
          <w:rtl/>
        </w:rPr>
        <w:t>الكلام</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شرائع</w:t>
      </w:r>
      <w:r w:rsidRPr="00B5080E">
        <w:rPr>
          <w:rtl/>
        </w:rPr>
        <w:t xml:space="preserve"> </w:t>
      </w:r>
      <w:r w:rsidRPr="00B5080E">
        <w:rPr>
          <w:rFonts w:hint="eastAsia"/>
          <w:rtl/>
        </w:rPr>
        <w:t>ال</w:t>
      </w:r>
      <w:r w:rsidRPr="00B5080E">
        <w:rPr>
          <w:rFonts w:hint="cs"/>
          <w:rtl/>
        </w:rPr>
        <w:t>إ</w:t>
      </w:r>
      <w:r w:rsidRPr="00B5080E">
        <w:rPr>
          <w:rFonts w:hint="eastAsia"/>
          <w:rtl/>
        </w:rPr>
        <w:t>سلام،</w:t>
      </w:r>
      <w:r w:rsidRPr="00B5080E">
        <w:rPr>
          <w:rtl/>
        </w:rPr>
        <w:t xml:space="preserve"> 43 </w:t>
      </w:r>
      <w:r w:rsidRPr="00B5080E">
        <w:rPr>
          <w:rFonts w:hint="eastAsia"/>
          <w:rtl/>
        </w:rPr>
        <w:t>مجلد،</w:t>
      </w:r>
      <w:r w:rsidRPr="00B5080E">
        <w:rPr>
          <w:rtl/>
        </w:rPr>
        <w:t xml:space="preserve"> (</w:t>
      </w:r>
      <w:r w:rsidRPr="00B5080E">
        <w:rPr>
          <w:rFonts w:hint="eastAsia"/>
          <w:rtl/>
        </w:rPr>
        <w:t>طهران،</w:t>
      </w:r>
      <w:r w:rsidRPr="00B5080E">
        <w:rPr>
          <w:rtl/>
        </w:rPr>
        <w:t xml:space="preserve"> 1400</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تق</w:t>
      </w:r>
      <w:r w:rsidRPr="00B5080E">
        <w:rPr>
          <w:rFonts w:hint="cs"/>
          <w:rtl/>
        </w:rPr>
        <w:t>ي</w:t>
      </w:r>
      <w:r w:rsidRPr="00B5080E">
        <w:rPr>
          <w:rtl/>
        </w:rPr>
        <w:t xml:space="preserve"> </w:t>
      </w:r>
      <w:r w:rsidRPr="00B5080E">
        <w:rPr>
          <w:rFonts w:hint="eastAsia"/>
          <w:rtl/>
        </w:rPr>
        <w:t>النجف</w:t>
      </w:r>
      <w:r w:rsidRPr="00B5080E">
        <w:rPr>
          <w:rFonts w:hint="cs"/>
          <w:rtl/>
        </w:rPr>
        <w:t>ي</w:t>
      </w:r>
      <w:r w:rsidRPr="00B5080E">
        <w:rPr>
          <w:rFonts w:hint="eastAsia"/>
          <w:rtl/>
        </w:rPr>
        <w:t>،</w:t>
      </w:r>
      <w:r w:rsidRPr="00B5080E">
        <w:rPr>
          <w:rtl/>
        </w:rPr>
        <w:t xml:space="preserve"> </w:t>
      </w:r>
      <w:r w:rsidRPr="00B5080E">
        <w:rPr>
          <w:rFonts w:hint="eastAsia"/>
          <w:rtl/>
        </w:rPr>
        <w:t>بحث</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ولاية</w:t>
      </w:r>
      <w:r w:rsidRPr="00B5080E">
        <w:rPr>
          <w:rtl/>
        </w:rPr>
        <w:t xml:space="preserve"> </w:t>
      </w:r>
      <w:r w:rsidRPr="00B5080E">
        <w:rPr>
          <w:rFonts w:hint="eastAsia"/>
          <w:rtl/>
        </w:rPr>
        <w:t>الحاكم</w:t>
      </w:r>
      <w:r w:rsidRPr="00B5080E">
        <w:rPr>
          <w:rtl/>
        </w:rPr>
        <w:t xml:space="preserve"> </w:t>
      </w:r>
      <w:r w:rsidRPr="00B5080E">
        <w:rPr>
          <w:rFonts w:hint="eastAsia"/>
          <w:rtl/>
        </w:rPr>
        <w:t>الفقيه،</w:t>
      </w:r>
      <w:r w:rsidRPr="00B5080E">
        <w:rPr>
          <w:rtl/>
        </w:rPr>
        <w:t xml:space="preserve"> </w:t>
      </w:r>
      <w:r w:rsidRPr="00B5080E">
        <w:rPr>
          <w:rFonts w:hint="eastAsia"/>
          <w:rtl/>
        </w:rPr>
        <w:t>في</w:t>
      </w:r>
      <w:r w:rsidRPr="00B5080E">
        <w:rPr>
          <w:rtl/>
        </w:rPr>
        <w:t xml:space="preserve"> </w:t>
      </w:r>
      <w:r w:rsidRPr="00B5080E">
        <w:rPr>
          <w:rFonts w:hint="eastAsia"/>
          <w:rtl/>
        </w:rPr>
        <w:t>كتاب</w:t>
      </w:r>
      <w:r w:rsidRPr="00B5080E">
        <w:rPr>
          <w:rtl/>
        </w:rPr>
        <w:t xml:space="preserve"> </w:t>
      </w:r>
      <w:r w:rsidRPr="00B5080E">
        <w:rPr>
          <w:rFonts w:hint="cs"/>
          <w:rtl/>
        </w:rPr>
        <w:t>(</w:t>
      </w:r>
      <w:r w:rsidRPr="00B5080E">
        <w:rPr>
          <w:rFonts w:hint="eastAsia"/>
          <w:rtl/>
        </w:rPr>
        <w:t>كلمه</w:t>
      </w:r>
      <w:r w:rsidRPr="00B5080E">
        <w:rPr>
          <w:rtl/>
        </w:rPr>
        <w:t xml:space="preserve"> </w:t>
      </w:r>
      <w:r w:rsidRPr="00B5080E">
        <w:rPr>
          <w:rFonts w:hint="eastAsia"/>
          <w:rtl/>
        </w:rPr>
        <w:t>نافذ</w:t>
      </w:r>
      <w:r w:rsidRPr="00B5080E">
        <w:rPr>
          <w:rtl/>
        </w:rPr>
        <w:t xml:space="preserve"> </w:t>
      </w:r>
      <w:r w:rsidRPr="00B5080E">
        <w:rPr>
          <w:rFonts w:hint="eastAsia"/>
          <w:rtl/>
        </w:rPr>
        <w:t>آقا</w:t>
      </w:r>
      <w:r w:rsidRPr="00B5080E">
        <w:rPr>
          <w:rFonts w:hint="cs"/>
          <w:rtl/>
        </w:rPr>
        <w:t xml:space="preserve"> </w:t>
      </w:r>
      <w:r w:rsidRPr="00B5080E">
        <w:rPr>
          <w:rFonts w:hint="eastAsia"/>
          <w:rtl/>
        </w:rPr>
        <w:t>النجف</w:t>
      </w:r>
      <w:r w:rsidRPr="00B5080E">
        <w:rPr>
          <w:rFonts w:hint="cs"/>
          <w:rtl/>
        </w:rPr>
        <w:t>ي)</w:t>
      </w:r>
      <w:r w:rsidRPr="00B5080E">
        <w:rPr>
          <w:rFonts w:hint="eastAsia"/>
          <w:rtl/>
        </w:rPr>
        <w:t>،</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موسى</w:t>
      </w:r>
      <w:r w:rsidRPr="00B5080E">
        <w:rPr>
          <w:rtl/>
        </w:rPr>
        <w:t xml:space="preserve"> </w:t>
      </w:r>
      <w:r w:rsidRPr="00B5080E">
        <w:rPr>
          <w:rFonts w:hint="eastAsia"/>
          <w:rtl/>
        </w:rPr>
        <w:t>النجفى،</w:t>
      </w:r>
      <w:r w:rsidRPr="00B5080E">
        <w:rPr>
          <w:rtl/>
        </w:rPr>
        <w:t xml:space="preserve"> (</w:t>
      </w:r>
      <w:r w:rsidRPr="00B5080E">
        <w:rPr>
          <w:rFonts w:hint="eastAsia"/>
          <w:rtl/>
        </w:rPr>
        <w:t>طهران،</w:t>
      </w:r>
      <w:r w:rsidRPr="00B5080E">
        <w:rPr>
          <w:rtl/>
        </w:rPr>
        <w:t xml:space="preserve"> 1371</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Fonts w:hint="cs"/>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بن</w:t>
      </w:r>
      <w:r w:rsidRPr="00B5080E">
        <w:rPr>
          <w:rtl/>
        </w:rPr>
        <w:t xml:space="preserve"> </w:t>
      </w:r>
      <w:r w:rsidRPr="00B5080E">
        <w:rPr>
          <w:rFonts w:hint="eastAsia"/>
          <w:rtl/>
        </w:rPr>
        <w:t>عبد</w:t>
      </w:r>
      <w:r w:rsidRPr="00B5080E">
        <w:rPr>
          <w:rFonts w:hint="cs"/>
          <w:rtl/>
        </w:rPr>
        <w:t xml:space="preserve"> </w:t>
      </w:r>
      <w:r w:rsidRPr="00B5080E">
        <w:rPr>
          <w:rFonts w:hint="eastAsia"/>
          <w:rtl/>
        </w:rPr>
        <w:t>الكريم</w:t>
      </w:r>
      <w:r w:rsidRPr="00B5080E">
        <w:rPr>
          <w:rtl/>
        </w:rPr>
        <w:t xml:space="preserve"> </w:t>
      </w:r>
      <w:r w:rsidRPr="00B5080E">
        <w:rPr>
          <w:rFonts w:hint="eastAsia"/>
          <w:rtl/>
        </w:rPr>
        <w:t>النجف</w:t>
      </w:r>
      <w:r w:rsidRPr="00B5080E">
        <w:rPr>
          <w:rFonts w:hint="cs"/>
          <w:rtl/>
        </w:rPr>
        <w:t>ي</w:t>
      </w:r>
      <w:r w:rsidRPr="00B5080E">
        <w:rPr>
          <w:rFonts w:hint="eastAsia"/>
          <w:rtl/>
        </w:rPr>
        <w:t>،</w:t>
      </w:r>
      <w:r w:rsidRPr="00B5080E">
        <w:rPr>
          <w:rtl/>
        </w:rPr>
        <w:t xml:space="preserve"> </w:t>
      </w:r>
      <w:r w:rsidRPr="00B5080E">
        <w:rPr>
          <w:rFonts w:hint="eastAsia"/>
          <w:rtl/>
        </w:rPr>
        <w:t>منتخب</w:t>
      </w:r>
      <w:r w:rsidRPr="00B5080E">
        <w:rPr>
          <w:rtl/>
        </w:rPr>
        <w:t xml:space="preserve"> </w:t>
      </w:r>
      <w:r w:rsidRPr="00B5080E">
        <w:rPr>
          <w:rFonts w:hint="eastAsia"/>
          <w:rtl/>
        </w:rPr>
        <w:t>ال</w:t>
      </w:r>
      <w:r w:rsidRPr="00B5080E">
        <w:rPr>
          <w:rFonts w:hint="cs"/>
          <w:rtl/>
        </w:rPr>
        <w:t>أ</w:t>
      </w:r>
      <w:r w:rsidRPr="00B5080E">
        <w:rPr>
          <w:rFonts w:hint="eastAsia"/>
          <w:rtl/>
        </w:rPr>
        <w:t>نوار</w:t>
      </w:r>
      <w:r w:rsidRPr="00B5080E">
        <w:rPr>
          <w:rtl/>
        </w:rPr>
        <w:t xml:space="preserve"> </w:t>
      </w:r>
      <w:r w:rsidRPr="00B5080E">
        <w:rPr>
          <w:rFonts w:hint="eastAsia"/>
          <w:rtl/>
        </w:rPr>
        <w:t>المضيئة</w:t>
      </w:r>
      <w:r w:rsidRPr="00B5080E">
        <w:rPr>
          <w:rtl/>
        </w:rPr>
        <w:t>.</w:t>
      </w:r>
    </w:p>
    <w:p w:rsidR="00EA09EB" w:rsidRPr="00B5080E" w:rsidRDefault="00EA09EB" w:rsidP="00B5080E">
      <w:r w:rsidRPr="00B5080E">
        <w:rPr>
          <w:rFonts w:hint="cs"/>
          <w:rtl/>
        </w:rPr>
        <w:t>ـ ال</w:t>
      </w:r>
      <w:r w:rsidRPr="00B5080E">
        <w:rPr>
          <w:rFonts w:hint="eastAsia"/>
          <w:rtl/>
        </w:rPr>
        <w:t>ملا</w:t>
      </w:r>
      <w:r w:rsidRPr="00B5080E">
        <w:rPr>
          <w:rFonts w:hint="cs"/>
          <w:rtl/>
        </w:rPr>
        <w:t>ّ أ</w:t>
      </w:r>
      <w:r w:rsidRPr="00B5080E">
        <w:rPr>
          <w:rFonts w:hint="eastAsia"/>
          <w:rtl/>
        </w:rPr>
        <w:t>حمد</w:t>
      </w:r>
      <w:r w:rsidRPr="00B5080E">
        <w:rPr>
          <w:rtl/>
        </w:rPr>
        <w:t xml:space="preserve"> </w:t>
      </w:r>
      <w:r w:rsidRPr="00B5080E">
        <w:rPr>
          <w:rFonts w:hint="cs"/>
          <w:rtl/>
        </w:rPr>
        <w:t>ال</w:t>
      </w:r>
      <w:r w:rsidRPr="00B5080E">
        <w:rPr>
          <w:rFonts w:hint="eastAsia"/>
          <w:rtl/>
        </w:rPr>
        <w:t>نراق</w:t>
      </w:r>
      <w:r w:rsidRPr="00B5080E">
        <w:rPr>
          <w:rFonts w:hint="cs"/>
          <w:rtl/>
        </w:rPr>
        <w:t>ي</w:t>
      </w:r>
      <w:r w:rsidRPr="00B5080E">
        <w:rPr>
          <w:rFonts w:hint="eastAsia"/>
          <w:rtl/>
        </w:rPr>
        <w:t>،</w:t>
      </w:r>
      <w:r w:rsidRPr="00B5080E">
        <w:rPr>
          <w:rtl/>
        </w:rPr>
        <w:t xml:space="preserve"> </w:t>
      </w:r>
      <w:r w:rsidRPr="00B5080E">
        <w:rPr>
          <w:rFonts w:hint="eastAsia"/>
          <w:rtl/>
        </w:rPr>
        <w:t>عوائد</w:t>
      </w:r>
      <w:r w:rsidRPr="00B5080E">
        <w:rPr>
          <w:rFonts w:hint="cs"/>
          <w:rtl/>
        </w:rPr>
        <w:t xml:space="preserve"> </w:t>
      </w:r>
      <w:r w:rsidRPr="00B5080E">
        <w:rPr>
          <w:rFonts w:hint="eastAsia"/>
          <w:rtl/>
        </w:rPr>
        <w:t>ا</w:t>
      </w:r>
      <w:r w:rsidRPr="00B5080E">
        <w:rPr>
          <w:rFonts w:hint="cs"/>
          <w:rtl/>
        </w:rPr>
        <w:t>لأ</w:t>
      </w:r>
      <w:r w:rsidRPr="00B5080E">
        <w:rPr>
          <w:rFonts w:hint="eastAsia"/>
          <w:rtl/>
        </w:rPr>
        <w:t>يام،</w:t>
      </w:r>
      <w:r w:rsidRPr="00B5080E">
        <w:rPr>
          <w:rtl/>
        </w:rPr>
        <w:t xml:space="preserve"> </w:t>
      </w:r>
      <w:r w:rsidRPr="00B5080E">
        <w:rPr>
          <w:rFonts w:hint="eastAsia"/>
          <w:rtl/>
        </w:rPr>
        <w:t>تصحيح</w:t>
      </w:r>
      <w:r w:rsidRPr="00B5080E">
        <w:rPr>
          <w:rtl/>
        </w:rPr>
        <w:t xml:space="preserve"> </w:t>
      </w:r>
      <w:r w:rsidRPr="00B5080E">
        <w:rPr>
          <w:rFonts w:hint="eastAsia"/>
          <w:rtl/>
        </w:rPr>
        <w:t>مكتب</w:t>
      </w:r>
      <w:r w:rsidRPr="00B5080E">
        <w:rPr>
          <w:rtl/>
        </w:rPr>
        <w:t xml:space="preserve"> </w:t>
      </w:r>
      <w:r w:rsidRPr="00B5080E">
        <w:rPr>
          <w:rFonts w:hint="eastAsia"/>
          <w:rtl/>
        </w:rPr>
        <w:t>الإعلام</w:t>
      </w:r>
      <w:r w:rsidRPr="00B5080E">
        <w:rPr>
          <w:rtl/>
        </w:rPr>
        <w:t xml:space="preserve"> </w:t>
      </w:r>
      <w:r w:rsidRPr="00B5080E">
        <w:rPr>
          <w:rFonts w:hint="eastAsia"/>
          <w:rtl/>
        </w:rPr>
        <w:t>الإسلامي،</w:t>
      </w:r>
      <w:r w:rsidRPr="00B5080E">
        <w:rPr>
          <w:rtl/>
        </w:rPr>
        <w:t xml:space="preserve"> (</w:t>
      </w:r>
      <w:r w:rsidRPr="00B5080E">
        <w:rPr>
          <w:rFonts w:hint="eastAsia"/>
          <w:rtl/>
        </w:rPr>
        <w:t>قم،</w:t>
      </w:r>
      <w:r w:rsidRPr="00B5080E">
        <w:rPr>
          <w:rtl/>
        </w:rPr>
        <w:t xml:space="preserve"> 1375</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عزيز</w:t>
      </w:r>
      <w:r w:rsidRPr="00B5080E">
        <w:rPr>
          <w:rFonts w:hint="cs"/>
          <w:rtl/>
        </w:rPr>
        <w:t xml:space="preserve"> </w:t>
      </w:r>
      <w:r w:rsidRPr="00B5080E">
        <w:rPr>
          <w:rFonts w:hint="eastAsia"/>
          <w:rtl/>
        </w:rPr>
        <w:t>الدين</w:t>
      </w:r>
      <w:r w:rsidRPr="00B5080E">
        <w:rPr>
          <w:rtl/>
        </w:rPr>
        <w:t xml:space="preserve"> </w:t>
      </w:r>
      <w:r w:rsidRPr="00B5080E">
        <w:rPr>
          <w:rFonts w:hint="cs"/>
          <w:rtl/>
        </w:rPr>
        <w:t>ال</w:t>
      </w:r>
      <w:r w:rsidRPr="00B5080E">
        <w:rPr>
          <w:rFonts w:hint="eastAsia"/>
          <w:rtl/>
        </w:rPr>
        <w:t>نسف</w:t>
      </w:r>
      <w:r w:rsidRPr="00B5080E">
        <w:rPr>
          <w:rFonts w:hint="cs"/>
          <w:rtl/>
        </w:rPr>
        <w:t>ي</w:t>
      </w:r>
      <w:r w:rsidRPr="00B5080E">
        <w:rPr>
          <w:rFonts w:hint="eastAsia"/>
          <w:rtl/>
        </w:rPr>
        <w:t>،</w:t>
      </w:r>
      <w:r w:rsidRPr="00B5080E">
        <w:rPr>
          <w:rtl/>
        </w:rPr>
        <w:t xml:space="preserve"> </w:t>
      </w:r>
      <w:r w:rsidRPr="00B5080E">
        <w:rPr>
          <w:rFonts w:hint="eastAsia"/>
          <w:rtl/>
        </w:rPr>
        <w:t>ال</w:t>
      </w:r>
      <w:r w:rsidRPr="00B5080E">
        <w:rPr>
          <w:rFonts w:hint="cs"/>
          <w:rtl/>
        </w:rPr>
        <w:t>إن</w:t>
      </w:r>
      <w:r w:rsidRPr="00B5080E">
        <w:rPr>
          <w:rFonts w:hint="eastAsia"/>
          <w:rtl/>
        </w:rPr>
        <w:t>سان</w:t>
      </w:r>
      <w:r w:rsidRPr="00B5080E">
        <w:rPr>
          <w:rtl/>
        </w:rPr>
        <w:t xml:space="preserve"> </w:t>
      </w:r>
      <w:r w:rsidRPr="00B5080E">
        <w:rPr>
          <w:rFonts w:hint="eastAsia"/>
          <w:rtl/>
        </w:rPr>
        <w:t>الكامل،</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ما</w:t>
      </w:r>
      <w:r w:rsidRPr="00B5080E">
        <w:rPr>
          <w:rFonts w:hint="cs"/>
          <w:rtl/>
        </w:rPr>
        <w:t>ج</w:t>
      </w:r>
      <w:r w:rsidRPr="00B5080E">
        <w:rPr>
          <w:rFonts w:hint="eastAsia"/>
          <w:rtl/>
        </w:rPr>
        <w:t>يران</w:t>
      </w:r>
      <w:r w:rsidRPr="00B5080E">
        <w:rPr>
          <w:rtl/>
        </w:rPr>
        <w:t xml:space="preserve"> </w:t>
      </w:r>
      <w:r w:rsidRPr="00B5080E">
        <w:rPr>
          <w:rFonts w:hint="eastAsia"/>
          <w:rtl/>
        </w:rPr>
        <w:t>موله،</w:t>
      </w:r>
      <w:r w:rsidRPr="00B5080E">
        <w:rPr>
          <w:rtl/>
        </w:rPr>
        <w:t xml:space="preserve"> (</w:t>
      </w:r>
      <w:r w:rsidRPr="00B5080E">
        <w:rPr>
          <w:rFonts w:hint="eastAsia"/>
          <w:rtl/>
        </w:rPr>
        <w:t>طهران،</w:t>
      </w:r>
      <w:r w:rsidRPr="00B5080E">
        <w:rPr>
          <w:rtl/>
        </w:rPr>
        <w:t xml:space="preserve"> 1359</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الميرزا</w:t>
      </w:r>
      <w:r w:rsidRPr="00B5080E">
        <w:rPr>
          <w:rFonts w:hint="cs"/>
          <w:rtl/>
        </w:rPr>
        <w:t xml:space="preserve"> </w:t>
      </w:r>
      <w:r w:rsidRPr="00B5080E">
        <w:rPr>
          <w:rFonts w:hint="eastAsia"/>
          <w:rtl/>
        </w:rPr>
        <w:t>حسين</w:t>
      </w:r>
      <w:r w:rsidRPr="00B5080E">
        <w:rPr>
          <w:rtl/>
        </w:rPr>
        <w:t xml:space="preserve"> </w:t>
      </w:r>
      <w:r w:rsidRPr="00B5080E">
        <w:rPr>
          <w:rFonts w:hint="cs"/>
          <w:rtl/>
        </w:rPr>
        <w:t>ال</w:t>
      </w:r>
      <w:r w:rsidRPr="00B5080E">
        <w:rPr>
          <w:rFonts w:hint="eastAsia"/>
          <w:rtl/>
        </w:rPr>
        <w:t>نور</w:t>
      </w:r>
      <w:r w:rsidRPr="00B5080E">
        <w:rPr>
          <w:rFonts w:hint="cs"/>
          <w:rtl/>
        </w:rPr>
        <w:t>ي</w:t>
      </w:r>
      <w:r w:rsidRPr="00B5080E">
        <w:rPr>
          <w:rFonts w:hint="eastAsia"/>
          <w:rtl/>
        </w:rPr>
        <w:t>،</w:t>
      </w:r>
      <w:r w:rsidRPr="00B5080E">
        <w:rPr>
          <w:rtl/>
        </w:rPr>
        <w:t xml:space="preserve"> </w:t>
      </w:r>
      <w:r w:rsidRPr="00B5080E">
        <w:rPr>
          <w:rFonts w:hint="eastAsia"/>
          <w:rtl/>
        </w:rPr>
        <w:t>مستدرك</w:t>
      </w:r>
      <w:r w:rsidRPr="00B5080E">
        <w:rPr>
          <w:rtl/>
        </w:rPr>
        <w:t xml:space="preserve"> </w:t>
      </w:r>
      <w:r w:rsidRPr="00B5080E">
        <w:rPr>
          <w:rFonts w:hint="eastAsia"/>
          <w:rtl/>
        </w:rPr>
        <w:t>وسائل</w:t>
      </w:r>
      <w:r w:rsidRPr="00B5080E">
        <w:rPr>
          <w:rtl/>
        </w:rPr>
        <w:t xml:space="preserve"> </w:t>
      </w:r>
      <w:r w:rsidRPr="00B5080E">
        <w:rPr>
          <w:rFonts w:hint="eastAsia"/>
          <w:rtl/>
        </w:rPr>
        <w:t>الشيعة،</w:t>
      </w:r>
      <w:r w:rsidRPr="00B5080E">
        <w:rPr>
          <w:rtl/>
        </w:rPr>
        <w:t xml:space="preserve"> </w:t>
      </w:r>
      <w:r w:rsidRPr="00B5080E">
        <w:rPr>
          <w:rFonts w:hint="eastAsia"/>
          <w:rtl/>
        </w:rPr>
        <w:t>تصحيح</w:t>
      </w:r>
      <w:r w:rsidRPr="00B5080E">
        <w:rPr>
          <w:rtl/>
        </w:rPr>
        <w:t xml:space="preserve"> </w:t>
      </w:r>
      <w:r w:rsidRPr="00B5080E">
        <w:rPr>
          <w:rFonts w:hint="eastAsia"/>
          <w:rtl/>
        </w:rPr>
        <w:t>مؤسسة</w:t>
      </w:r>
      <w:r w:rsidRPr="00B5080E">
        <w:rPr>
          <w:rtl/>
        </w:rPr>
        <w:t xml:space="preserve"> </w:t>
      </w:r>
      <w:r w:rsidRPr="00B5080E">
        <w:rPr>
          <w:rFonts w:hint="eastAsia"/>
          <w:rtl/>
        </w:rPr>
        <w:t>آل</w:t>
      </w:r>
      <w:r w:rsidRPr="00B5080E">
        <w:rPr>
          <w:rtl/>
        </w:rPr>
        <w:t>‏</w:t>
      </w:r>
      <w:r w:rsidRPr="00B5080E">
        <w:rPr>
          <w:rFonts w:hint="eastAsia"/>
          <w:rtl/>
        </w:rPr>
        <w:t>البيت</w:t>
      </w:r>
      <w:r w:rsidR="007A340E" w:rsidRPr="00B5080E">
        <w:rPr>
          <w:rFonts w:hint="cs"/>
          <w:rtl/>
        </w:rPr>
        <w:t>^</w:t>
      </w:r>
      <w:r w:rsidRPr="00B5080E">
        <w:rPr>
          <w:rFonts w:hint="eastAsia"/>
          <w:rtl/>
        </w:rPr>
        <w:t>،</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ورّام</w:t>
      </w:r>
      <w:r w:rsidRPr="00B5080E">
        <w:rPr>
          <w:rtl/>
        </w:rPr>
        <w:t xml:space="preserve"> </w:t>
      </w:r>
      <w:r w:rsidRPr="00B5080E">
        <w:rPr>
          <w:rFonts w:hint="eastAsia"/>
          <w:rtl/>
        </w:rPr>
        <w:t>بن</w:t>
      </w:r>
      <w:r w:rsidRPr="00B5080E">
        <w:rPr>
          <w:rtl/>
        </w:rPr>
        <w:t xml:space="preserve"> </w:t>
      </w:r>
      <w:r w:rsidRPr="00B5080E">
        <w:rPr>
          <w:rFonts w:hint="cs"/>
          <w:rtl/>
        </w:rPr>
        <w:t>أ</w:t>
      </w:r>
      <w:r w:rsidRPr="00B5080E">
        <w:rPr>
          <w:rFonts w:hint="eastAsia"/>
          <w:rtl/>
        </w:rPr>
        <w:t>ب</w:t>
      </w:r>
      <w:r w:rsidRPr="00B5080E">
        <w:rPr>
          <w:rFonts w:hint="cs"/>
          <w:rtl/>
        </w:rPr>
        <w:t>ي</w:t>
      </w:r>
      <w:r w:rsidRPr="00B5080E">
        <w:rPr>
          <w:rtl/>
        </w:rPr>
        <w:t xml:space="preserve"> </w:t>
      </w:r>
      <w:r w:rsidRPr="00B5080E">
        <w:rPr>
          <w:rFonts w:hint="eastAsia"/>
          <w:rtl/>
        </w:rPr>
        <w:t>فراس</w:t>
      </w:r>
      <w:r w:rsidRPr="00B5080E">
        <w:rPr>
          <w:rtl/>
        </w:rPr>
        <w:t xml:space="preserve"> </w:t>
      </w:r>
      <w:r w:rsidRPr="00B5080E">
        <w:rPr>
          <w:rFonts w:hint="cs"/>
          <w:rtl/>
        </w:rPr>
        <w:t>ال</w:t>
      </w:r>
      <w:r w:rsidRPr="00B5080E">
        <w:rPr>
          <w:rFonts w:hint="eastAsia"/>
          <w:rtl/>
        </w:rPr>
        <w:t>مالك</w:t>
      </w:r>
      <w:r w:rsidRPr="00B5080E">
        <w:rPr>
          <w:rFonts w:hint="cs"/>
          <w:rtl/>
        </w:rPr>
        <w:t>ي</w:t>
      </w:r>
      <w:r w:rsidRPr="00B5080E">
        <w:rPr>
          <w:rtl/>
        </w:rPr>
        <w:t xml:space="preserve"> </w:t>
      </w:r>
      <w:r w:rsidRPr="00B5080E">
        <w:rPr>
          <w:rFonts w:hint="cs"/>
          <w:rtl/>
        </w:rPr>
        <w:t>الأ</w:t>
      </w:r>
      <w:r w:rsidRPr="00B5080E">
        <w:rPr>
          <w:rFonts w:hint="eastAsia"/>
          <w:rtl/>
        </w:rPr>
        <w:t>شتر</w:t>
      </w:r>
      <w:r w:rsidRPr="00B5080E">
        <w:rPr>
          <w:rFonts w:hint="cs"/>
          <w:rtl/>
        </w:rPr>
        <w:t>ي</w:t>
      </w:r>
      <w:r w:rsidRPr="00B5080E">
        <w:rPr>
          <w:rFonts w:hint="eastAsia"/>
          <w:rtl/>
        </w:rPr>
        <w:t>،</w:t>
      </w:r>
      <w:r w:rsidRPr="00B5080E">
        <w:rPr>
          <w:rtl/>
        </w:rPr>
        <w:t xml:space="preserve"> </w:t>
      </w:r>
      <w:r w:rsidRPr="00B5080E">
        <w:rPr>
          <w:rFonts w:hint="eastAsia"/>
          <w:rtl/>
        </w:rPr>
        <w:t>تنبيه</w:t>
      </w:r>
      <w:r w:rsidRPr="00B5080E">
        <w:rPr>
          <w:rFonts w:hint="cs"/>
          <w:rtl/>
        </w:rPr>
        <w:t xml:space="preserve"> </w:t>
      </w:r>
      <w:r w:rsidRPr="00B5080E">
        <w:rPr>
          <w:rtl/>
        </w:rPr>
        <w:t>‏</w:t>
      </w:r>
      <w:r w:rsidRPr="00B5080E">
        <w:rPr>
          <w:rFonts w:hint="eastAsia"/>
          <w:rtl/>
        </w:rPr>
        <w:t>الخواطر</w:t>
      </w:r>
      <w:r w:rsidRPr="00B5080E">
        <w:rPr>
          <w:rtl/>
        </w:rPr>
        <w:t xml:space="preserve"> </w:t>
      </w:r>
      <w:r w:rsidRPr="00B5080E">
        <w:rPr>
          <w:rFonts w:hint="eastAsia"/>
          <w:rtl/>
        </w:rPr>
        <w:t>ونزهةالنواظر،</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جعفر</w:t>
      </w:r>
      <w:r w:rsidRPr="00B5080E">
        <w:rPr>
          <w:rFonts w:hint="cs"/>
          <w:rtl/>
        </w:rPr>
        <w:t xml:space="preserve"> </w:t>
      </w:r>
      <w:r w:rsidRPr="00B5080E">
        <w:rPr>
          <w:rFonts w:hint="eastAsia"/>
          <w:rtl/>
        </w:rPr>
        <w:t>الهاد</w:t>
      </w:r>
      <w:r w:rsidRPr="00B5080E">
        <w:rPr>
          <w:rFonts w:hint="cs"/>
          <w:rtl/>
        </w:rPr>
        <w:t>ي</w:t>
      </w:r>
      <w:r w:rsidRPr="00B5080E">
        <w:rPr>
          <w:rtl/>
        </w:rPr>
        <w:t xml:space="preserve"> (</w:t>
      </w:r>
      <w:r w:rsidRPr="00B5080E">
        <w:rPr>
          <w:rFonts w:hint="eastAsia"/>
          <w:rtl/>
        </w:rPr>
        <w:t>خوشنويس</w:t>
      </w:r>
      <w:r w:rsidRPr="00B5080E">
        <w:rPr>
          <w:rtl/>
        </w:rPr>
        <w:t>)</w:t>
      </w:r>
      <w:r w:rsidRPr="00B5080E">
        <w:rPr>
          <w:rFonts w:hint="eastAsia"/>
          <w:rtl/>
        </w:rPr>
        <w:t>،</w:t>
      </w:r>
      <w:r w:rsidRPr="00B5080E">
        <w:rPr>
          <w:rtl/>
        </w:rPr>
        <w:t xml:space="preserve"> </w:t>
      </w:r>
      <w:r w:rsidRPr="00B5080E">
        <w:rPr>
          <w:rFonts w:hint="eastAsia"/>
          <w:rtl/>
        </w:rPr>
        <w:t>معالم</w:t>
      </w:r>
      <w:r w:rsidRPr="00B5080E">
        <w:rPr>
          <w:rtl/>
        </w:rPr>
        <w:t xml:space="preserve"> </w:t>
      </w:r>
      <w:r w:rsidRPr="00B5080E">
        <w:rPr>
          <w:rFonts w:hint="eastAsia"/>
          <w:rtl/>
        </w:rPr>
        <w:t>الحكومة</w:t>
      </w:r>
      <w:r w:rsidRPr="00B5080E">
        <w:rPr>
          <w:rtl/>
        </w:rPr>
        <w:t xml:space="preserve"> </w:t>
      </w:r>
      <w:r w:rsidRPr="00B5080E">
        <w:rPr>
          <w:rFonts w:hint="eastAsia"/>
          <w:rtl/>
        </w:rPr>
        <w:t>ال</w:t>
      </w:r>
      <w:r w:rsidRPr="00B5080E">
        <w:rPr>
          <w:rFonts w:hint="cs"/>
          <w:rtl/>
        </w:rPr>
        <w:t>إ</w:t>
      </w:r>
      <w:r w:rsidRPr="00B5080E">
        <w:rPr>
          <w:rFonts w:hint="eastAsia"/>
          <w:rtl/>
        </w:rPr>
        <w:t>سلامي</w:t>
      </w:r>
      <w:r w:rsidRPr="00B5080E">
        <w:rPr>
          <w:rFonts w:hint="cs"/>
          <w:rtl/>
        </w:rPr>
        <w:t>ة</w:t>
      </w:r>
      <w:r w:rsidRPr="00B5080E">
        <w:rPr>
          <w:rtl/>
        </w:rPr>
        <w:t xml:space="preserve"> (</w:t>
      </w:r>
      <w:r w:rsidRPr="00B5080E">
        <w:rPr>
          <w:rFonts w:hint="eastAsia"/>
          <w:rtl/>
        </w:rPr>
        <w:t>مفاهيم</w:t>
      </w:r>
      <w:r w:rsidRPr="00B5080E">
        <w:rPr>
          <w:rtl/>
        </w:rPr>
        <w:t xml:space="preserve"> </w:t>
      </w:r>
      <w:r w:rsidRPr="00B5080E">
        <w:rPr>
          <w:rFonts w:hint="eastAsia"/>
          <w:rtl/>
        </w:rPr>
        <w:t>القرآن،</w:t>
      </w:r>
      <w:r w:rsidRPr="00B5080E">
        <w:rPr>
          <w:rtl/>
        </w:rPr>
        <w:t xml:space="preserve"> </w:t>
      </w:r>
      <w:r w:rsidRPr="00B5080E">
        <w:rPr>
          <w:rFonts w:hint="eastAsia"/>
          <w:rtl/>
        </w:rPr>
        <w:t>ج</w:t>
      </w:r>
      <w:r w:rsidRPr="00B5080E">
        <w:rPr>
          <w:rtl/>
        </w:rPr>
        <w:t xml:space="preserve"> 2) </w:t>
      </w:r>
      <w:r w:rsidRPr="00B5080E">
        <w:rPr>
          <w:rFonts w:hint="eastAsia"/>
          <w:rtl/>
        </w:rPr>
        <w:t>تقرير</w:t>
      </w:r>
      <w:r w:rsidRPr="00B5080E">
        <w:rPr>
          <w:rtl/>
        </w:rPr>
        <w:t xml:space="preserve"> </w:t>
      </w:r>
      <w:r w:rsidRPr="00B5080E">
        <w:rPr>
          <w:rFonts w:hint="cs"/>
          <w:rtl/>
        </w:rPr>
        <w:t>أ</w:t>
      </w:r>
      <w:r w:rsidRPr="00B5080E">
        <w:rPr>
          <w:rFonts w:hint="eastAsia"/>
          <w:rtl/>
        </w:rPr>
        <w:t>بحاث</w:t>
      </w:r>
      <w:r w:rsidRPr="00B5080E">
        <w:rPr>
          <w:rtl/>
        </w:rPr>
        <w:t xml:space="preserve"> </w:t>
      </w:r>
      <w:r w:rsidRPr="00B5080E">
        <w:rPr>
          <w:rFonts w:hint="eastAsia"/>
          <w:rtl/>
        </w:rPr>
        <w:t>الشيخ</w:t>
      </w:r>
      <w:r w:rsidRPr="00B5080E">
        <w:rPr>
          <w:rtl/>
        </w:rPr>
        <w:t xml:space="preserve"> </w:t>
      </w:r>
      <w:r w:rsidRPr="00B5080E">
        <w:rPr>
          <w:rFonts w:hint="eastAsia"/>
          <w:rtl/>
        </w:rPr>
        <w:t>جعفر</w:t>
      </w:r>
      <w:r w:rsidRPr="00B5080E">
        <w:rPr>
          <w:rtl/>
        </w:rPr>
        <w:t xml:space="preserve"> </w:t>
      </w:r>
      <w:r w:rsidRPr="00B5080E">
        <w:rPr>
          <w:rFonts w:hint="eastAsia"/>
          <w:rtl/>
        </w:rPr>
        <w:t>السبحاني،</w:t>
      </w:r>
      <w:r w:rsidRPr="00B5080E">
        <w:rPr>
          <w:rtl/>
        </w:rPr>
        <w:t xml:space="preserve"> (</w:t>
      </w:r>
      <w:r w:rsidRPr="00B5080E">
        <w:rPr>
          <w:rFonts w:hint="cs"/>
          <w:rtl/>
        </w:rPr>
        <w:t>إ</w:t>
      </w:r>
      <w:r w:rsidRPr="00B5080E">
        <w:rPr>
          <w:rFonts w:hint="eastAsia"/>
          <w:rtl/>
        </w:rPr>
        <w:t>صفهان،</w:t>
      </w:r>
      <w:r w:rsidRPr="00B5080E">
        <w:rPr>
          <w:rtl/>
        </w:rPr>
        <w:t xml:space="preserve"> 1401).</w:t>
      </w:r>
    </w:p>
    <w:p w:rsidR="00EA09EB" w:rsidRPr="00B5080E" w:rsidRDefault="00EA09EB" w:rsidP="00B5080E">
      <w:r w:rsidRPr="00B5080E">
        <w:rPr>
          <w:rFonts w:hint="cs"/>
          <w:rtl/>
        </w:rPr>
        <w:t xml:space="preserve">ـ </w:t>
      </w:r>
      <w:r w:rsidRPr="00B5080E">
        <w:rPr>
          <w:rFonts w:hint="eastAsia"/>
          <w:rtl/>
        </w:rPr>
        <w:t>حاج</w:t>
      </w:r>
      <w:r w:rsidRPr="00B5080E">
        <w:rPr>
          <w:rtl/>
        </w:rPr>
        <w:t xml:space="preserve"> </w:t>
      </w:r>
      <w:r w:rsidRPr="00B5080E">
        <w:rPr>
          <w:rFonts w:hint="eastAsia"/>
          <w:rtl/>
        </w:rPr>
        <w:t>آقا</w:t>
      </w:r>
      <w:r w:rsidRPr="00B5080E">
        <w:rPr>
          <w:rtl/>
        </w:rPr>
        <w:t xml:space="preserve"> </w:t>
      </w:r>
      <w:r w:rsidRPr="00B5080E">
        <w:rPr>
          <w:rFonts w:hint="eastAsia"/>
          <w:rtl/>
        </w:rPr>
        <w:t>رضا</w:t>
      </w:r>
      <w:r w:rsidRPr="00B5080E">
        <w:rPr>
          <w:rtl/>
        </w:rPr>
        <w:t xml:space="preserve"> </w:t>
      </w:r>
      <w:r w:rsidRPr="00B5080E">
        <w:rPr>
          <w:rFonts w:hint="eastAsia"/>
          <w:rtl/>
        </w:rPr>
        <w:t>الهمداني،</w:t>
      </w:r>
      <w:r w:rsidRPr="00B5080E">
        <w:rPr>
          <w:rtl/>
        </w:rPr>
        <w:t xml:space="preserve"> </w:t>
      </w:r>
      <w:r w:rsidRPr="00B5080E">
        <w:rPr>
          <w:rFonts w:hint="eastAsia"/>
          <w:rtl/>
        </w:rPr>
        <w:t>مصباح</w:t>
      </w:r>
      <w:r w:rsidRPr="00B5080E">
        <w:rPr>
          <w:rFonts w:hint="cs"/>
          <w:rtl/>
        </w:rPr>
        <w:t xml:space="preserve"> </w:t>
      </w:r>
      <w:r w:rsidRPr="00B5080E">
        <w:rPr>
          <w:rtl/>
        </w:rPr>
        <w:t>‏</w:t>
      </w:r>
      <w:r w:rsidRPr="00B5080E">
        <w:rPr>
          <w:rFonts w:hint="eastAsia"/>
          <w:rtl/>
        </w:rPr>
        <w:t>الفقيه،</w:t>
      </w:r>
      <w:r w:rsidRPr="00B5080E">
        <w:rPr>
          <w:rtl/>
        </w:rPr>
        <w:t xml:space="preserve"> </w:t>
      </w:r>
      <w:r w:rsidRPr="00B5080E">
        <w:rPr>
          <w:rFonts w:hint="eastAsia"/>
          <w:rtl/>
        </w:rPr>
        <w:t>مجلد</w:t>
      </w:r>
      <w:r w:rsidRPr="00B5080E">
        <w:rPr>
          <w:rtl/>
        </w:rPr>
        <w:t xml:space="preserve"> 14</w:t>
      </w:r>
      <w:r w:rsidRPr="00B5080E">
        <w:rPr>
          <w:rFonts w:hint="eastAsia"/>
          <w:rtl/>
        </w:rPr>
        <w:t>،</w:t>
      </w:r>
      <w:r w:rsidRPr="00B5080E">
        <w:rPr>
          <w:rtl/>
        </w:rPr>
        <w:t xml:space="preserve"> </w:t>
      </w:r>
      <w:r w:rsidRPr="00B5080E">
        <w:rPr>
          <w:rFonts w:hint="eastAsia"/>
          <w:rtl/>
        </w:rPr>
        <w:t>كتاب</w:t>
      </w:r>
      <w:r w:rsidRPr="00B5080E">
        <w:rPr>
          <w:rFonts w:hint="cs"/>
          <w:rtl/>
        </w:rPr>
        <w:t xml:space="preserve"> </w:t>
      </w:r>
      <w:r w:rsidRPr="00B5080E">
        <w:rPr>
          <w:rFonts w:hint="eastAsia"/>
          <w:rtl/>
        </w:rPr>
        <w:t>الخمس،</w:t>
      </w:r>
      <w:r w:rsidRPr="00B5080E">
        <w:rPr>
          <w:rtl/>
        </w:rPr>
        <w:t xml:space="preserve"> (</w:t>
      </w:r>
      <w:r w:rsidRPr="00B5080E">
        <w:rPr>
          <w:rFonts w:hint="eastAsia"/>
          <w:rtl/>
        </w:rPr>
        <w:t>قم،</w:t>
      </w:r>
      <w:r w:rsidRPr="00B5080E">
        <w:rPr>
          <w:rtl/>
        </w:rPr>
        <w:t xml:space="preserve"> 1416</w:t>
      </w:r>
      <w:r w:rsidRPr="00B5080E">
        <w:rPr>
          <w:rFonts w:hint="cs"/>
          <w:rtl/>
        </w:rPr>
        <w:t>هـ</w:t>
      </w:r>
      <w:r w:rsidRPr="00B5080E">
        <w:rPr>
          <w:rtl/>
        </w:rPr>
        <w:t>).</w:t>
      </w:r>
    </w:p>
    <w:p w:rsidR="00EA09EB" w:rsidRPr="00B5080E" w:rsidRDefault="00EA09EB" w:rsidP="00B5080E">
      <w:pPr>
        <w:rPr>
          <w:rtl/>
        </w:rPr>
      </w:pPr>
      <w:r w:rsidRPr="00B5080E">
        <w:rPr>
          <w:rFonts w:hint="cs"/>
          <w:rtl/>
        </w:rPr>
        <w:t xml:space="preserve">ـ </w:t>
      </w:r>
      <w:r w:rsidRPr="00B5080E">
        <w:rPr>
          <w:rFonts w:hint="eastAsia"/>
          <w:rtl/>
        </w:rPr>
        <w:t>السيد</w:t>
      </w:r>
      <w:r w:rsidRPr="00B5080E">
        <w:rPr>
          <w:rtl/>
        </w:rPr>
        <w:t xml:space="preserve"> </w:t>
      </w:r>
      <w:r w:rsidRPr="00B5080E">
        <w:rPr>
          <w:rFonts w:hint="eastAsia"/>
          <w:rtl/>
        </w:rPr>
        <w:t>محمّد</w:t>
      </w:r>
      <w:r w:rsidRPr="00B5080E">
        <w:rPr>
          <w:rtl/>
        </w:rPr>
        <w:t xml:space="preserve"> </w:t>
      </w:r>
      <w:r w:rsidRPr="00B5080E">
        <w:rPr>
          <w:rFonts w:hint="eastAsia"/>
          <w:rtl/>
        </w:rPr>
        <w:t>كاظم</w:t>
      </w:r>
      <w:r w:rsidRPr="00B5080E">
        <w:rPr>
          <w:rtl/>
        </w:rPr>
        <w:t xml:space="preserve"> </w:t>
      </w:r>
      <w:r w:rsidRPr="00B5080E">
        <w:rPr>
          <w:rFonts w:hint="eastAsia"/>
          <w:rtl/>
        </w:rPr>
        <w:t>الطباطبائي</w:t>
      </w:r>
      <w:r w:rsidRPr="00B5080E">
        <w:rPr>
          <w:rtl/>
        </w:rPr>
        <w:t xml:space="preserve"> </w:t>
      </w:r>
      <w:r w:rsidRPr="00B5080E">
        <w:rPr>
          <w:rFonts w:hint="eastAsia"/>
          <w:rtl/>
        </w:rPr>
        <w:t>اليزدي،</w:t>
      </w:r>
      <w:r w:rsidRPr="00B5080E">
        <w:rPr>
          <w:rtl/>
        </w:rPr>
        <w:t xml:space="preserve"> </w:t>
      </w:r>
      <w:r w:rsidRPr="00B5080E">
        <w:rPr>
          <w:rFonts w:hint="eastAsia"/>
          <w:rtl/>
        </w:rPr>
        <w:t>العروة</w:t>
      </w:r>
      <w:r w:rsidRPr="00B5080E">
        <w:rPr>
          <w:rtl/>
        </w:rPr>
        <w:t xml:space="preserve"> </w:t>
      </w:r>
      <w:r w:rsidRPr="00B5080E">
        <w:rPr>
          <w:rFonts w:hint="eastAsia"/>
          <w:rtl/>
        </w:rPr>
        <w:t>الوثقى،</w:t>
      </w:r>
      <w:r w:rsidRPr="00B5080E">
        <w:rPr>
          <w:rtl/>
        </w:rPr>
        <w:t xml:space="preserve"> 2 </w:t>
      </w:r>
      <w:r w:rsidRPr="00B5080E">
        <w:rPr>
          <w:rFonts w:hint="eastAsia"/>
          <w:rtl/>
        </w:rPr>
        <w:t>مجلد</w:t>
      </w:r>
      <w:r w:rsidRPr="00B5080E">
        <w:rPr>
          <w:rtl/>
        </w:rPr>
        <w:t xml:space="preserve"> (</w:t>
      </w:r>
      <w:r w:rsidRPr="00B5080E">
        <w:rPr>
          <w:rFonts w:hint="eastAsia"/>
          <w:rtl/>
        </w:rPr>
        <w:t>طهران،</w:t>
      </w:r>
      <w:r w:rsidRPr="00B5080E">
        <w:rPr>
          <w:rtl/>
        </w:rPr>
        <w:t xml:space="preserve"> 1399</w:t>
      </w:r>
      <w:r w:rsidRPr="00B5080E">
        <w:rPr>
          <w:rFonts w:hint="cs"/>
          <w:rtl/>
        </w:rPr>
        <w:t>هـ</w:t>
      </w:r>
      <w:r w:rsidRPr="00B5080E">
        <w:rPr>
          <w:rtl/>
        </w:rPr>
        <w:t>).</w:t>
      </w:r>
    </w:p>
    <w:p w:rsidR="00EA09EB" w:rsidRPr="00B5080E" w:rsidRDefault="00EA09EB" w:rsidP="00B5080E">
      <w:r w:rsidRPr="00B5080E">
        <w:rPr>
          <w:rFonts w:hint="eastAsia"/>
          <w:rtl/>
        </w:rPr>
        <w:t>ب</w:t>
      </w:r>
      <w:r w:rsidRPr="00B5080E">
        <w:rPr>
          <w:rFonts w:hint="cs"/>
          <w:rtl/>
        </w:rPr>
        <w:t xml:space="preserve"> ـ</w:t>
      </w:r>
      <w:r w:rsidRPr="00B5080E">
        <w:rPr>
          <w:rtl/>
        </w:rPr>
        <w:t xml:space="preserve"> </w:t>
      </w:r>
      <w:r w:rsidRPr="00B5080E">
        <w:rPr>
          <w:rFonts w:hint="eastAsia"/>
          <w:rtl/>
        </w:rPr>
        <w:t>الكتب</w:t>
      </w:r>
      <w:r w:rsidRPr="00B5080E">
        <w:rPr>
          <w:rtl/>
        </w:rPr>
        <w:t xml:space="preserve"> </w:t>
      </w:r>
      <w:r w:rsidRPr="00B5080E">
        <w:rPr>
          <w:rFonts w:hint="eastAsia"/>
          <w:rtl/>
        </w:rPr>
        <w:t>الفارسية</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آذر</w:t>
      </w:r>
      <w:r w:rsidRPr="00B5080E">
        <w:rPr>
          <w:rFonts w:hint="cs"/>
          <w:rtl/>
        </w:rPr>
        <w:t>ي</w:t>
      </w:r>
      <w:r w:rsidRPr="00B5080E">
        <w:rPr>
          <w:rtl/>
        </w:rPr>
        <w:t xml:space="preserve"> </w:t>
      </w:r>
      <w:r w:rsidRPr="00B5080E">
        <w:rPr>
          <w:rFonts w:hint="eastAsia"/>
          <w:rtl/>
        </w:rPr>
        <w:t>قمي،</w:t>
      </w:r>
      <w:r w:rsidRPr="00B5080E">
        <w:rPr>
          <w:rtl/>
        </w:rPr>
        <w:t xml:space="preserve"> </w:t>
      </w:r>
      <w:r w:rsidRPr="00B5080E">
        <w:rPr>
          <w:rFonts w:hint="eastAsia"/>
          <w:rtl/>
        </w:rPr>
        <w:t>پرسش</w:t>
      </w:r>
      <w:r w:rsidRPr="00B5080E">
        <w:rPr>
          <w:rtl/>
        </w:rPr>
        <w:t xml:space="preserve"> </w:t>
      </w:r>
      <w:r w:rsidRPr="00B5080E">
        <w:rPr>
          <w:rFonts w:hint="eastAsia"/>
          <w:rtl/>
        </w:rPr>
        <w:t>وپاسخها</w:t>
      </w:r>
      <w:r w:rsidRPr="00B5080E">
        <w:rPr>
          <w:rFonts w:hint="cs"/>
          <w:rtl/>
        </w:rPr>
        <w:t>ي</w:t>
      </w:r>
      <w:r w:rsidRPr="00B5080E">
        <w:rPr>
          <w:rtl/>
        </w:rPr>
        <w:t xml:space="preserve"> </w:t>
      </w:r>
      <w:r w:rsidRPr="00B5080E">
        <w:rPr>
          <w:rFonts w:hint="eastAsia"/>
          <w:rtl/>
        </w:rPr>
        <w:t>مذهب</w:t>
      </w:r>
      <w:r w:rsidRPr="00B5080E">
        <w:rPr>
          <w:rFonts w:hint="cs"/>
          <w:rtl/>
        </w:rPr>
        <w:t>ي</w:t>
      </w:r>
      <w:r w:rsidRPr="00B5080E">
        <w:rPr>
          <w:rFonts w:hint="eastAsia"/>
          <w:rtl/>
        </w:rPr>
        <w:t>،</w:t>
      </w:r>
      <w:r w:rsidRPr="00B5080E">
        <w:rPr>
          <w:rtl/>
        </w:rPr>
        <w:t xml:space="preserve"> </w:t>
      </w:r>
      <w:r w:rsidRPr="00B5080E">
        <w:rPr>
          <w:rFonts w:hint="eastAsia"/>
          <w:rtl/>
        </w:rPr>
        <w:t>سياس</w:t>
      </w:r>
      <w:r w:rsidRPr="00B5080E">
        <w:rPr>
          <w:rFonts w:hint="cs"/>
          <w:rtl/>
        </w:rPr>
        <w:t>ي</w:t>
      </w:r>
      <w:r w:rsidRPr="00B5080E">
        <w:rPr>
          <w:rFonts w:hint="eastAsia"/>
          <w:rtl/>
        </w:rPr>
        <w:t>،</w:t>
      </w:r>
      <w:r w:rsidRPr="00B5080E">
        <w:rPr>
          <w:rtl/>
        </w:rPr>
        <w:t xml:space="preserve"> </w:t>
      </w:r>
      <w:r w:rsidRPr="00B5080E">
        <w:rPr>
          <w:rFonts w:hint="eastAsia"/>
          <w:rtl/>
        </w:rPr>
        <w:t>اجتماع</w:t>
      </w:r>
      <w:r w:rsidRPr="00B5080E">
        <w:rPr>
          <w:rFonts w:hint="cs"/>
          <w:rtl/>
        </w:rPr>
        <w:t>ي</w:t>
      </w:r>
      <w:r w:rsidRPr="00B5080E">
        <w:rPr>
          <w:rtl/>
        </w:rPr>
        <w:t>... (</w:t>
      </w:r>
      <w:r w:rsidRPr="00B5080E">
        <w:rPr>
          <w:rFonts w:hint="eastAsia"/>
          <w:rtl/>
        </w:rPr>
        <w:t>قم،</w:t>
      </w:r>
      <w:r w:rsidRPr="00B5080E">
        <w:rPr>
          <w:rtl/>
        </w:rPr>
        <w:t xml:space="preserve"> 1372).</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أ</w:t>
      </w:r>
      <w:r w:rsidRPr="00B5080E">
        <w:rPr>
          <w:rFonts w:hint="eastAsia"/>
          <w:rtl/>
        </w:rPr>
        <w:t>حمد</w:t>
      </w:r>
      <w:r w:rsidRPr="00B5080E">
        <w:rPr>
          <w:rtl/>
        </w:rPr>
        <w:t xml:space="preserve"> </w:t>
      </w:r>
      <w:r w:rsidRPr="00B5080E">
        <w:rPr>
          <w:rFonts w:hint="eastAsia"/>
          <w:rtl/>
        </w:rPr>
        <w:t>آذر</w:t>
      </w:r>
      <w:r w:rsidRPr="00B5080E">
        <w:rPr>
          <w:rFonts w:hint="cs"/>
          <w:rtl/>
        </w:rPr>
        <w:t>ي</w:t>
      </w:r>
      <w:r w:rsidRPr="00B5080E">
        <w:rPr>
          <w:rtl/>
        </w:rPr>
        <w:t xml:space="preserve"> </w:t>
      </w:r>
      <w:r w:rsidRPr="00B5080E">
        <w:rPr>
          <w:rFonts w:hint="eastAsia"/>
          <w:rtl/>
        </w:rPr>
        <w:t>قمي،</w:t>
      </w:r>
      <w:r w:rsidRPr="00B5080E">
        <w:rPr>
          <w:rtl/>
        </w:rPr>
        <w:t xml:space="preserve"> </w:t>
      </w:r>
      <w:r w:rsidRPr="00B5080E">
        <w:rPr>
          <w:rFonts w:hint="eastAsia"/>
          <w:rtl/>
        </w:rPr>
        <w:t>ولايت</w:t>
      </w:r>
      <w:r w:rsidRPr="00B5080E">
        <w:rPr>
          <w:rtl/>
        </w:rPr>
        <w:t xml:space="preserve"> </w:t>
      </w:r>
      <w:r w:rsidRPr="00B5080E">
        <w:rPr>
          <w:rFonts w:hint="eastAsia"/>
          <w:rtl/>
        </w:rPr>
        <w:t>فقيه</w:t>
      </w:r>
      <w:r w:rsidRPr="00B5080E">
        <w:rPr>
          <w:rtl/>
        </w:rPr>
        <w:t xml:space="preserve"> </w:t>
      </w:r>
      <w:r w:rsidRPr="00B5080E">
        <w:rPr>
          <w:rFonts w:hint="cs"/>
          <w:rtl/>
        </w:rPr>
        <w:t>أ</w:t>
      </w:r>
      <w:r w:rsidRPr="00B5080E">
        <w:rPr>
          <w:rFonts w:hint="eastAsia"/>
          <w:rtl/>
        </w:rPr>
        <w:t>ز</w:t>
      </w:r>
      <w:r w:rsidRPr="00B5080E">
        <w:rPr>
          <w:rtl/>
        </w:rPr>
        <w:t xml:space="preserve"> </w:t>
      </w:r>
      <w:r w:rsidRPr="00B5080E">
        <w:rPr>
          <w:rFonts w:hint="eastAsia"/>
          <w:rtl/>
        </w:rPr>
        <w:t>ديدگاه</w:t>
      </w:r>
      <w:r w:rsidRPr="00B5080E">
        <w:rPr>
          <w:rtl/>
        </w:rPr>
        <w:t xml:space="preserve"> </w:t>
      </w:r>
      <w:r w:rsidRPr="00B5080E">
        <w:rPr>
          <w:rFonts w:hint="eastAsia"/>
          <w:rtl/>
        </w:rPr>
        <w:t>قرآن</w:t>
      </w:r>
      <w:r w:rsidRPr="00B5080E">
        <w:rPr>
          <w:rtl/>
        </w:rPr>
        <w:t xml:space="preserve"> </w:t>
      </w:r>
      <w:r w:rsidRPr="00B5080E">
        <w:rPr>
          <w:rFonts w:hint="eastAsia"/>
          <w:rtl/>
        </w:rPr>
        <w:t>كريم،</w:t>
      </w:r>
      <w:r w:rsidRPr="00B5080E">
        <w:rPr>
          <w:rtl/>
        </w:rPr>
        <w:t xml:space="preserve"> (</w:t>
      </w:r>
      <w:r w:rsidRPr="00B5080E">
        <w:rPr>
          <w:rFonts w:hint="eastAsia"/>
          <w:rtl/>
        </w:rPr>
        <w:t>قم،</w:t>
      </w:r>
      <w:r w:rsidRPr="00B5080E">
        <w:rPr>
          <w:rtl/>
        </w:rPr>
        <w:t xml:space="preserve"> 1373).</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جلال</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آشتيان</w:t>
      </w:r>
      <w:r w:rsidRPr="00B5080E">
        <w:rPr>
          <w:rFonts w:hint="cs"/>
          <w:rtl/>
        </w:rPr>
        <w:t>ي</w:t>
      </w:r>
      <w:r w:rsidRPr="00B5080E">
        <w:rPr>
          <w:rFonts w:hint="eastAsia"/>
          <w:rtl/>
        </w:rPr>
        <w:t>،</w:t>
      </w:r>
      <w:r w:rsidRPr="00B5080E">
        <w:rPr>
          <w:rtl/>
        </w:rPr>
        <w:t xml:space="preserve"> </w:t>
      </w:r>
      <w:r w:rsidRPr="00B5080E">
        <w:rPr>
          <w:rFonts w:hint="eastAsia"/>
          <w:rtl/>
        </w:rPr>
        <w:t>شرح</w:t>
      </w:r>
      <w:r w:rsidRPr="00B5080E">
        <w:rPr>
          <w:rtl/>
        </w:rPr>
        <w:t xml:space="preserve"> </w:t>
      </w:r>
      <w:r w:rsidRPr="00B5080E">
        <w:rPr>
          <w:rFonts w:hint="eastAsia"/>
          <w:rtl/>
        </w:rPr>
        <w:t>مقدّمه</w:t>
      </w:r>
      <w:r w:rsidRPr="00B5080E">
        <w:rPr>
          <w:rtl/>
        </w:rPr>
        <w:t xml:space="preserve"> </w:t>
      </w:r>
      <w:r w:rsidRPr="00B5080E">
        <w:rPr>
          <w:rFonts w:hint="eastAsia"/>
          <w:rtl/>
        </w:rPr>
        <w:t>قيصر</w:t>
      </w:r>
      <w:r w:rsidRPr="00B5080E">
        <w:rPr>
          <w:rFonts w:hint="cs"/>
          <w:rtl/>
        </w:rPr>
        <w:t>ي</w:t>
      </w:r>
      <w:r w:rsidRPr="00B5080E">
        <w:rPr>
          <w:rtl/>
        </w:rPr>
        <w:t xml:space="preserve"> </w:t>
      </w:r>
      <w:r w:rsidRPr="00B5080E">
        <w:rPr>
          <w:rFonts w:hint="eastAsia"/>
          <w:rtl/>
        </w:rPr>
        <w:t>بر</w:t>
      </w:r>
      <w:r w:rsidRPr="00B5080E">
        <w:rPr>
          <w:rtl/>
        </w:rPr>
        <w:t xml:space="preserve"> </w:t>
      </w:r>
      <w:r w:rsidRPr="00B5080E">
        <w:rPr>
          <w:rFonts w:hint="eastAsia"/>
          <w:rtl/>
        </w:rPr>
        <w:t>فصوص</w:t>
      </w:r>
      <w:r w:rsidRPr="00B5080E">
        <w:rPr>
          <w:rtl/>
        </w:rPr>
        <w:t xml:space="preserve"> </w:t>
      </w:r>
      <w:r w:rsidRPr="00B5080E">
        <w:rPr>
          <w:rFonts w:hint="eastAsia"/>
          <w:rtl/>
        </w:rPr>
        <w:t>الحكم،</w:t>
      </w:r>
      <w:r w:rsidRPr="00B5080E">
        <w:rPr>
          <w:rtl/>
        </w:rPr>
        <w:t xml:space="preserve"> (</w:t>
      </w:r>
      <w:r w:rsidRPr="00B5080E">
        <w:rPr>
          <w:rFonts w:hint="eastAsia"/>
          <w:rtl/>
        </w:rPr>
        <w:t>قم،</w:t>
      </w:r>
      <w:r w:rsidRPr="00B5080E">
        <w:rPr>
          <w:rtl/>
        </w:rPr>
        <w:t xml:space="preserve"> 1365</w:t>
      </w:r>
      <w:r w:rsidRPr="00B5080E">
        <w:rPr>
          <w:rFonts w:hint="cs"/>
          <w:rtl/>
        </w:rPr>
        <w:t>هـ.ش</w:t>
      </w:r>
      <w:r w:rsidRPr="00B5080E">
        <w:rPr>
          <w:rtl/>
        </w:rPr>
        <w:t>).</w:t>
      </w:r>
    </w:p>
    <w:p w:rsidR="00EA09EB" w:rsidRPr="00B5080E" w:rsidRDefault="00EA09EB" w:rsidP="00B5080E">
      <w:r w:rsidRPr="00B5080E">
        <w:rPr>
          <w:rFonts w:hint="cs"/>
          <w:rtl/>
        </w:rPr>
        <w:t>ـ أ</w:t>
      </w:r>
      <w:r w:rsidRPr="00B5080E">
        <w:rPr>
          <w:rFonts w:hint="eastAsia"/>
          <w:rtl/>
        </w:rPr>
        <w:t>سناد</w:t>
      </w:r>
      <w:r w:rsidRPr="00B5080E">
        <w:rPr>
          <w:rtl/>
        </w:rPr>
        <w:t xml:space="preserve"> </w:t>
      </w:r>
      <w:r w:rsidRPr="00B5080E">
        <w:rPr>
          <w:rFonts w:hint="eastAsia"/>
          <w:rtl/>
        </w:rPr>
        <w:t>انقلاب</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Fonts w:hint="eastAsia"/>
          <w:rtl/>
        </w:rPr>
        <w:t>،</w:t>
      </w:r>
      <w:r w:rsidRPr="00B5080E">
        <w:rPr>
          <w:rtl/>
        </w:rPr>
        <w:t xml:space="preserve"> 5 </w:t>
      </w:r>
      <w:r w:rsidRPr="00B5080E">
        <w:rPr>
          <w:rFonts w:hint="eastAsia"/>
          <w:rtl/>
        </w:rPr>
        <w:t>مجلدات،</w:t>
      </w:r>
      <w:r w:rsidRPr="00B5080E">
        <w:rPr>
          <w:rtl/>
        </w:rPr>
        <w:t xml:space="preserve"> </w:t>
      </w:r>
      <w:r w:rsidRPr="00B5080E">
        <w:rPr>
          <w:rFonts w:hint="eastAsia"/>
          <w:rtl/>
        </w:rPr>
        <w:t>مركز</w:t>
      </w:r>
      <w:r w:rsidRPr="00B5080E">
        <w:rPr>
          <w:rtl/>
        </w:rPr>
        <w:t xml:space="preserve"> </w:t>
      </w:r>
      <w:r w:rsidRPr="00B5080E">
        <w:rPr>
          <w:rFonts w:hint="cs"/>
          <w:rtl/>
        </w:rPr>
        <w:t>أ</w:t>
      </w:r>
      <w:r w:rsidRPr="00B5080E">
        <w:rPr>
          <w:rFonts w:hint="eastAsia"/>
          <w:rtl/>
        </w:rPr>
        <w:t>سناد</w:t>
      </w:r>
      <w:r w:rsidRPr="00B5080E">
        <w:rPr>
          <w:rtl/>
        </w:rPr>
        <w:t xml:space="preserve"> </w:t>
      </w:r>
      <w:r w:rsidRPr="00B5080E">
        <w:rPr>
          <w:rFonts w:hint="eastAsia"/>
          <w:rtl/>
        </w:rPr>
        <w:t>انقلاب</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1374</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دوره</w:t>
      </w:r>
      <w:r w:rsidRPr="00B5080E">
        <w:rPr>
          <w:rtl/>
        </w:rPr>
        <w:t xml:space="preserve"> </w:t>
      </w:r>
      <w:r w:rsidRPr="00B5080E">
        <w:rPr>
          <w:rFonts w:hint="eastAsia"/>
          <w:rtl/>
        </w:rPr>
        <w:t>آثار</w:t>
      </w:r>
      <w:r w:rsidRPr="00B5080E">
        <w:rPr>
          <w:rtl/>
        </w:rPr>
        <w:t xml:space="preserve"> </w:t>
      </w:r>
      <w:r w:rsidRPr="00B5080E">
        <w:rPr>
          <w:rFonts w:hint="cs"/>
          <w:rtl/>
        </w:rPr>
        <w:t>أ</w:t>
      </w:r>
      <w:r w:rsidRPr="00B5080E">
        <w:rPr>
          <w:rFonts w:hint="eastAsia"/>
          <w:rtl/>
        </w:rPr>
        <w:t>فلاطون،</w:t>
      </w:r>
      <w:r w:rsidRPr="00B5080E">
        <w:rPr>
          <w:rtl/>
        </w:rPr>
        <w:t xml:space="preserve"> </w:t>
      </w:r>
      <w:r w:rsidRPr="00B5080E">
        <w:rPr>
          <w:rFonts w:hint="eastAsia"/>
          <w:rtl/>
        </w:rPr>
        <w:t>ترجمه</w:t>
      </w:r>
      <w:r w:rsidRPr="00B5080E">
        <w:rPr>
          <w:rFonts w:hint="cs"/>
          <w:rtl/>
        </w:rPr>
        <w:t>:</w:t>
      </w:r>
      <w:r w:rsidRPr="00B5080E">
        <w:rPr>
          <w:rtl/>
        </w:rPr>
        <w:t xml:space="preserve"> </w:t>
      </w:r>
      <w:r w:rsidRPr="00B5080E">
        <w:rPr>
          <w:rFonts w:hint="eastAsia"/>
          <w:rtl/>
        </w:rPr>
        <w:t>محمّد</w:t>
      </w:r>
      <w:r w:rsidRPr="00B5080E">
        <w:rPr>
          <w:rFonts w:hint="cs"/>
          <w:rtl/>
        </w:rPr>
        <w:t xml:space="preserve"> </w:t>
      </w:r>
      <w:r w:rsidRPr="00B5080E">
        <w:rPr>
          <w:rFonts w:hint="eastAsia"/>
          <w:rtl/>
        </w:rPr>
        <w:t>حسن</w:t>
      </w:r>
      <w:r w:rsidRPr="00B5080E">
        <w:rPr>
          <w:rtl/>
        </w:rPr>
        <w:t xml:space="preserve"> </w:t>
      </w:r>
      <w:r w:rsidRPr="00B5080E">
        <w:rPr>
          <w:rFonts w:hint="eastAsia"/>
          <w:rtl/>
        </w:rPr>
        <w:t>لطف</w:t>
      </w:r>
      <w:r w:rsidRPr="00B5080E">
        <w:rPr>
          <w:rFonts w:hint="cs"/>
          <w:rtl/>
        </w:rPr>
        <w:t>ي</w:t>
      </w:r>
      <w:r w:rsidRPr="00B5080E">
        <w:rPr>
          <w:rFonts w:hint="eastAsia"/>
          <w:rtl/>
        </w:rPr>
        <w:t>،</w:t>
      </w:r>
      <w:r w:rsidRPr="00B5080E">
        <w:rPr>
          <w:rtl/>
        </w:rPr>
        <w:t xml:space="preserve"> 4 </w:t>
      </w:r>
      <w:r w:rsidRPr="00B5080E">
        <w:rPr>
          <w:rFonts w:hint="eastAsia"/>
          <w:rtl/>
        </w:rPr>
        <w:t>مجلد،</w:t>
      </w:r>
      <w:r w:rsidRPr="00B5080E">
        <w:rPr>
          <w:rtl/>
        </w:rPr>
        <w:t xml:space="preserve"> </w:t>
      </w:r>
      <w:r w:rsidRPr="00B5080E">
        <w:rPr>
          <w:rFonts w:hint="eastAsia"/>
          <w:rtl/>
        </w:rPr>
        <w:t>الطبعة</w:t>
      </w:r>
      <w:r w:rsidRPr="00B5080E">
        <w:rPr>
          <w:rtl/>
        </w:rPr>
        <w:t xml:space="preserve"> </w:t>
      </w:r>
      <w:r w:rsidRPr="00B5080E">
        <w:rPr>
          <w:rFonts w:hint="eastAsia"/>
          <w:rtl/>
        </w:rPr>
        <w:t>الثانية،</w:t>
      </w:r>
      <w:r w:rsidRPr="00B5080E">
        <w:rPr>
          <w:rtl/>
        </w:rPr>
        <w:t xml:space="preserve"> (</w:t>
      </w:r>
      <w:r w:rsidRPr="00B5080E">
        <w:rPr>
          <w:rFonts w:hint="eastAsia"/>
          <w:rtl/>
        </w:rPr>
        <w:t>طهران،</w:t>
      </w:r>
      <w:r w:rsidRPr="00B5080E">
        <w:rPr>
          <w:rtl/>
        </w:rPr>
        <w:t xml:space="preserve"> 1366).</w:t>
      </w:r>
    </w:p>
    <w:p w:rsidR="00EA09EB" w:rsidRPr="00B5080E" w:rsidRDefault="00EA09EB" w:rsidP="00B5080E">
      <w:r w:rsidRPr="00B5080E">
        <w:rPr>
          <w:rFonts w:hint="cs"/>
          <w:rtl/>
        </w:rPr>
        <w:t xml:space="preserve">ـ </w:t>
      </w:r>
      <w:r w:rsidRPr="00B5080E">
        <w:rPr>
          <w:rFonts w:hint="eastAsia"/>
          <w:rtl/>
        </w:rPr>
        <w:t>محمد</w:t>
      </w:r>
      <w:r w:rsidRPr="00B5080E">
        <w:rPr>
          <w:rtl/>
        </w:rPr>
        <w:t xml:space="preserve"> </w:t>
      </w:r>
      <w:r w:rsidRPr="00B5080E">
        <w:rPr>
          <w:rFonts w:hint="eastAsia"/>
          <w:rtl/>
        </w:rPr>
        <w:t>تركمان</w:t>
      </w:r>
      <w:r w:rsidRPr="00B5080E">
        <w:rPr>
          <w:rtl/>
        </w:rPr>
        <w:t xml:space="preserve"> (</w:t>
      </w:r>
      <w:r w:rsidRPr="00B5080E">
        <w:rPr>
          <w:rFonts w:hint="cs"/>
          <w:rtl/>
        </w:rPr>
        <w:t>إ</w:t>
      </w:r>
      <w:r w:rsidRPr="00B5080E">
        <w:rPr>
          <w:rFonts w:hint="eastAsia"/>
          <w:rtl/>
        </w:rPr>
        <w:t>عداد</w:t>
      </w:r>
      <w:r w:rsidRPr="00B5080E">
        <w:rPr>
          <w:rtl/>
        </w:rPr>
        <w:t xml:space="preserve"> </w:t>
      </w:r>
      <w:r w:rsidRPr="00B5080E">
        <w:rPr>
          <w:rFonts w:hint="eastAsia"/>
          <w:rtl/>
        </w:rPr>
        <w:t>وتنظيم</w:t>
      </w:r>
      <w:r w:rsidRPr="00B5080E">
        <w:rPr>
          <w:rtl/>
        </w:rPr>
        <w:t>)</w:t>
      </w:r>
      <w:r w:rsidRPr="00B5080E">
        <w:rPr>
          <w:rFonts w:hint="eastAsia"/>
          <w:rtl/>
        </w:rPr>
        <w:t>،</w:t>
      </w:r>
      <w:r w:rsidRPr="00B5080E">
        <w:rPr>
          <w:rtl/>
        </w:rPr>
        <w:t xml:space="preserve"> </w:t>
      </w:r>
      <w:r w:rsidRPr="00B5080E">
        <w:rPr>
          <w:rFonts w:hint="eastAsia"/>
          <w:rtl/>
        </w:rPr>
        <w:t>رسائل،</w:t>
      </w:r>
      <w:r w:rsidRPr="00B5080E">
        <w:rPr>
          <w:rtl/>
        </w:rPr>
        <w:t xml:space="preserve"> </w:t>
      </w:r>
      <w:r w:rsidRPr="00B5080E">
        <w:rPr>
          <w:rFonts w:hint="cs"/>
          <w:rtl/>
        </w:rPr>
        <w:t>إ</w:t>
      </w:r>
      <w:r w:rsidRPr="00B5080E">
        <w:rPr>
          <w:rFonts w:hint="eastAsia"/>
          <w:rtl/>
        </w:rPr>
        <w:t>علاميه</w:t>
      </w:r>
      <w:r w:rsidRPr="00B5080E">
        <w:rPr>
          <w:rtl/>
        </w:rPr>
        <w:t>‏</w:t>
      </w:r>
      <w:r w:rsidRPr="00B5080E">
        <w:rPr>
          <w:rFonts w:hint="eastAsia"/>
          <w:rtl/>
        </w:rPr>
        <w:t>ها،</w:t>
      </w:r>
      <w:r w:rsidRPr="00B5080E">
        <w:rPr>
          <w:rtl/>
        </w:rPr>
        <w:t xml:space="preserve"> </w:t>
      </w:r>
      <w:r w:rsidRPr="00B5080E">
        <w:rPr>
          <w:rFonts w:hint="eastAsia"/>
          <w:rtl/>
        </w:rPr>
        <w:t>مكتوبات</w:t>
      </w:r>
      <w:r w:rsidRPr="00B5080E">
        <w:rPr>
          <w:rFonts w:hint="cs"/>
          <w:rtl/>
        </w:rPr>
        <w:t>،</w:t>
      </w:r>
      <w:r w:rsidRPr="00B5080E">
        <w:rPr>
          <w:rtl/>
        </w:rPr>
        <w:t xml:space="preserve"> </w:t>
      </w:r>
      <w:r w:rsidRPr="00B5080E">
        <w:rPr>
          <w:rFonts w:hint="eastAsia"/>
          <w:rtl/>
        </w:rPr>
        <w:t>و</w:t>
      </w:r>
      <w:r w:rsidRPr="00B5080E">
        <w:rPr>
          <w:rtl/>
        </w:rPr>
        <w:t>...</w:t>
      </w:r>
      <w:r w:rsidRPr="00B5080E">
        <w:rPr>
          <w:rFonts w:hint="cs"/>
          <w:rtl/>
        </w:rPr>
        <w:t>،</w:t>
      </w:r>
      <w:r w:rsidRPr="00B5080E">
        <w:rPr>
          <w:rtl/>
        </w:rPr>
        <w:t xml:space="preserve"> </w:t>
      </w:r>
      <w:r w:rsidRPr="00B5080E">
        <w:rPr>
          <w:rFonts w:hint="eastAsia"/>
          <w:rtl/>
        </w:rPr>
        <w:t>روزنامه</w:t>
      </w:r>
      <w:r w:rsidRPr="00B5080E">
        <w:rPr>
          <w:rtl/>
        </w:rPr>
        <w:t xml:space="preserve"> </w:t>
      </w:r>
      <w:r w:rsidRPr="00B5080E">
        <w:rPr>
          <w:rFonts w:hint="eastAsia"/>
          <w:rtl/>
        </w:rPr>
        <w:t>الشيخ</w:t>
      </w:r>
      <w:r w:rsidRPr="00B5080E">
        <w:rPr>
          <w:rtl/>
        </w:rPr>
        <w:t xml:space="preserve"> </w:t>
      </w:r>
      <w:r w:rsidRPr="00B5080E">
        <w:rPr>
          <w:rFonts w:hint="eastAsia"/>
          <w:rtl/>
        </w:rPr>
        <w:t>شهيد</w:t>
      </w:r>
      <w:r w:rsidRPr="00B5080E">
        <w:rPr>
          <w:rtl/>
        </w:rPr>
        <w:t xml:space="preserve"> </w:t>
      </w:r>
      <w:r w:rsidRPr="00B5080E">
        <w:rPr>
          <w:rFonts w:hint="eastAsia"/>
          <w:rtl/>
        </w:rPr>
        <w:t>فضل</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نور</w:t>
      </w:r>
      <w:r w:rsidRPr="00B5080E">
        <w:rPr>
          <w:rFonts w:hint="cs"/>
          <w:rtl/>
        </w:rPr>
        <w:t>ي</w:t>
      </w:r>
      <w:r w:rsidRPr="00B5080E">
        <w:rPr>
          <w:rFonts w:hint="eastAsia"/>
          <w:rtl/>
        </w:rPr>
        <w:t>،</w:t>
      </w:r>
      <w:r w:rsidRPr="00B5080E">
        <w:rPr>
          <w:rtl/>
        </w:rPr>
        <w:t xml:space="preserve"> 2 </w:t>
      </w:r>
      <w:r w:rsidRPr="00B5080E">
        <w:rPr>
          <w:rFonts w:hint="eastAsia"/>
          <w:rtl/>
        </w:rPr>
        <w:t>مجلد،</w:t>
      </w:r>
      <w:r w:rsidRPr="00B5080E">
        <w:rPr>
          <w:rtl/>
        </w:rPr>
        <w:t xml:space="preserve"> (</w:t>
      </w:r>
      <w:r w:rsidRPr="00B5080E">
        <w:rPr>
          <w:rFonts w:hint="eastAsia"/>
          <w:rtl/>
        </w:rPr>
        <w:t>طهران</w:t>
      </w:r>
      <w:r w:rsidRPr="00B5080E">
        <w:rPr>
          <w:rtl/>
        </w:rPr>
        <w:t xml:space="preserve"> 1362).</w:t>
      </w:r>
    </w:p>
    <w:p w:rsidR="00EA09EB" w:rsidRPr="00B5080E" w:rsidRDefault="00EA09EB" w:rsidP="00B5080E">
      <w:r w:rsidRPr="00B5080E">
        <w:rPr>
          <w:rFonts w:hint="cs"/>
          <w:rtl/>
        </w:rPr>
        <w:t xml:space="preserve">ـ </w:t>
      </w:r>
      <w:r w:rsidRPr="00B5080E">
        <w:rPr>
          <w:rFonts w:hint="eastAsia"/>
          <w:rtl/>
        </w:rPr>
        <w:t>توضيح</w:t>
      </w:r>
      <w:r w:rsidRPr="00B5080E">
        <w:rPr>
          <w:rtl/>
        </w:rPr>
        <w:t xml:space="preserve"> </w:t>
      </w:r>
      <w:r w:rsidRPr="00B5080E">
        <w:rPr>
          <w:rFonts w:hint="eastAsia"/>
          <w:rtl/>
        </w:rPr>
        <w:t>المسائل</w:t>
      </w:r>
      <w:r w:rsidRPr="00B5080E">
        <w:rPr>
          <w:rtl/>
        </w:rPr>
        <w:t xml:space="preserve"> </w:t>
      </w:r>
      <w:r w:rsidRPr="00B5080E">
        <w:rPr>
          <w:rFonts w:hint="eastAsia"/>
          <w:rtl/>
        </w:rPr>
        <w:t>مراجع،</w:t>
      </w:r>
      <w:r w:rsidRPr="00B5080E">
        <w:rPr>
          <w:rtl/>
        </w:rPr>
        <w:t xml:space="preserve"> </w:t>
      </w:r>
      <w:r w:rsidRPr="00B5080E">
        <w:rPr>
          <w:rFonts w:hint="eastAsia"/>
          <w:rtl/>
        </w:rPr>
        <w:t>المجلد</w:t>
      </w:r>
      <w:r w:rsidRPr="00B5080E">
        <w:rPr>
          <w:rtl/>
        </w:rPr>
        <w:t xml:space="preserve"> </w:t>
      </w:r>
      <w:r w:rsidRPr="00B5080E">
        <w:rPr>
          <w:rFonts w:hint="eastAsia"/>
          <w:rtl/>
        </w:rPr>
        <w:t>الأول،</w:t>
      </w:r>
      <w:r w:rsidRPr="00B5080E">
        <w:rPr>
          <w:rtl/>
        </w:rPr>
        <w:t xml:space="preserve"> </w:t>
      </w:r>
      <w:r w:rsidRPr="00B5080E">
        <w:rPr>
          <w:rFonts w:hint="eastAsia"/>
          <w:rtl/>
        </w:rPr>
        <w:t>دار</w:t>
      </w:r>
      <w:r w:rsidRPr="00B5080E">
        <w:rPr>
          <w:rtl/>
        </w:rPr>
        <w:t xml:space="preserve"> </w:t>
      </w:r>
      <w:r w:rsidRPr="00B5080E">
        <w:rPr>
          <w:rFonts w:hint="eastAsia"/>
          <w:rtl/>
        </w:rPr>
        <w:t>جامعه</w:t>
      </w:r>
      <w:r w:rsidRPr="00B5080E">
        <w:rPr>
          <w:rtl/>
        </w:rPr>
        <w:t xml:space="preserve"> </w:t>
      </w:r>
      <w:r w:rsidRPr="00B5080E">
        <w:rPr>
          <w:rFonts w:hint="eastAsia"/>
          <w:rtl/>
        </w:rPr>
        <w:t>مدرسين</w:t>
      </w:r>
      <w:r w:rsidRPr="00B5080E">
        <w:rPr>
          <w:rtl/>
        </w:rPr>
        <w:t xml:space="preserve"> </w:t>
      </w:r>
      <w:r w:rsidRPr="00B5080E">
        <w:rPr>
          <w:rFonts w:hint="eastAsia"/>
          <w:rtl/>
        </w:rPr>
        <w:t>حوزه</w:t>
      </w:r>
      <w:r w:rsidRPr="00B5080E">
        <w:rPr>
          <w:rtl/>
        </w:rPr>
        <w:t xml:space="preserve"> </w:t>
      </w:r>
      <w:r w:rsidRPr="00B5080E">
        <w:rPr>
          <w:rFonts w:hint="eastAsia"/>
          <w:rtl/>
        </w:rPr>
        <w:t>علميه</w:t>
      </w:r>
      <w:r w:rsidRPr="00B5080E">
        <w:rPr>
          <w:rtl/>
        </w:rPr>
        <w:t xml:space="preserve"> </w:t>
      </w:r>
      <w:r w:rsidRPr="00B5080E">
        <w:rPr>
          <w:rFonts w:hint="eastAsia"/>
          <w:rtl/>
        </w:rPr>
        <w:t>قم،</w:t>
      </w:r>
      <w:r w:rsidRPr="00B5080E">
        <w:rPr>
          <w:rtl/>
        </w:rPr>
        <w:t xml:space="preserve"> (</w:t>
      </w:r>
      <w:r w:rsidRPr="00B5080E">
        <w:rPr>
          <w:rFonts w:hint="eastAsia"/>
          <w:rtl/>
        </w:rPr>
        <w:t>قم،</w:t>
      </w:r>
      <w:r w:rsidRPr="00B5080E">
        <w:rPr>
          <w:rtl/>
        </w:rPr>
        <w:t xml:space="preserve"> 1376</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رسول</w:t>
      </w:r>
      <w:r w:rsidRPr="00B5080E">
        <w:rPr>
          <w:rtl/>
        </w:rPr>
        <w:t xml:space="preserve"> </w:t>
      </w:r>
      <w:r w:rsidRPr="00B5080E">
        <w:rPr>
          <w:rFonts w:hint="eastAsia"/>
          <w:rtl/>
        </w:rPr>
        <w:t>جعفريان،</w:t>
      </w:r>
      <w:r w:rsidRPr="00B5080E">
        <w:rPr>
          <w:rtl/>
        </w:rPr>
        <w:t xml:space="preserve"> </w:t>
      </w:r>
      <w:r w:rsidRPr="00B5080E">
        <w:rPr>
          <w:rFonts w:hint="eastAsia"/>
          <w:rtl/>
        </w:rPr>
        <w:t>دين</w:t>
      </w:r>
      <w:r w:rsidRPr="00B5080E">
        <w:rPr>
          <w:rtl/>
        </w:rPr>
        <w:t xml:space="preserve"> </w:t>
      </w:r>
      <w:r w:rsidRPr="00B5080E">
        <w:rPr>
          <w:rFonts w:hint="eastAsia"/>
          <w:rtl/>
        </w:rPr>
        <w:t>وسياست</w:t>
      </w:r>
      <w:r w:rsidRPr="00B5080E">
        <w:rPr>
          <w:rtl/>
        </w:rPr>
        <w:t xml:space="preserve"> </w:t>
      </w:r>
      <w:r w:rsidRPr="00B5080E">
        <w:rPr>
          <w:rFonts w:hint="eastAsia"/>
          <w:rtl/>
        </w:rPr>
        <w:t>در</w:t>
      </w:r>
      <w:r w:rsidRPr="00B5080E">
        <w:rPr>
          <w:rtl/>
        </w:rPr>
        <w:t xml:space="preserve"> </w:t>
      </w:r>
      <w:r w:rsidRPr="00B5080E">
        <w:rPr>
          <w:rFonts w:hint="eastAsia"/>
          <w:rtl/>
        </w:rPr>
        <w:t>دوره</w:t>
      </w:r>
      <w:r w:rsidRPr="00B5080E">
        <w:rPr>
          <w:rtl/>
        </w:rPr>
        <w:t xml:space="preserve"> </w:t>
      </w:r>
      <w:r w:rsidRPr="00B5080E">
        <w:rPr>
          <w:rFonts w:hint="eastAsia"/>
          <w:rtl/>
        </w:rPr>
        <w:t>صفو</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1370).</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eastAsia"/>
          <w:rtl/>
        </w:rPr>
        <w:t>جواد</w:t>
      </w:r>
      <w:r w:rsidRPr="00B5080E">
        <w:rPr>
          <w:rFonts w:hint="cs"/>
          <w:rtl/>
        </w:rPr>
        <w:t>ي</w:t>
      </w:r>
      <w:r w:rsidRPr="00B5080E">
        <w:rPr>
          <w:rtl/>
        </w:rPr>
        <w:t xml:space="preserve"> </w:t>
      </w:r>
      <w:r w:rsidRPr="00B5080E">
        <w:rPr>
          <w:rFonts w:hint="eastAsia"/>
          <w:rtl/>
        </w:rPr>
        <w:t>الآمل</w:t>
      </w:r>
      <w:r w:rsidRPr="00B5080E">
        <w:rPr>
          <w:rFonts w:hint="cs"/>
          <w:rtl/>
        </w:rPr>
        <w:t>ي</w:t>
      </w:r>
      <w:r w:rsidRPr="00B5080E">
        <w:rPr>
          <w:rFonts w:hint="eastAsia"/>
          <w:rtl/>
        </w:rPr>
        <w:t>،</w:t>
      </w:r>
      <w:r w:rsidRPr="00B5080E">
        <w:rPr>
          <w:rtl/>
        </w:rPr>
        <w:t xml:space="preserve"> </w:t>
      </w:r>
      <w:r w:rsidRPr="00B5080E">
        <w:rPr>
          <w:rFonts w:hint="eastAsia"/>
          <w:rtl/>
        </w:rPr>
        <w:t>پيرامون</w:t>
      </w:r>
      <w:r w:rsidRPr="00B5080E">
        <w:rPr>
          <w:rtl/>
        </w:rPr>
        <w:t xml:space="preserve"> </w:t>
      </w:r>
      <w:r w:rsidRPr="00B5080E">
        <w:rPr>
          <w:rFonts w:hint="eastAsia"/>
          <w:rtl/>
        </w:rPr>
        <w:t>وح</w:t>
      </w:r>
      <w:r w:rsidRPr="00B5080E">
        <w:rPr>
          <w:rFonts w:hint="cs"/>
          <w:rtl/>
        </w:rPr>
        <w:t>ي</w:t>
      </w:r>
      <w:r w:rsidRPr="00B5080E">
        <w:rPr>
          <w:rtl/>
        </w:rPr>
        <w:t xml:space="preserve"> </w:t>
      </w:r>
      <w:r w:rsidRPr="00B5080E">
        <w:rPr>
          <w:rFonts w:hint="eastAsia"/>
          <w:rtl/>
        </w:rPr>
        <w:t>ورهبر</w:t>
      </w:r>
      <w:r w:rsidRPr="00B5080E">
        <w:rPr>
          <w:rFonts w:hint="cs"/>
          <w:rtl/>
        </w:rPr>
        <w:t>ي</w:t>
      </w:r>
      <w:r w:rsidRPr="00B5080E">
        <w:rPr>
          <w:rFonts w:hint="eastAsia"/>
          <w:rtl/>
        </w:rPr>
        <w:t>،</w:t>
      </w:r>
      <w:r w:rsidRPr="00B5080E">
        <w:rPr>
          <w:rtl/>
        </w:rPr>
        <w:t xml:space="preserve"> </w:t>
      </w:r>
      <w:r w:rsidRPr="00B5080E">
        <w:rPr>
          <w:rFonts w:hint="eastAsia"/>
          <w:rtl/>
        </w:rPr>
        <w:t>مقال</w:t>
      </w:r>
      <w:r w:rsidRPr="00B5080E">
        <w:rPr>
          <w:rFonts w:hint="cs"/>
          <w:rtl/>
        </w:rPr>
        <w:t>ه</w:t>
      </w:r>
      <w:r w:rsidRPr="00B5080E">
        <w:rPr>
          <w:rtl/>
        </w:rPr>
        <w:t xml:space="preserve"> </w:t>
      </w:r>
      <w:r w:rsidRPr="00B5080E">
        <w:rPr>
          <w:rFonts w:hint="cs"/>
          <w:rtl/>
        </w:rPr>
        <w:t>إ</w:t>
      </w:r>
      <w:r w:rsidRPr="00B5080E">
        <w:rPr>
          <w:rFonts w:hint="eastAsia"/>
          <w:rtl/>
        </w:rPr>
        <w:t>مامت</w:t>
      </w:r>
      <w:r w:rsidRPr="00B5080E">
        <w:rPr>
          <w:rtl/>
        </w:rPr>
        <w:t xml:space="preserve"> </w:t>
      </w:r>
      <w:r w:rsidRPr="00B5080E">
        <w:rPr>
          <w:rFonts w:hint="eastAsia"/>
          <w:rtl/>
        </w:rPr>
        <w:t>وولايت،</w:t>
      </w:r>
      <w:r w:rsidRPr="00B5080E">
        <w:rPr>
          <w:rtl/>
        </w:rPr>
        <w:t xml:space="preserve"> (</w:t>
      </w:r>
      <w:r w:rsidRPr="00B5080E">
        <w:rPr>
          <w:rFonts w:hint="eastAsia"/>
          <w:rtl/>
        </w:rPr>
        <w:t>طهران،</w:t>
      </w:r>
      <w:r w:rsidRPr="00B5080E">
        <w:rPr>
          <w:rtl/>
        </w:rPr>
        <w:t xml:space="preserve"> 1368).</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عبد</w:t>
      </w:r>
      <w:r w:rsidRPr="00B5080E">
        <w:rPr>
          <w:rFonts w:hint="cs"/>
          <w:rtl/>
        </w:rPr>
        <w:t xml:space="preserve"> </w:t>
      </w:r>
      <w:r w:rsidRPr="00B5080E">
        <w:rPr>
          <w:rFonts w:hint="eastAsia"/>
          <w:rtl/>
        </w:rPr>
        <w:t>الله</w:t>
      </w:r>
      <w:r w:rsidRPr="00B5080E">
        <w:rPr>
          <w:rtl/>
        </w:rPr>
        <w:t xml:space="preserve"> </w:t>
      </w:r>
      <w:r w:rsidRPr="00B5080E">
        <w:rPr>
          <w:rFonts w:hint="eastAsia"/>
          <w:rtl/>
        </w:rPr>
        <w:t>جواد</w:t>
      </w:r>
      <w:r w:rsidRPr="00B5080E">
        <w:rPr>
          <w:rFonts w:hint="cs"/>
          <w:rtl/>
        </w:rPr>
        <w:t>ي</w:t>
      </w:r>
      <w:r w:rsidRPr="00B5080E">
        <w:rPr>
          <w:rtl/>
        </w:rPr>
        <w:t xml:space="preserve"> </w:t>
      </w:r>
      <w:r w:rsidRPr="00B5080E">
        <w:rPr>
          <w:rFonts w:hint="eastAsia"/>
          <w:rtl/>
        </w:rPr>
        <w:t>الآمل</w:t>
      </w:r>
      <w:r w:rsidRPr="00B5080E">
        <w:rPr>
          <w:rFonts w:hint="cs"/>
          <w:rtl/>
        </w:rPr>
        <w:t>ي</w:t>
      </w:r>
      <w:r w:rsidRPr="00B5080E">
        <w:rPr>
          <w:rFonts w:hint="eastAsia"/>
          <w:rtl/>
        </w:rPr>
        <w:t>،</w:t>
      </w:r>
      <w:r w:rsidRPr="00B5080E">
        <w:rPr>
          <w:rtl/>
        </w:rPr>
        <w:t xml:space="preserve"> </w:t>
      </w:r>
      <w:r w:rsidRPr="00B5080E">
        <w:rPr>
          <w:rFonts w:hint="eastAsia"/>
          <w:rtl/>
        </w:rPr>
        <w:t>مقالة</w:t>
      </w:r>
      <w:r w:rsidRPr="00B5080E">
        <w:rPr>
          <w:rtl/>
        </w:rPr>
        <w:t xml:space="preserve"> </w:t>
      </w:r>
      <w:r w:rsidRPr="00B5080E">
        <w:rPr>
          <w:rFonts w:hint="eastAsia"/>
          <w:rtl/>
        </w:rPr>
        <w:t>سير</w:t>
      </w:r>
      <w:r w:rsidRPr="00B5080E">
        <w:rPr>
          <w:rFonts w:hint="cs"/>
          <w:rtl/>
        </w:rPr>
        <w:t>ي</w:t>
      </w:r>
      <w:r w:rsidRPr="00B5080E">
        <w:rPr>
          <w:rtl/>
        </w:rPr>
        <w:t xml:space="preserve"> </w:t>
      </w:r>
      <w:r w:rsidRPr="00B5080E">
        <w:rPr>
          <w:rFonts w:hint="eastAsia"/>
          <w:rtl/>
        </w:rPr>
        <w:t>در</w:t>
      </w:r>
      <w:r w:rsidRPr="00B5080E">
        <w:rPr>
          <w:rtl/>
        </w:rPr>
        <w:t xml:space="preserve"> </w:t>
      </w:r>
      <w:r w:rsidRPr="00B5080E">
        <w:rPr>
          <w:rFonts w:hint="eastAsia"/>
          <w:rtl/>
        </w:rPr>
        <w:t>مبان</w:t>
      </w:r>
      <w:r w:rsidRPr="00B5080E">
        <w:rPr>
          <w:rFonts w:hint="cs"/>
          <w:rtl/>
        </w:rPr>
        <w:t>ي</w:t>
      </w:r>
      <w:r w:rsidRPr="00B5080E">
        <w:rPr>
          <w:rtl/>
        </w:rPr>
        <w:t xml:space="preserve"> </w:t>
      </w:r>
      <w:r w:rsidRPr="00B5080E">
        <w:rPr>
          <w:rFonts w:hint="eastAsia"/>
          <w:rtl/>
        </w:rPr>
        <w:t>ولايت</w:t>
      </w:r>
      <w:r w:rsidRPr="00B5080E">
        <w:rPr>
          <w:rtl/>
        </w:rPr>
        <w:t xml:space="preserve"> </w:t>
      </w:r>
      <w:r w:rsidRPr="00B5080E">
        <w:rPr>
          <w:rFonts w:hint="eastAsia"/>
          <w:rtl/>
        </w:rPr>
        <w:t>فقيه،</w:t>
      </w:r>
      <w:r w:rsidRPr="00B5080E">
        <w:rPr>
          <w:rtl/>
        </w:rPr>
        <w:t xml:space="preserve"> </w:t>
      </w:r>
      <w:r w:rsidRPr="00B5080E">
        <w:rPr>
          <w:rFonts w:hint="eastAsia"/>
          <w:rtl/>
        </w:rPr>
        <w:t>فصلية</w:t>
      </w:r>
      <w:r w:rsidRPr="00B5080E">
        <w:rPr>
          <w:rtl/>
        </w:rPr>
        <w:t xml:space="preserve"> </w:t>
      </w:r>
      <w:r w:rsidRPr="00B5080E">
        <w:rPr>
          <w:rFonts w:hint="eastAsia"/>
          <w:rtl/>
        </w:rPr>
        <w:t>حكومت</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Fonts w:hint="eastAsia"/>
          <w:rtl/>
        </w:rPr>
        <w:t>،</w:t>
      </w:r>
      <w:r w:rsidRPr="00B5080E">
        <w:rPr>
          <w:rtl/>
        </w:rPr>
        <w:t xml:space="preserve"> </w:t>
      </w:r>
      <w:r w:rsidRPr="00B5080E">
        <w:rPr>
          <w:rFonts w:hint="eastAsia"/>
          <w:rtl/>
        </w:rPr>
        <w:t>عدد</w:t>
      </w:r>
      <w:r w:rsidRPr="00B5080E">
        <w:rPr>
          <w:rtl/>
        </w:rPr>
        <w:t xml:space="preserve"> 1</w:t>
      </w:r>
      <w:r w:rsidRPr="00B5080E">
        <w:rPr>
          <w:rFonts w:hint="eastAsia"/>
          <w:rtl/>
        </w:rPr>
        <w:t>،</w:t>
      </w:r>
      <w:r w:rsidRPr="00B5080E">
        <w:rPr>
          <w:rtl/>
        </w:rPr>
        <w:t xml:space="preserve"> (</w:t>
      </w:r>
      <w:r w:rsidRPr="00B5080E">
        <w:rPr>
          <w:rFonts w:hint="eastAsia"/>
          <w:rtl/>
        </w:rPr>
        <w:t>خريف</w:t>
      </w:r>
      <w:r w:rsidRPr="00B5080E">
        <w:rPr>
          <w:rtl/>
        </w:rPr>
        <w:t xml:space="preserve"> 1375).</w:t>
      </w:r>
    </w:p>
    <w:p w:rsidR="00EA09EB" w:rsidRPr="00B5080E" w:rsidRDefault="00EA09EB" w:rsidP="00B5080E">
      <w:r w:rsidRPr="00B5080E">
        <w:rPr>
          <w:rFonts w:hint="cs"/>
          <w:rtl/>
        </w:rPr>
        <w:t xml:space="preserve">ـ </w:t>
      </w:r>
      <w:r w:rsidRPr="00B5080E">
        <w:rPr>
          <w:rFonts w:hint="eastAsia"/>
          <w:rtl/>
        </w:rPr>
        <w:t>حافظ،</w:t>
      </w:r>
      <w:r w:rsidRPr="00B5080E">
        <w:rPr>
          <w:rtl/>
        </w:rPr>
        <w:t xml:space="preserve"> </w:t>
      </w:r>
      <w:r w:rsidRPr="00B5080E">
        <w:rPr>
          <w:rFonts w:hint="eastAsia"/>
          <w:rtl/>
        </w:rPr>
        <w:t>به</w:t>
      </w:r>
      <w:r w:rsidRPr="00B5080E">
        <w:rPr>
          <w:rtl/>
        </w:rPr>
        <w:t xml:space="preserve"> </w:t>
      </w:r>
      <w:r w:rsidRPr="00B5080E">
        <w:rPr>
          <w:rFonts w:hint="eastAsia"/>
          <w:rtl/>
        </w:rPr>
        <w:t>سع</w:t>
      </w:r>
      <w:r w:rsidRPr="00B5080E">
        <w:rPr>
          <w:rFonts w:hint="cs"/>
          <w:rtl/>
        </w:rPr>
        <w:t>ي</w:t>
      </w:r>
      <w:r w:rsidRPr="00B5080E">
        <w:rPr>
          <w:rtl/>
        </w:rPr>
        <w:t xml:space="preserve"> </w:t>
      </w:r>
      <w:r w:rsidRPr="00B5080E">
        <w:rPr>
          <w:rFonts w:hint="eastAsia"/>
          <w:rtl/>
        </w:rPr>
        <w:t>سايه،</w:t>
      </w:r>
      <w:r w:rsidRPr="00B5080E">
        <w:rPr>
          <w:rtl/>
        </w:rPr>
        <w:t xml:space="preserve"> (</w:t>
      </w:r>
      <w:r w:rsidRPr="00B5080E">
        <w:rPr>
          <w:rFonts w:hint="eastAsia"/>
          <w:rtl/>
        </w:rPr>
        <w:t>طهران،</w:t>
      </w:r>
      <w:r w:rsidRPr="00B5080E">
        <w:rPr>
          <w:rtl/>
        </w:rPr>
        <w:t xml:space="preserve"> 1374).</w:t>
      </w:r>
    </w:p>
    <w:p w:rsidR="00EA09EB" w:rsidRPr="00B5080E" w:rsidRDefault="00EA09EB" w:rsidP="00B5080E">
      <w:r w:rsidRPr="00B5080E">
        <w:rPr>
          <w:rFonts w:hint="cs"/>
          <w:rtl/>
        </w:rPr>
        <w:t xml:space="preserve">ـ </w:t>
      </w:r>
      <w:r w:rsidRPr="00B5080E">
        <w:rPr>
          <w:rFonts w:hint="eastAsia"/>
          <w:rtl/>
        </w:rPr>
        <w:t>عبد</w:t>
      </w:r>
      <w:r w:rsidRPr="00B5080E">
        <w:rPr>
          <w:rFonts w:hint="cs"/>
          <w:rtl/>
        </w:rPr>
        <w:t xml:space="preserve"> </w:t>
      </w:r>
      <w:r w:rsidRPr="00B5080E">
        <w:rPr>
          <w:rFonts w:hint="eastAsia"/>
          <w:rtl/>
        </w:rPr>
        <w:t>الهاد</w:t>
      </w:r>
      <w:r w:rsidRPr="00B5080E">
        <w:rPr>
          <w:rFonts w:hint="cs"/>
          <w:rtl/>
        </w:rPr>
        <w:t>ي</w:t>
      </w:r>
      <w:r w:rsidRPr="00B5080E">
        <w:rPr>
          <w:rtl/>
        </w:rPr>
        <w:t xml:space="preserve"> </w:t>
      </w:r>
      <w:r w:rsidRPr="00B5080E">
        <w:rPr>
          <w:rFonts w:hint="eastAsia"/>
          <w:rtl/>
        </w:rPr>
        <w:t>الحائري،</w:t>
      </w:r>
      <w:r w:rsidRPr="00B5080E">
        <w:rPr>
          <w:rtl/>
        </w:rPr>
        <w:t xml:space="preserve"> </w:t>
      </w:r>
      <w:r w:rsidRPr="00B5080E">
        <w:rPr>
          <w:rFonts w:hint="eastAsia"/>
          <w:rtl/>
        </w:rPr>
        <w:t>نخستين</w:t>
      </w:r>
      <w:r w:rsidRPr="00B5080E">
        <w:rPr>
          <w:rtl/>
        </w:rPr>
        <w:t xml:space="preserve"> </w:t>
      </w:r>
      <w:r w:rsidRPr="00B5080E">
        <w:rPr>
          <w:rFonts w:hint="eastAsia"/>
          <w:rtl/>
        </w:rPr>
        <w:t>روياروئيها</w:t>
      </w:r>
      <w:r w:rsidRPr="00B5080E">
        <w:rPr>
          <w:rFonts w:hint="cs"/>
          <w:rtl/>
        </w:rPr>
        <w:t>ي</w:t>
      </w:r>
      <w:r w:rsidRPr="00B5080E">
        <w:rPr>
          <w:rtl/>
        </w:rPr>
        <w:t xml:space="preserve"> </w:t>
      </w:r>
      <w:r w:rsidRPr="00B5080E">
        <w:rPr>
          <w:rFonts w:hint="cs"/>
          <w:rtl/>
        </w:rPr>
        <w:t>أ</w:t>
      </w:r>
      <w:r w:rsidRPr="00B5080E">
        <w:rPr>
          <w:rFonts w:hint="eastAsia"/>
          <w:rtl/>
        </w:rPr>
        <w:t>نديشه</w:t>
      </w:r>
      <w:r w:rsidRPr="00B5080E">
        <w:rPr>
          <w:rtl/>
        </w:rPr>
        <w:t>‏</w:t>
      </w:r>
      <w:r w:rsidRPr="00B5080E">
        <w:rPr>
          <w:rFonts w:hint="eastAsia"/>
          <w:rtl/>
        </w:rPr>
        <w:t>گران</w:t>
      </w:r>
      <w:r w:rsidRPr="00B5080E">
        <w:rPr>
          <w:rtl/>
        </w:rPr>
        <w:t xml:space="preserve"> </w:t>
      </w:r>
      <w:r w:rsidRPr="00B5080E">
        <w:rPr>
          <w:rFonts w:hint="cs"/>
          <w:rtl/>
        </w:rPr>
        <w:t>إ</w:t>
      </w:r>
      <w:r w:rsidRPr="00B5080E">
        <w:rPr>
          <w:rFonts w:hint="eastAsia"/>
          <w:rtl/>
        </w:rPr>
        <w:t>يران</w:t>
      </w:r>
      <w:r w:rsidRPr="00B5080E">
        <w:rPr>
          <w:rFonts w:hint="cs"/>
          <w:rtl/>
        </w:rPr>
        <w:t>ي</w:t>
      </w:r>
      <w:r w:rsidRPr="00B5080E">
        <w:rPr>
          <w:rtl/>
        </w:rPr>
        <w:t xml:space="preserve"> </w:t>
      </w:r>
      <w:r w:rsidRPr="00B5080E">
        <w:rPr>
          <w:rFonts w:hint="eastAsia"/>
          <w:rtl/>
        </w:rPr>
        <w:t>با</w:t>
      </w:r>
      <w:r w:rsidRPr="00B5080E">
        <w:rPr>
          <w:rtl/>
        </w:rPr>
        <w:t xml:space="preserve"> </w:t>
      </w:r>
      <w:r w:rsidRPr="00B5080E">
        <w:rPr>
          <w:rFonts w:hint="eastAsia"/>
          <w:rtl/>
        </w:rPr>
        <w:t>دو</w:t>
      </w:r>
      <w:r w:rsidRPr="00B5080E">
        <w:rPr>
          <w:rFonts w:hint="cs"/>
          <w:rtl/>
        </w:rPr>
        <w:t xml:space="preserve"> </w:t>
      </w:r>
      <w:r w:rsidRPr="00B5080E">
        <w:rPr>
          <w:rFonts w:hint="eastAsia"/>
          <w:rtl/>
        </w:rPr>
        <w:t>رويه</w:t>
      </w:r>
      <w:r w:rsidRPr="00B5080E">
        <w:rPr>
          <w:rtl/>
        </w:rPr>
        <w:t xml:space="preserve"> </w:t>
      </w:r>
      <w:r w:rsidRPr="00B5080E">
        <w:rPr>
          <w:rFonts w:hint="eastAsia"/>
          <w:rtl/>
        </w:rPr>
        <w:t>تمد</w:t>
      </w:r>
      <w:r w:rsidRPr="00B5080E">
        <w:rPr>
          <w:rFonts w:hint="cs"/>
          <w:rtl/>
        </w:rPr>
        <w:t>ّ</w:t>
      </w:r>
      <w:r w:rsidRPr="00B5080E">
        <w:rPr>
          <w:rFonts w:hint="eastAsia"/>
          <w:rtl/>
        </w:rPr>
        <w:t>ن</w:t>
      </w:r>
      <w:r w:rsidRPr="00B5080E">
        <w:rPr>
          <w:rtl/>
        </w:rPr>
        <w:t xml:space="preserve"> </w:t>
      </w:r>
      <w:r w:rsidRPr="00B5080E">
        <w:rPr>
          <w:rFonts w:hint="eastAsia"/>
          <w:rtl/>
        </w:rPr>
        <w:t>بورژواز</w:t>
      </w:r>
      <w:r w:rsidRPr="00B5080E">
        <w:rPr>
          <w:rFonts w:hint="cs"/>
          <w:rtl/>
        </w:rPr>
        <w:t>ي</w:t>
      </w:r>
      <w:r w:rsidRPr="00B5080E">
        <w:rPr>
          <w:rtl/>
        </w:rPr>
        <w:t xml:space="preserve"> </w:t>
      </w:r>
      <w:r w:rsidRPr="00B5080E">
        <w:rPr>
          <w:rFonts w:hint="eastAsia"/>
          <w:rtl/>
        </w:rPr>
        <w:t>غرب،</w:t>
      </w:r>
      <w:r w:rsidRPr="00B5080E">
        <w:rPr>
          <w:rtl/>
        </w:rPr>
        <w:t xml:space="preserve"> (</w:t>
      </w:r>
      <w:r w:rsidRPr="00B5080E">
        <w:rPr>
          <w:rFonts w:hint="eastAsia"/>
          <w:rtl/>
        </w:rPr>
        <w:t>طهران،</w:t>
      </w:r>
      <w:r w:rsidRPr="00B5080E">
        <w:rPr>
          <w:rtl/>
        </w:rPr>
        <w:t xml:space="preserve"> 1367).</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مهد</w:t>
      </w:r>
      <w:r w:rsidRPr="00B5080E">
        <w:rPr>
          <w:rFonts w:hint="cs"/>
          <w:rtl/>
        </w:rPr>
        <w:t>ي</w:t>
      </w:r>
      <w:r w:rsidRPr="00B5080E">
        <w:rPr>
          <w:rtl/>
        </w:rPr>
        <w:t xml:space="preserve"> </w:t>
      </w:r>
      <w:r w:rsidRPr="00B5080E">
        <w:rPr>
          <w:rFonts w:hint="eastAsia"/>
          <w:rtl/>
        </w:rPr>
        <w:t>الحائري</w:t>
      </w:r>
      <w:r w:rsidRPr="00B5080E">
        <w:rPr>
          <w:rtl/>
        </w:rPr>
        <w:t xml:space="preserve"> </w:t>
      </w:r>
      <w:r w:rsidRPr="00B5080E">
        <w:rPr>
          <w:rFonts w:hint="eastAsia"/>
          <w:rtl/>
        </w:rPr>
        <w:t>اليزدي،</w:t>
      </w:r>
      <w:r w:rsidRPr="00B5080E">
        <w:rPr>
          <w:rtl/>
        </w:rPr>
        <w:t xml:space="preserve"> </w:t>
      </w:r>
      <w:r w:rsidRPr="00B5080E">
        <w:rPr>
          <w:rFonts w:hint="eastAsia"/>
          <w:rtl/>
        </w:rPr>
        <w:t>حكمت</w:t>
      </w:r>
      <w:r w:rsidRPr="00B5080E">
        <w:rPr>
          <w:rtl/>
        </w:rPr>
        <w:t xml:space="preserve"> </w:t>
      </w:r>
      <w:r w:rsidRPr="00B5080E">
        <w:rPr>
          <w:rFonts w:hint="eastAsia"/>
          <w:rtl/>
        </w:rPr>
        <w:t>وحكومت</w:t>
      </w:r>
      <w:r w:rsidRPr="00B5080E">
        <w:rPr>
          <w:rtl/>
        </w:rPr>
        <w:t xml:space="preserve"> (</w:t>
      </w:r>
      <w:r w:rsidRPr="00B5080E">
        <w:rPr>
          <w:rFonts w:hint="eastAsia"/>
          <w:rtl/>
        </w:rPr>
        <w:t>لندن،</w:t>
      </w:r>
      <w:r w:rsidRPr="00B5080E">
        <w:rPr>
          <w:rtl/>
        </w:rPr>
        <w:t xml:space="preserve"> 1994</w:t>
      </w:r>
      <w:r w:rsidRPr="00B5080E">
        <w:rPr>
          <w:rFonts w:hint="eastAsia"/>
          <w:rtl/>
        </w:rPr>
        <w:t>م</w:t>
      </w:r>
      <w:r w:rsidRPr="00B5080E">
        <w:rPr>
          <w:rtl/>
        </w:rPr>
        <w:t>).</w:t>
      </w:r>
    </w:p>
    <w:p w:rsidR="00EA09EB" w:rsidRPr="00B5080E" w:rsidRDefault="00EA09EB" w:rsidP="00B5080E">
      <w:r w:rsidRPr="00B5080E">
        <w:rPr>
          <w:rFonts w:hint="cs"/>
          <w:rtl/>
        </w:rPr>
        <w:t xml:space="preserve">ـ </w:t>
      </w:r>
      <w:r w:rsidRPr="00B5080E">
        <w:rPr>
          <w:rFonts w:hint="eastAsia"/>
          <w:rtl/>
        </w:rPr>
        <w:t>سعيد</w:t>
      </w:r>
      <w:r w:rsidRPr="00B5080E">
        <w:rPr>
          <w:rtl/>
        </w:rPr>
        <w:t xml:space="preserve"> </w:t>
      </w:r>
      <w:r w:rsidRPr="00B5080E">
        <w:rPr>
          <w:rFonts w:hint="eastAsia"/>
          <w:rtl/>
        </w:rPr>
        <w:t>حجاريان،</w:t>
      </w:r>
      <w:r w:rsidRPr="00B5080E">
        <w:rPr>
          <w:rtl/>
        </w:rPr>
        <w:t xml:space="preserve"> «</w:t>
      </w:r>
      <w:r w:rsidRPr="00B5080E">
        <w:rPr>
          <w:rFonts w:hint="eastAsia"/>
          <w:rtl/>
        </w:rPr>
        <w:t>مقاله</w:t>
      </w:r>
      <w:r w:rsidRPr="00B5080E">
        <w:rPr>
          <w:rtl/>
        </w:rPr>
        <w:t xml:space="preserve"> </w:t>
      </w:r>
      <w:r w:rsidRPr="00B5080E">
        <w:rPr>
          <w:rFonts w:hint="eastAsia"/>
          <w:rtl/>
        </w:rPr>
        <w:t>ساخت</w:t>
      </w:r>
      <w:r w:rsidRPr="00B5080E">
        <w:rPr>
          <w:rtl/>
        </w:rPr>
        <w:t xml:space="preserve"> </w:t>
      </w:r>
      <w:r w:rsidRPr="00B5080E">
        <w:rPr>
          <w:rFonts w:hint="eastAsia"/>
          <w:rtl/>
        </w:rPr>
        <w:t>اقتدار</w:t>
      </w:r>
      <w:r w:rsidRPr="00B5080E">
        <w:rPr>
          <w:rtl/>
        </w:rPr>
        <w:t xml:space="preserve"> </w:t>
      </w:r>
      <w:r w:rsidRPr="00B5080E">
        <w:rPr>
          <w:rFonts w:hint="eastAsia"/>
          <w:rtl/>
        </w:rPr>
        <w:t>سلطان</w:t>
      </w:r>
      <w:r w:rsidRPr="00B5080E">
        <w:rPr>
          <w:rFonts w:hint="cs"/>
          <w:rtl/>
        </w:rPr>
        <w:t>ي</w:t>
      </w:r>
      <w:r w:rsidRPr="00B5080E">
        <w:rPr>
          <w:rFonts w:hint="eastAsia"/>
          <w:rtl/>
        </w:rPr>
        <w:t>،</w:t>
      </w:r>
      <w:r w:rsidRPr="00B5080E">
        <w:rPr>
          <w:rtl/>
        </w:rPr>
        <w:t xml:space="preserve"> </w:t>
      </w:r>
      <w:r w:rsidRPr="00B5080E">
        <w:rPr>
          <w:rFonts w:hint="eastAsia"/>
          <w:rtl/>
        </w:rPr>
        <w:t>آسيب</w:t>
      </w:r>
      <w:r w:rsidRPr="00B5080E">
        <w:rPr>
          <w:rtl/>
        </w:rPr>
        <w:t>‏</w:t>
      </w:r>
      <w:r w:rsidRPr="00B5080E">
        <w:rPr>
          <w:rFonts w:hint="eastAsia"/>
          <w:rtl/>
        </w:rPr>
        <w:t>پذيريها</w:t>
      </w:r>
      <w:r w:rsidRPr="00B5080E">
        <w:rPr>
          <w:rtl/>
        </w:rPr>
        <w:t xml:space="preserve"> </w:t>
      </w:r>
      <w:r w:rsidRPr="00B5080E">
        <w:rPr>
          <w:rFonts w:hint="eastAsia"/>
          <w:rtl/>
        </w:rPr>
        <w:t>وبديلها</w:t>
      </w:r>
      <w:r w:rsidRPr="00B5080E">
        <w:rPr>
          <w:rtl/>
        </w:rPr>
        <w:t>»</w:t>
      </w:r>
      <w:r w:rsidRPr="00B5080E">
        <w:rPr>
          <w:rFonts w:hint="eastAsia"/>
          <w:rtl/>
        </w:rPr>
        <w:t>،</w:t>
      </w:r>
      <w:r w:rsidRPr="00B5080E">
        <w:rPr>
          <w:rtl/>
        </w:rPr>
        <w:t xml:space="preserve"> </w:t>
      </w:r>
      <w:r w:rsidRPr="00B5080E">
        <w:rPr>
          <w:rFonts w:hint="eastAsia"/>
          <w:rtl/>
        </w:rPr>
        <w:t>شهرية</w:t>
      </w:r>
      <w:r w:rsidRPr="00B5080E">
        <w:rPr>
          <w:rtl/>
        </w:rPr>
        <w:t xml:space="preserve"> </w:t>
      </w:r>
      <w:r w:rsidRPr="00B5080E">
        <w:rPr>
          <w:rFonts w:hint="eastAsia"/>
          <w:rtl/>
        </w:rPr>
        <w:t>اطلاعات</w:t>
      </w:r>
      <w:r w:rsidRPr="00B5080E">
        <w:rPr>
          <w:rtl/>
        </w:rPr>
        <w:t xml:space="preserve"> </w:t>
      </w:r>
      <w:r w:rsidRPr="00B5080E">
        <w:rPr>
          <w:rFonts w:hint="eastAsia"/>
          <w:rtl/>
        </w:rPr>
        <w:t>سياس</w:t>
      </w:r>
      <w:r w:rsidRPr="00B5080E">
        <w:rPr>
          <w:rFonts w:hint="cs"/>
          <w:rtl/>
        </w:rPr>
        <w:t>ي</w:t>
      </w:r>
      <w:r w:rsidRPr="00B5080E">
        <w:rPr>
          <w:rtl/>
        </w:rPr>
        <w:t xml:space="preserve"> </w:t>
      </w:r>
      <w:r w:rsidRPr="00B5080E">
        <w:rPr>
          <w:rFonts w:hint="eastAsia"/>
          <w:rtl/>
        </w:rPr>
        <w:t>اقتصاد</w:t>
      </w:r>
      <w:r w:rsidRPr="00B5080E">
        <w:rPr>
          <w:rFonts w:hint="cs"/>
          <w:rtl/>
        </w:rPr>
        <w:t>ي</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روح</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w:t>
      </w:r>
      <w:r w:rsidRPr="00B5080E">
        <w:rPr>
          <w:rFonts w:hint="eastAsia"/>
          <w:rtl/>
        </w:rPr>
        <w:t>صحيفه</w:t>
      </w:r>
      <w:r w:rsidRPr="00B5080E">
        <w:rPr>
          <w:rtl/>
        </w:rPr>
        <w:t xml:space="preserve"> </w:t>
      </w:r>
      <w:r w:rsidRPr="00B5080E">
        <w:rPr>
          <w:rFonts w:hint="eastAsia"/>
          <w:rtl/>
        </w:rPr>
        <w:t>نور،</w:t>
      </w:r>
      <w:r w:rsidRPr="00B5080E">
        <w:rPr>
          <w:rtl/>
        </w:rPr>
        <w:t xml:space="preserve"> </w:t>
      </w:r>
      <w:r w:rsidRPr="00B5080E">
        <w:rPr>
          <w:rFonts w:hint="eastAsia"/>
          <w:rtl/>
        </w:rPr>
        <w:t>الطبعة</w:t>
      </w:r>
      <w:r w:rsidRPr="00B5080E">
        <w:rPr>
          <w:rtl/>
        </w:rPr>
        <w:t xml:space="preserve"> </w:t>
      </w:r>
      <w:r w:rsidRPr="00B5080E">
        <w:rPr>
          <w:rFonts w:hint="eastAsia"/>
          <w:rtl/>
        </w:rPr>
        <w:t>الثانية،</w:t>
      </w:r>
      <w:r w:rsidRPr="00B5080E">
        <w:rPr>
          <w:rtl/>
        </w:rPr>
        <w:t xml:space="preserve"> (</w:t>
      </w:r>
      <w:r w:rsidRPr="00B5080E">
        <w:rPr>
          <w:rFonts w:hint="eastAsia"/>
          <w:rtl/>
        </w:rPr>
        <w:t>طهران،</w:t>
      </w:r>
      <w:r w:rsidRPr="00B5080E">
        <w:rPr>
          <w:rtl/>
        </w:rPr>
        <w:t xml:space="preserve"> 1374).</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روح</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w:t>
      </w:r>
      <w:r w:rsidRPr="00B5080E">
        <w:rPr>
          <w:rFonts w:hint="eastAsia"/>
          <w:rtl/>
        </w:rPr>
        <w:t>كشف</w:t>
      </w:r>
      <w:r w:rsidRPr="00B5080E">
        <w:rPr>
          <w:rFonts w:hint="cs"/>
          <w:rtl/>
        </w:rPr>
        <w:t xml:space="preserve"> </w:t>
      </w:r>
      <w:r w:rsidRPr="00B5080E">
        <w:rPr>
          <w:rtl/>
        </w:rPr>
        <w:t>‏</w:t>
      </w:r>
      <w:r w:rsidRPr="00B5080E">
        <w:rPr>
          <w:rFonts w:hint="eastAsia"/>
          <w:rtl/>
        </w:rPr>
        <w:t>ال</w:t>
      </w:r>
      <w:r w:rsidRPr="00B5080E">
        <w:rPr>
          <w:rFonts w:hint="cs"/>
          <w:rtl/>
        </w:rPr>
        <w:t>أ</w:t>
      </w:r>
      <w:r w:rsidRPr="00B5080E">
        <w:rPr>
          <w:rFonts w:hint="eastAsia"/>
          <w:rtl/>
        </w:rPr>
        <w:t>سرار،</w:t>
      </w:r>
      <w:r w:rsidRPr="00B5080E">
        <w:rPr>
          <w:rtl/>
        </w:rPr>
        <w:t xml:space="preserve"> (</w:t>
      </w:r>
      <w:r w:rsidRPr="00B5080E">
        <w:rPr>
          <w:rFonts w:hint="eastAsia"/>
          <w:rtl/>
        </w:rPr>
        <w:t>قم</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tl/>
        </w:rPr>
        <w:t xml:space="preserve"> </w:t>
      </w:r>
      <w:r w:rsidRPr="00B5080E">
        <w:rPr>
          <w:rFonts w:hint="eastAsia"/>
          <w:rtl/>
        </w:rPr>
        <w:t>روح</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الموسوي</w:t>
      </w:r>
      <w:r w:rsidRPr="00B5080E">
        <w:rPr>
          <w:rtl/>
        </w:rPr>
        <w:t xml:space="preserve"> </w:t>
      </w:r>
      <w:r w:rsidRPr="00B5080E">
        <w:rPr>
          <w:rFonts w:hint="eastAsia"/>
          <w:rtl/>
        </w:rPr>
        <w:t>الخميني،</w:t>
      </w:r>
      <w:r w:rsidRPr="00B5080E">
        <w:rPr>
          <w:rtl/>
        </w:rPr>
        <w:t xml:space="preserve"> </w:t>
      </w:r>
      <w:r w:rsidRPr="00B5080E">
        <w:rPr>
          <w:rFonts w:hint="eastAsia"/>
          <w:rtl/>
        </w:rPr>
        <w:t>ولايت</w:t>
      </w:r>
      <w:r w:rsidRPr="00B5080E">
        <w:rPr>
          <w:rtl/>
        </w:rPr>
        <w:t xml:space="preserve"> </w:t>
      </w:r>
      <w:r w:rsidRPr="00B5080E">
        <w:rPr>
          <w:rFonts w:hint="eastAsia"/>
          <w:rtl/>
        </w:rPr>
        <w:t>فقيه،</w:t>
      </w:r>
      <w:r w:rsidRPr="00B5080E">
        <w:rPr>
          <w:rtl/>
        </w:rPr>
        <w:t xml:space="preserve"> (</w:t>
      </w:r>
      <w:r w:rsidRPr="00B5080E">
        <w:rPr>
          <w:rFonts w:hint="eastAsia"/>
          <w:rtl/>
        </w:rPr>
        <w:t>طهران،</w:t>
      </w:r>
      <w:r w:rsidRPr="00B5080E">
        <w:rPr>
          <w:rtl/>
        </w:rPr>
        <w:t xml:space="preserve"> 1373).</w:t>
      </w:r>
    </w:p>
    <w:p w:rsidR="00EA09EB" w:rsidRPr="00B5080E" w:rsidRDefault="00EA09EB" w:rsidP="00B5080E">
      <w:r w:rsidRPr="00B5080E">
        <w:rPr>
          <w:rFonts w:hint="cs"/>
          <w:rtl/>
        </w:rPr>
        <w:t xml:space="preserve">ـ </w:t>
      </w:r>
      <w:r w:rsidRPr="00B5080E">
        <w:rPr>
          <w:rFonts w:hint="eastAsia"/>
          <w:rtl/>
        </w:rPr>
        <w:t>جمال</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محمّد</w:t>
      </w:r>
      <w:r w:rsidRPr="00B5080E">
        <w:rPr>
          <w:rtl/>
        </w:rPr>
        <w:t xml:space="preserve"> </w:t>
      </w:r>
      <w:r w:rsidRPr="00B5080E">
        <w:rPr>
          <w:rFonts w:hint="eastAsia"/>
          <w:rtl/>
        </w:rPr>
        <w:t>الخوانساري،</w:t>
      </w:r>
      <w:r w:rsidRPr="00B5080E">
        <w:rPr>
          <w:rtl/>
        </w:rPr>
        <w:t xml:space="preserve"> </w:t>
      </w:r>
      <w:r w:rsidRPr="00B5080E">
        <w:rPr>
          <w:rFonts w:hint="eastAsia"/>
          <w:rtl/>
        </w:rPr>
        <w:t>شرح</w:t>
      </w:r>
      <w:r w:rsidRPr="00B5080E">
        <w:rPr>
          <w:rtl/>
        </w:rPr>
        <w:t xml:space="preserve"> </w:t>
      </w:r>
      <w:r w:rsidRPr="00B5080E">
        <w:rPr>
          <w:rFonts w:hint="eastAsia"/>
          <w:rtl/>
        </w:rPr>
        <w:t>غرر</w:t>
      </w:r>
      <w:r w:rsidRPr="00B5080E">
        <w:rPr>
          <w:rFonts w:hint="cs"/>
          <w:rtl/>
        </w:rPr>
        <w:t xml:space="preserve"> </w:t>
      </w:r>
      <w:r w:rsidRPr="00B5080E">
        <w:rPr>
          <w:rFonts w:hint="eastAsia"/>
          <w:rtl/>
        </w:rPr>
        <w:t>الحكم</w:t>
      </w:r>
      <w:r w:rsidRPr="00B5080E">
        <w:rPr>
          <w:rtl/>
        </w:rPr>
        <w:t xml:space="preserve"> </w:t>
      </w:r>
      <w:r w:rsidRPr="00B5080E">
        <w:rPr>
          <w:rFonts w:hint="eastAsia"/>
          <w:rtl/>
        </w:rPr>
        <w:t>ودرر</w:t>
      </w:r>
      <w:r w:rsidRPr="00B5080E">
        <w:rPr>
          <w:rFonts w:hint="cs"/>
          <w:rtl/>
        </w:rPr>
        <w:t xml:space="preserve"> </w:t>
      </w:r>
      <w:r w:rsidRPr="00B5080E">
        <w:rPr>
          <w:rFonts w:hint="eastAsia"/>
          <w:rtl/>
        </w:rPr>
        <w:t>الكلم،</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مير</w:t>
      </w:r>
      <w:r w:rsidRPr="00B5080E">
        <w:rPr>
          <w:rtl/>
        </w:rPr>
        <w:t xml:space="preserve"> </w:t>
      </w:r>
      <w:r w:rsidRPr="00B5080E">
        <w:rPr>
          <w:rFonts w:hint="eastAsia"/>
          <w:rtl/>
        </w:rPr>
        <w:t>جلال</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حسين</w:t>
      </w:r>
      <w:r w:rsidRPr="00B5080E">
        <w:rPr>
          <w:rFonts w:hint="cs"/>
          <w:rtl/>
        </w:rPr>
        <w:t>ي</w:t>
      </w:r>
      <w:r w:rsidRPr="00B5080E">
        <w:rPr>
          <w:rtl/>
        </w:rPr>
        <w:t xml:space="preserve"> </w:t>
      </w:r>
      <w:r w:rsidRPr="00B5080E">
        <w:rPr>
          <w:rFonts w:hint="cs"/>
          <w:rtl/>
        </w:rPr>
        <w:t>أ</w:t>
      </w:r>
      <w:r w:rsidRPr="00B5080E">
        <w:rPr>
          <w:rFonts w:hint="eastAsia"/>
          <w:rtl/>
        </w:rPr>
        <w:t>رمو</w:t>
      </w:r>
      <w:r w:rsidRPr="00B5080E">
        <w:rPr>
          <w:rFonts w:hint="cs"/>
          <w:rtl/>
        </w:rPr>
        <w:t>ي</w:t>
      </w:r>
      <w:r w:rsidRPr="00B5080E">
        <w:rPr>
          <w:rFonts w:hint="eastAsia"/>
          <w:rtl/>
        </w:rPr>
        <w:t>،</w:t>
      </w:r>
      <w:r w:rsidRPr="00B5080E">
        <w:rPr>
          <w:rtl/>
        </w:rPr>
        <w:t xml:space="preserve"> 7 </w:t>
      </w:r>
      <w:r w:rsidRPr="00B5080E">
        <w:rPr>
          <w:rFonts w:hint="eastAsia"/>
          <w:rtl/>
        </w:rPr>
        <w:t>مجلد،</w:t>
      </w:r>
      <w:r w:rsidRPr="00B5080E">
        <w:rPr>
          <w:rtl/>
        </w:rPr>
        <w:t xml:space="preserve"> (</w:t>
      </w:r>
      <w:r w:rsidRPr="00B5080E">
        <w:rPr>
          <w:rFonts w:hint="eastAsia"/>
          <w:rtl/>
        </w:rPr>
        <w:t>طهران،</w:t>
      </w:r>
      <w:r w:rsidRPr="00B5080E">
        <w:rPr>
          <w:rtl/>
        </w:rPr>
        <w:t xml:space="preserve"> 1360).</w:t>
      </w:r>
    </w:p>
    <w:p w:rsidR="00EA09EB" w:rsidRPr="00B5080E" w:rsidRDefault="00EA09EB" w:rsidP="00B5080E">
      <w:r w:rsidRPr="00B5080E">
        <w:rPr>
          <w:rFonts w:hint="cs"/>
          <w:rtl/>
        </w:rPr>
        <w:t xml:space="preserve">ـ </w:t>
      </w:r>
      <w:r w:rsidRPr="00B5080E">
        <w:rPr>
          <w:rFonts w:hint="eastAsia"/>
          <w:rtl/>
        </w:rPr>
        <w:t>عل</w:t>
      </w:r>
      <w:r w:rsidRPr="00B5080E">
        <w:rPr>
          <w:rFonts w:hint="cs"/>
          <w:rtl/>
        </w:rPr>
        <w:t>ي أك</w:t>
      </w:r>
      <w:r w:rsidRPr="00B5080E">
        <w:rPr>
          <w:rFonts w:hint="eastAsia"/>
          <w:rtl/>
        </w:rPr>
        <w:t>بر</w:t>
      </w:r>
      <w:r w:rsidRPr="00B5080E">
        <w:rPr>
          <w:rtl/>
        </w:rPr>
        <w:t xml:space="preserve"> </w:t>
      </w:r>
      <w:r w:rsidRPr="00B5080E">
        <w:rPr>
          <w:rFonts w:hint="eastAsia"/>
          <w:rtl/>
        </w:rPr>
        <w:t>دهخدا،</w:t>
      </w:r>
      <w:r w:rsidRPr="00B5080E">
        <w:rPr>
          <w:rtl/>
        </w:rPr>
        <w:t xml:space="preserve"> </w:t>
      </w:r>
      <w:r w:rsidRPr="00B5080E">
        <w:rPr>
          <w:rFonts w:hint="eastAsia"/>
          <w:rtl/>
        </w:rPr>
        <w:t>لغت</w:t>
      </w:r>
      <w:r w:rsidRPr="00B5080E">
        <w:rPr>
          <w:rFonts w:hint="cs"/>
          <w:rtl/>
        </w:rPr>
        <w:t xml:space="preserve"> </w:t>
      </w:r>
      <w:r w:rsidRPr="00B5080E">
        <w:rPr>
          <w:rtl/>
        </w:rPr>
        <w:t>‏</w:t>
      </w:r>
      <w:r w:rsidRPr="00B5080E">
        <w:rPr>
          <w:rFonts w:hint="eastAsia"/>
          <w:rtl/>
        </w:rPr>
        <w:t>نامه،</w:t>
      </w:r>
      <w:r w:rsidRPr="00B5080E">
        <w:rPr>
          <w:rtl/>
        </w:rPr>
        <w:t xml:space="preserve"> </w:t>
      </w:r>
      <w:r w:rsidRPr="00B5080E">
        <w:rPr>
          <w:rFonts w:hint="eastAsia"/>
          <w:rtl/>
        </w:rPr>
        <w:t>ب</w:t>
      </w:r>
      <w:r w:rsidRPr="00B5080E">
        <w:rPr>
          <w:rFonts w:hint="cs"/>
          <w:rtl/>
        </w:rPr>
        <w:t>إ</w:t>
      </w:r>
      <w:r w:rsidRPr="00B5080E">
        <w:rPr>
          <w:rFonts w:hint="eastAsia"/>
          <w:rtl/>
        </w:rPr>
        <w:t>شراف</w:t>
      </w:r>
      <w:r w:rsidRPr="00B5080E">
        <w:rPr>
          <w:rFonts w:hint="cs"/>
          <w:rtl/>
        </w:rPr>
        <w:t>:</w:t>
      </w:r>
      <w:r w:rsidRPr="00B5080E">
        <w:rPr>
          <w:rtl/>
        </w:rPr>
        <w:t xml:space="preserve"> </w:t>
      </w:r>
      <w:r w:rsidRPr="00B5080E">
        <w:rPr>
          <w:rFonts w:hint="eastAsia"/>
          <w:rtl/>
        </w:rPr>
        <w:t>محمد</w:t>
      </w:r>
      <w:r w:rsidRPr="00B5080E">
        <w:rPr>
          <w:rtl/>
        </w:rPr>
        <w:t xml:space="preserve"> </w:t>
      </w:r>
      <w:r w:rsidRPr="00B5080E">
        <w:rPr>
          <w:rFonts w:hint="eastAsia"/>
          <w:rtl/>
        </w:rPr>
        <w:t>معين</w:t>
      </w:r>
      <w:r w:rsidRPr="00B5080E">
        <w:rPr>
          <w:rtl/>
        </w:rPr>
        <w:t xml:space="preserve"> </w:t>
      </w:r>
      <w:r w:rsidRPr="00B5080E">
        <w:rPr>
          <w:rFonts w:hint="eastAsia"/>
          <w:rtl/>
        </w:rPr>
        <w:t>والسيد</w:t>
      </w:r>
      <w:r w:rsidRPr="00B5080E">
        <w:rPr>
          <w:rFonts w:hint="cs"/>
          <w:rtl/>
        </w:rPr>
        <w:t xml:space="preserve"> </w:t>
      </w:r>
      <w:r w:rsidRPr="00B5080E">
        <w:rPr>
          <w:rFonts w:hint="eastAsia"/>
          <w:rtl/>
        </w:rPr>
        <w:t>جعفر</w:t>
      </w:r>
      <w:r w:rsidRPr="00B5080E">
        <w:rPr>
          <w:rtl/>
        </w:rPr>
        <w:t xml:space="preserve"> </w:t>
      </w:r>
      <w:r w:rsidRPr="00B5080E">
        <w:rPr>
          <w:rFonts w:hint="eastAsia"/>
          <w:rtl/>
        </w:rPr>
        <w:t>شهيد</w:t>
      </w:r>
      <w:r w:rsidRPr="00B5080E">
        <w:rPr>
          <w:rFonts w:hint="cs"/>
          <w:rtl/>
        </w:rPr>
        <w:t>ي</w:t>
      </w:r>
      <w:r w:rsidRPr="00B5080E">
        <w:rPr>
          <w:rFonts w:hint="eastAsia"/>
          <w:rtl/>
        </w:rPr>
        <w:t>،</w:t>
      </w:r>
      <w:r w:rsidRPr="00B5080E">
        <w:rPr>
          <w:rtl/>
        </w:rPr>
        <w:t xml:space="preserve"> 14 </w:t>
      </w:r>
      <w:r w:rsidRPr="00B5080E">
        <w:rPr>
          <w:rFonts w:hint="eastAsia"/>
          <w:rtl/>
        </w:rPr>
        <w:t>مجلد،</w:t>
      </w:r>
      <w:r w:rsidRPr="00B5080E">
        <w:rPr>
          <w:rtl/>
        </w:rPr>
        <w:t xml:space="preserve"> (</w:t>
      </w:r>
      <w:r w:rsidRPr="00B5080E">
        <w:rPr>
          <w:rFonts w:hint="eastAsia"/>
          <w:rtl/>
        </w:rPr>
        <w:t>طهران،</w:t>
      </w:r>
      <w:r w:rsidRPr="00B5080E">
        <w:rPr>
          <w:rtl/>
        </w:rPr>
        <w:t xml:space="preserve"> 1373).</w:t>
      </w:r>
    </w:p>
    <w:p w:rsidR="00EA09EB" w:rsidRPr="00B5080E" w:rsidRDefault="00EA09EB" w:rsidP="00B5080E">
      <w:r w:rsidRPr="00B5080E">
        <w:rPr>
          <w:rFonts w:hint="cs"/>
          <w:rtl/>
        </w:rPr>
        <w:t xml:space="preserve">ـ </w:t>
      </w:r>
      <w:r w:rsidRPr="00B5080E">
        <w:rPr>
          <w:rFonts w:hint="eastAsia"/>
          <w:rtl/>
        </w:rPr>
        <w:t>جما</w:t>
      </w:r>
      <w:r w:rsidRPr="00B5080E">
        <w:rPr>
          <w:rFonts w:hint="cs"/>
          <w:rtl/>
        </w:rPr>
        <w:t xml:space="preserve">ل </w:t>
      </w:r>
      <w:r w:rsidRPr="00B5080E">
        <w:rPr>
          <w:rtl/>
        </w:rPr>
        <w:t>‏</w:t>
      </w:r>
      <w:r w:rsidRPr="00B5080E">
        <w:rPr>
          <w:rFonts w:hint="eastAsia"/>
          <w:rtl/>
        </w:rPr>
        <w:t>الدين</w:t>
      </w:r>
      <w:r w:rsidRPr="00B5080E">
        <w:rPr>
          <w:rtl/>
        </w:rPr>
        <w:t xml:space="preserve"> </w:t>
      </w:r>
      <w:r w:rsidRPr="00B5080E">
        <w:rPr>
          <w:rFonts w:hint="eastAsia"/>
          <w:rtl/>
        </w:rPr>
        <w:t>حسين</w:t>
      </w:r>
      <w:r w:rsidRPr="00B5080E">
        <w:rPr>
          <w:rtl/>
        </w:rPr>
        <w:t>‏</w:t>
      </w:r>
      <w:r w:rsidRPr="00B5080E">
        <w:rPr>
          <w:rFonts w:hint="cs"/>
          <w:rtl/>
        </w:rPr>
        <w:t xml:space="preserve"> </w:t>
      </w:r>
      <w:r w:rsidRPr="00B5080E">
        <w:rPr>
          <w:rFonts w:hint="eastAsia"/>
          <w:rtl/>
        </w:rPr>
        <w:t>بن</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الفتوح</w:t>
      </w:r>
      <w:r w:rsidRPr="00B5080E">
        <w:rPr>
          <w:rFonts w:hint="cs"/>
          <w:rtl/>
        </w:rPr>
        <w:t xml:space="preserve"> </w:t>
      </w:r>
      <w:r w:rsidRPr="00B5080E">
        <w:rPr>
          <w:rtl/>
        </w:rPr>
        <w:t>‏</w:t>
      </w:r>
      <w:r w:rsidRPr="00B5080E">
        <w:rPr>
          <w:rFonts w:hint="eastAsia"/>
          <w:rtl/>
        </w:rPr>
        <w:t>راز</w:t>
      </w:r>
      <w:r w:rsidRPr="00B5080E">
        <w:rPr>
          <w:rFonts w:hint="cs"/>
          <w:rtl/>
        </w:rPr>
        <w:t>ي</w:t>
      </w:r>
      <w:r w:rsidRPr="00B5080E">
        <w:rPr>
          <w:rFonts w:hint="eastAsia"/>
          <w:rtl/>
        </w:rPr>
        <w:t>،</w:t>
      </w:r>
      <w:r w:rsidRPr="00B5080E">
        <w:rPr>
          <w:rtl/>
        </w:rPr>
        <w:t xml:space="preserve"> </w:t>
      </w:r>
      <w:r w:rsidRPr="00B5080E">
        <w:rPr>
          <w:rFonts w:hint="eastAsia"/>
          <w:rtl/>
        </w:rPr>
        <w:t>روض</w:t>
      </w:r>
      <w:r w:rsidRPr="00B5080E">
        <w:rPr>
          <w:rFonts w:hint="cs"/>
          <w:rtl/>
        </w:rPr>
        <w:t xml:space="preserve"> </w:t>
      </w:r>
      <w:r w:rsidRPr="00B5080E">
        <w:rPr>
          <w:rtl/>
        </w:rPr>
        <w:t>‏</w:t>
      </w:r>
      <w:r w:rsidRPr="00B5080E">
        <w:rPr>
          <w:rFonts w:hint="eastAsia"/>
          <w:rtl/>
        </w:rPr>
        <w:t>الجنان</w:t>
      </w:r>
      <w:r w:rsidRPr="00B5080E">
        <w:rPr>
          <w:rtl/>
        </w:rPr>
        <w:t xml:space="preserve"> </w:t>
      </w:r>
      <w:r w:rsidRPr="00B5080E">
        <w:rPr>
          <w:rFonts w:hint="eastAsia"/>
          <w:rtl/>
        </w:rPr>
        <w:t>وروح</w:t>
      </w:r>
      <w:r w:rsidRPr="00B5080E">
        <w:rPr>
          <w:rtl/>
        </w:rPr>
        <w:t>‏</w:t>
      </w:r>
      <w:r w:rsidRPr="00B5080E">
        <w:rPr>
          <w:rFonts w:hint="eastAsia"/>
          <w:rtl/>
        </w:rPr>
        <w:t>الجَنان،</w:t>
      </w:r>
      <w:r w:rsidRPr="00B5080E">
        <w:rPr>
          <w:rtl/>
        </w:rPr>
        <w:t xml:space="preserve"> (</w:t>
      </w:r>
      <w:r w:rsidRPr="00B5080E">
        <w:rPr>
          <w:rFonts w:hint="eastAsia"/>
          <w:rtl/>
        </w:rPr>
        <w:t>طهران،</w:t>
      </w:r>
      <w:r w:rsidRPr="00B5080E">
        <w:rPr>
          <w:rtl/>
        </w:rPr>
        <w:t xml:space="preserve"> </w:t>
      </w:r>
      <w:r w:rsidRPr="00B5080E">
        <w:rPr>
          <w:rFonts w:hint="eastAsia"/>
          <w:rtl/>
        </w:rPr>
        <w:t>الطبعة</w:t>
      </w:r>
      <w:r w:rsidRPr="00B5080E">
        <w:rPr>
          <w:rtl/>
        </w:rPr>
        <w:t xml:space="preserve"> </w:t>
      </w:r>
      <w:r w:rsidRPr="00B5080E">
        <w:rPr>
          <w:rFonts w:hint="eastAsia"/>
          <w:rtl/>
        </w:rPr>
        <w:t>الأولى</w:t>
      </w:r>
      <w:r w:rsidRPr="00B5080E">
        <w:rPr>
          <w:rtl/>
        </w:rPr>
        <w:t>).</w:t>
      </w:r>
    </w:p>
    <w:p w:rsidR="00EA09EB" w:rsidRPr="00B5080E" w:rsidRDefault="00EA09EB" w:rsidP="00B5080E">
      <w:r w:rsidRPr="00B5080E">
        <w:rPr>
          <w:rFonts w:hint="cs"/>
          <w:rtl/>
        </w:rPr>
        <w:t xml:space="preserve">ـ </w:t>
      </w:r>
      <w:r w:rsidRPr="00B5080E">
        <w:rPr>
          <w:rFonts w:hint="eastAsia"/>
          <w:rtl/>
        </w:rPr>
        <w:t>محمد</w:t>
      </w:r>
      <w:r w:rsidRPr="00B5080E">
        <w:rPr>
          <w:rFonts w:hint="cs"/>
          <w:rtl/>
        </w:rPr>
        <w:t xml:space="preserve"> </w:t>
      </w:r>
      <w:r w:rsidRPr="00B5080E">
        <w:rPr>
          <w:rFonts w:hint="eastAsia"/>
          <w:rtl/>
        </w:rPr>
        <w:t>كاظم</w:t>
      </w:r>
      <w:r w:rsidRPr="00B5080E">
        <w:rPr>
          <w:rtl/>
        </w:rPr>
        <w:t xml:space="preserve"> </w:t>
      </w:r>
      <w:r w:rsidRPr="00B5080E">
        <w:rPr>
          <w:rFonts w:hint="eastAsia"/>
          <w:rtl/>
        </w:rPr>
        <w:t>رحمان</w:t>
      </w:r>
      <w:r w:rsidRPr="00B5080E">
        <w:rPr>
          <w:rtl/>
        </w:rPr>
        <w:t xml:space="preserve"> </w:t>
      </w:r>
      <w:r w:rsidRPr="00B5080E">
        <w:rPr>
          <w:rFonts w:hint="eastAsia"/>
          <w:rtl/>
        </w:rPr>
        <w:t>ستايش،</w:t>
      </w:r>
      <w:r w:rsidRPr="00B5080E">
        <w:rPr>
          <w:rtl/>
        </w:rPr>
        <w:t xml:space="preserve"> </w:t>
      </w:r>
      <w:r w:rsidRPr="00B5080E">
        <w:rPr>
          <w:rFonts w:hint="eastAsia"/>
          <w:rtl/>
        </w:rPr>
        <w:t>تحقيق</w:t>
      </w:r>
      <w:r w:rsidRPr="00B5080E">
        <w:rPr>
          <w:rtl/>
        </w:rPr>
        <w:t xml:space="preserve"> </w:t>
      </w:r>
      <w:r w:rsidRPr="00B5080E">
        <w:rPr>
          <w:rFonts w:hint="eastAsia"/>
          <w:rtl/>
        </w:rPr>
        <w:t>حكومت</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tl/>
        </w:rPr>
        <w:t xml:space="preserve"> </w:t>
      </w:r>
      <w:r w:rsidRPr="00B5080E">
        <w:rPr>
          <w:rFonts w:hint="eastAsia"/>
          <w:rtl/>
        </w:rPr>
        <w:t>در</w:t>
      </w:r>
      <w:r w:rsidRPr="00B5080E">
        <w:rPr>
          <w:rtl/>
        </w:rPr>
        <w:t xml:space="preserve"> </w:t>
      </w:r>
      <w:r w:rsidRPr="00B5080E">
        <w:rPr>
          <w:rFonts w:hint="cs"/>
          <w:rtl/>
        </w:rPr>
        <w:t>أن</w:t>
      </w:r>
      <w:r w:rsidRPr="00B5080E">
        <w:rPr>
          <w:rFonts w:hint="eastAsia"/>
          <w:rtl/>
        </w:rPr>
        <w:t>ديشه</w:t>
      </w:r>
      <w:r w:rsidRPr="00B5080E">
        <w:rPr>
          <w:rtl/>
        </w:rPr>
        <w:t xml:space="preserve"> </w:t>
      </w:r>
      <w:r w:rsidRPr="00B5080E">
        <w:rPr>
          <w:rFonts w:hint="eastAsia"/>
          <w:rtl/>
        </w:rPr>
        <w:t>فقيهان</w:t>
      </w:r>
      <w:r w:rsidRPr="00B5080E">
        <w:rPr>
          <w:rtl/>
        </w:rPr>
        <w:t xml:space="preserve"> </w:t>
      </w:r>
      <w:r w:rsidRPr="00B5080E">
        <w:rPr>
          <w:rFonts w:hint="eastAsia"/>
          <w:rtl/>
        </w:rPr>
        <w:t>شيعه،</w:t>
      </w:r>
      <w:r w:rsidRPr="00B5080E">
        <w:rPr>
          <w:rtl/>
        </w:rPr>
        <w:t xml:space="preserve"> </w:t>
      </w:r>
      <w:r w:rsidRPr="00B5080E">
        <w:rPr>
          <w:rFonts w:hint="eastAsia"/>
          <w:rtl/>
        </w:rPr>
        <w:t>قسم</w:t>
      </w:r>
      <w:r w:rsidRPr="00B5080E">
        <w:rPr>
          <w:rtl/>
        </w:rPr>
        <w:t xml:space="preserve"> </w:t>
      </w:r>
      <w:r w:rsidRPr="00B5080E">
        <w:rPr>
          <w:rFonts w:hint="eastAsia"/>
          <w:rtl/>
        </w:rPr>
        <w:t>الفكر</w:t>
      </w:r>
      <w:r w:rsidRPr="00B5080E">
        <w:rPr>
          <w:rtl/>
        </w:rPr>
        <w:t xml:space="preserve"> </w:t>
      </w:r>
      <w:r w:rsidRPr="00B5080E">
        <w:rPr>
          <w:rFonts w:hint="eastAsia"/>
          <w:rtl/>
        </w:rPr>
        <w:t>الإسلامي</w:t>
      </w:r>
      <w:r w:rsidRPr="00B5080E">
        <w:rPr>
          <w:rtl/>
        </w:rPr>
        <w:t xml:space="preserve"> </w:t>
      </w:r>
      <w:r w:rsidRPr="00B5080E">
        <w:rPr>
          <w:rFonts w:hint="eastAsia"/>
          <w:rtl/>
        </w:rPr>
        <w:t>في</w:t>
      </w:r>
      <w:r w:rsidRPr="00B5080E">
        <w:rPr>
          <w:rtl/>
        </w:rPr>
        <w:t xml:space="preserve"> </w:t>
      </w:r>
      <w:r w:rsidRPr="00B5080E">
        <w:rPr>
          <w:rFonts w:hint="eastAsia"/>
          <w:rtl/>
        </w:rPr>
        <w:t>مركز</w:t>
      </w:r>
      <w:r w:rsidRPr="00B5080E">
        <w:rPr>
          <w:rtl/>
        </w:rPr>
        <w:t xml:space="preserve"> </w:t>
      </w:r>
      <w:r w:rsidRPr="00B5080E">
        <w:rPr>
          <w:rFonts w:hint="eastAsia"/>
          <w:rtl/>
        </w:rPr>
        <w:t>الدراسات</w:t>
      </w:r>
      <w:r w:rsidRPr="00B5080E">
        <w:rPr>
          <w:rtl/>
        </w:rPr>
        <w:t xml:space="preserve"> </w:t>
      </w:r>
      <w:r w:rsidRPr="00B5080E">
        <w:rPr>
          <w:rFonts w:hint="eastAsia"/>
          <w:rtl/>
        </w:rPr>
        <w:t>الاستراتيجية،</w:t>
      </w:r>
      <w:r w:rsidRPr="00B5080E">
        <w:rPr>
          <w:rtl/>
        </w:rPr>
        <w:t xml:space="preserve"> (</w:t>
      </w:r>
      <w:r w:rsidRPr="00B5080E">
        <w:rPr>
          <w:rFonts w:hint="eastAsia"/>
          <w:rtl/>
        </w:rPr>
        <w:t>طهران،</w:t>
      </w:r>
      <w:r w:rsidRPr="00B5080E">
        <w:rPr>
          <w:rtl/>
        </w:rPr>
        <w:t xml:space="preserve"> 1375</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Fonts w:hint="cs"/>
          <w:rtl/>
        </w:rPr>
        <w:t xml:space="preserve"> </w:t>
      </w:r>
      <w:r w:rsidRPr="00B5080E">
        <w:rPr>
          <w:rFonts w:hint="eastAsia"/>
          <w:rtl/>
        </w:rPr>
        <w:t>حميد</w:t>
      </w:r>
      <w:r w:rsidRPr="00B5080E">
        <w:rPr>
          <w:rtl/>
        </w:rPr>
        <w:t xml:space="preserve"> </w:t>
      </w:r>
      <w:r w:rsidRPr="00B5080E">
        <w:rPr>
          <w:rFonts w:hint="eastAsia"/>
          <w:rtl/>
        </w:rPr>
        <w:t>روحان</w:t>
      </w:r>
      <w:r w:rsidRPr="00B5080E">
        <w:rPr>
          <w:rFonts w:hint="cs"/>
          <w:rtl/>
        </w:rPr>
        <w:t>ي</w:t>
      </w:r>
      <w:r w:rsidRPr="00B5080E">
        <w:rPr>
          <w:rtl/>
        </w:rPr>
        <w:t xml:space="preserve"> </w:t>
      </w:r>
      <w:r w:rsidRPr="00B5080E">
        <w:rPr>
          <w:rFonts w:hint="eastAsia"/>
          <w:rtl/>
        </w:rPr>
        <w:t>زيارت</w:t>
      </w:r>
      <w:r w:rsidRPr="00B5080E">
        <w:rPr>
          <w:rFonts w:hint="cs"/>
          <w:rtl/>
        </w:rPr>
        <w:t>ي</w:t>
      </w:r>
      <w:r w:rsidRPr="00B5080E">
        <w:rPr>
          <w:rFonts w:hint="eastAsia"/>
          <w:rtl/>
        </w:rPr>
        <w:t>،</w:t>
      </w:r>
      <w:r w:rsidRPr="00B5080E">
        <w:rPr>
          <w:rtl/>
        </w:rPr>
        <w:t xml:space="preserve"> </w:t>
      </w:r>
      <w:r w:rsidRPr="00B5080E">
        <w:rPr>
          <w:rFonts w:hint="eastAsia"/>
          <w:rtl/>
        </w:rPr>
        <w:t>بررس</w:t>
      </w:r>
      <w:r w:rsidRPr="00B5080E">
        <w:rPr>
          <w:rFonts w:hint="cs"/>
          <w:rtl/>
        </w:rPr>
        <w:t>ي</w:t>
      </w:r>
      <w:r w:rsidRPr="00B5080E">
        <w:rPr>
          <w:rtl/>
        </w:rPr>
        <w:t xml:space="preserve"> </w:t>
      </w:r>
      <w:r w:rsidRPr="00B5080E">
        <w:rPr>
          <w:rFonts w:hint="eastAsia"/>
          <w:rtl/>
        </w:rPr>
        <w:t>وتحليل</w:t>
      </w:r>
      <w:r w:rsidRPr="00B5080E">
        <w:rPr>
          <w:rFonts w:hint="cs"/>
          <w:rtl/>
        </w:rPr>
        <w:t>ي</w:t>
      </w:r>
      <w:r w:rsidRPr="00B5080E">
        <w:rPr>
          <w:rtl/>
        </w:rPr>
        <w:t xml:space="preserve"> </w:t>
      </w:r>
      <w:r w:rsidRPr="00B5080E">
        <w:rPr>
          <w:rFonts w:hint="cs"/>
          <w:rtl/>
        </w:rPr>
        <w:t>أ</w:t>
      </w:r>
      <w:r w:rsidRPr="00B5080E">
        <w:rPr>
          <w:rFonts w:hint="eastAsia"/>
          <w:rtl/>
        </w:rPr>
        <w:t>ز</w:t>
      </w:r>
      <w:r w:rsidRPr="00B5080E">
        <w:rPr>
          <w:rtl/>
        </w:rPr>
        <w:t xml:space="preserve"> </w:t>
      </w:r>
      <w:r w:rsidRPr="00B5080E">
        <w:rPr>
          <w:rFonts w:hint="eastAsia"/>
          <w:rtl/>
        </w:rPr>
        <w:t>نهضت</w:t>
      </w:r>
      <w:r w:rsidRPr="00B5080E">
        <w:rPr>
          <w:rtl/>
        </w:rPr>
        <w:t xml:space="preserve"> </w:t>
      </w:r>
      <w:r w:rsidRPr="00B5080E">
        <w:rPr>
          <w:rFonts w:hint="cs"/>
          <w:rtl/>
        </w:rPr>
        <w:t>إ</w:t>
      </w:r>
      <w:r w:rsidRPr="00B5080E">
        <w:rPr>
          <w:rFonts w:hint="eastAsia"/>
          <w:rtl/>
        </w:rPr>
        <w:t>مام</w:t>
      </w:r>
      <w:r w:rsidRPr="00B5080E">
        <w:rPr>
          <w:rFonts w:hint="cs"/>
          <w:rtl/>
        </w:rPr>
        <w:t xml:space="preserve"> </w:t>
      </w:r>
      <w:r w:rsidRPr="00B5080E">
        <w:rPr>
          <w:rFonts w:hint="eastAsia"/>
          <w:rtl/>
        </w:rPr>
        <w:t>خميني،</w:t>
      </w:r>
      <w:r w:rsidRPr="00B5080E">
        <w:rPr>
          <w:rtl/>
        </w:rPr>
        <w:t xml:space="preserve"> 3 </w:t>
      </w:r>
      <w:r w:rsidRPr="00B5080E">
        <w:rPr>
          <w:rFonts w:hint="eastAsia"/>
          <w:rtl/>
        </w:rPr>
        <w:t>مجلد،</w:t>
      </w:r>
      <w:r w:rsidRPr="00B5080E">
        <w:rPr>
          <w:rtl/>
        </w:rPr>
        <w:t xml:space="preserve"> (</w:t>
      </w:r>
      <w:r w:rsidRPr="00B5080E">
        <w:rPr>
          <w:rFonts w:hint="eastAsia"/>
          <w:rtl/>
        </w:rPr>
        <w:t>طهران،</w:t>
      </w:r>
      <w:r w:rsidRPr="00B5080E">
        <w:rPr>
          <w:rtl/>
        </w:rPr>
        <w:t xml:space="preserve"> 1372).</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نعمت</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صالح</w:t>
      </w:r>
      <w:r w:rsidRPr="00B5080E">
        <w:rPr>
          <w:rFonts w:hint="cs"/>
          <w:rtl/>
        </w:rPr>
        <w:t>ي</w:t>
      </w:r>
      <w:r w:rsidRPr="00B5080E">
        <w:rPr>
          <w:rtl/>
        </w:rPr>
        <w:t xml:space="preserve"> </w:t>
      </w:r>
      <w:r w:rsidRPr="00B5080E">
        <w:rPr>
          <w:rFonts w:hint="eastAsia"/>
          <w:rtl/>
        </w:rPr>
        <w:t>نجف</w:t>
      </w:r>
      <w:r w:rsidRPr="00B5080E">
        <w:rPr>
          <w:rtl/>
        </w:rPr>
        <w:t>‏</w:t>
      </w:r>
      <w:r w:rsidRPr="00B5080E">
        <w:rPr>
          <w:rFonts w:hint="eastAsia"/>
          <w:rtl/>
        </w:rPr>
        <w:t>آباد</w:t>
      </w:r>
      <w:r w:rsidRPr="00B5080E">
        <w:rPr>
          <w:rFonts w:hint="cs"/>
          <w:rtl/>
        </w:rPr>
        <w:t>ي</w:t>
      </w:r>
      <w:r w:rsidRPr="00B5080E">
        <w:rPr>
          <w:rFonts w:hint="eastAsia"/>
          <w:rtl/>
        </w:rPr>
        <w:t>،</w:t>
      </w:r>
      <w:r w:rsidRPr="00B5080E">
        <w:rPr>
          <w:rtl/>
        </w:rPr>
        <w:t xml:space="preserve"> </w:t>
      </w:r>
      <w:r w:rsidRPr="00B5080E">
        <w:rPr>
          <w:rFonts w:hint="eastAsia"/>
          <w:rtl/>
        </w:rPr>
        <w:t>ولايت</w:t>
      </w:r>
      <w:r w:rsidRPr="00B5080E">
        <w:rPr>
          <w:rtl/>
        </w:rPr>
        <w:t xml:space="preserve"> </w:t>
      </w:r>
      <w:r w:rsidRPr="00B5080E">
        <w:rPr>
          <w:rFonts w:hint="eastAsia"/>
          <w:rtl/>
        </w:rPr>
        <w:t>فقيه</w:t>
      </w:r>
      <w:r w:rsidRPr="00B5080E">
        <w:rPr>
          <w:rtl/>
        </w:rPr>
        <w:t xml:space="preserve"> </w:t>
      </w:r>
      <w:r w:rsidRPr="00B5080E">
        <w:rPr>
          <w:rFonts w:hint="eastAsia"/>
          <w:rtl/>
        </w:rPr>
        <w:t>حكومت</w:t>
      </w:r>
      <w:r w:rsidRPr="00B5080E">
        <w:rPr>
          <w:rtl/>
        </w:rPr>
        <w:t xml:space="preserve"> </w:t>
      </w:r>
      <w:r w:rsidRPr="00B5080E">
        <w:rPr>
          <w:rFonts w:hint="eastAsia"/>
          <w:rtl/>
        </w:rPr>
        <w:t>صالحان،</w:t>
      </w:r>
      <w:r w:rsidRPr="00B5080E">
        <w:rPr>
          <w:rtl/>
        </w:rPr>
        <w:t xml:space="preserve"> (</w:t>
      </w:r>
      <w:r w:rsidRPr="00B5080E">
        <w:rPr>
          <w:rFonts w:hint="eastAsia"/>
          <w:rtl/>
        </w:rPr>
        <w:t>طهران،</w:t>
      </w:r>
      <w:r w:rsidRPr="00B5080E">
        <w:rPr>
          <w:rtl/>
        </w:rPr>
        <w:t xml:space="preserve"> 1363).</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سيف</w:t>
      </w:r>
      <w:r w:rsidRPr="00B5080E">
        <w:rPr>
          <w:rFonts w:hint="cs"/>
          <w:rtl/>
        </w:rPr>
        <w:t xml:space="preserve"> </w:t>
      </w:r>
      <w:r w:rsidRPr="00B5080E">
        <w:rPr>
          <w:rtl/>
        </w:rPr>
        <w:t>‏</w:t>
      </w:r>
      <w:r w:rsidRPr="00B5080E">
        <w:rPr>
          <w:rFonts w:hint="eastAsia"/>
          <w:rtl/>
        </w:rPr>
        <w:t>الله</w:t>
      </w:r>
      <w:r w:rsidRPr="00B5080E">
        <w:rPr>
          <w:rtl/>
        </w:rPr>
        <w:t xml:space="preserve"> </w:t>
      </w:r>
      <w:r w:rsidRPr="00B5080E">
        <w:rPr>
          <w:rFonts w:hint="eastAsia"/>
          <w:rtl/>
        </w:rPr>
        <w:t>صرام</w:t>
      </w:r>
      <w:r w:rsidRPr="00B5080E">
        <w:rPr>
          <w:rFonts w:hint="cs"/>
          <w:rtl/>
        </w:rPr>
        <w:t>ي</w:t>
      </w:r>
      <w:r w:rsidRPr="00B5080E">
        <w:rPr>
          <w:rFonts w:hint="eastAsia"/>
          <w:rtl/>
        </w:rPr>
        <w:t>،</w:t>
      </w:r>
      <w:r w:rsidRPr="00B5080E">
        <w:rPr>
          <w:rtl/>
        </w:rPr>
        <w:t xml:space="preserve"> </w:t>
      </w:r>
      <w:r w:rsidRPr="00B5080E">
        <w:rPr>
          <w:rFonts w:hint="cs"/>
          <w:rtl/>
        </w:rPr>
        <w:t>أ</w:t>
      </w:r>
      <w:r w:rsidRPr="00B5080E">
        <w:rPr>
          <w:rFonts w:hint="eastAsia"/>
          <w:rtl/>
        </w:rPr>
        <w:t>حكام</w:t>
      </w:r>
      <w:r w:rsidRPr="00B5080E">
        <w:rPr>
          <w:rtl/>
        </w:rPr>
        <w:t xml:space="preserve"> </w:t>
      </w:r>
      <w:r w:rsidRPr="00B5080E">
        <w:rPr>
          <w:rFonts w:hint="eastAsia"/>
          <w:rtl/>
        </w:rPr>
        <w:t>مرتد</w:t>
      </w:r>
      <w:r w:rsidRPr="00B5080E">
        <w:rPr>
          <w:rtl/>
        </w:rPr>
        <w:t xml:space="preserve"> </w:t>
      </w:r>
      <w:r w:rsidRPr="00B5080E">
        <w:rPr>
          <w:rFonts w:hint="cs"/>
          <w:rtl/>
        </w:rPr>
        <w:t>أ</w:t>
      </w:r>
      <w:r w:rsidRPr="00B5080E">
        <w:rPr>
          <w:rFonts w:hint="eastAsia"/>
          <w:rtl/>
        </w:rPr>
        <w:t>ز</w:t>
      </w:r>
      <w:r w:rsidRPr="00B5080E">
        <w:rPr>
          <w:rtl/>
        </w:rPr>
        <w:t xml:space="preserve"> </w:t>
      </w:r>
      <w:r w:rsidRPr="00B5080E">
        <w:rPr>
          <w:rFonts w:hint="eastAsia"/>
          <w:rtl/>
        </w:rPr>
        <w:t>ديدگاه</w:t>
      </w:r>
      <w:r w:rsidRPr="00B5080E">
        <w:rPr>
          <w:rtl/>
        </w:rPr>
        <w:t xml:space="preserve"> </w:t>
      </w:r>
      <w:r w:rsidRPr="00B5080E">
        <w:rPr>
          <w:rFonts w:hint="cs"/>
          <w:rtl/>
        </w:rPr>
        <w:t>إ</w:t>
      </w:r>
      <w:r w:rsidRPr="00B5080E">
        <w:rPr>
          <w:rFonts w:hint="eastAsia"/>
          <w:rtl/>
        </w:rPr>
        <w:t>سلام</w:t>
      </w:r>
      <w:r w:rsidRPr="00B5080E">
        <w:rPr>
          <w:rtl/>
        </w:rPr>
        <w:t xml:space="preserve"> </w:t>
      </w:r>
      <w:r w:rsidRPr="00B5080E">
        <w:rPr>
          <w:rFonts w:hint="eastAsia"/>
          <w:rtl/>
        </w:rPr>
        <w:t>وحقوق</w:t>
      </w:r>
      <w:r w:rsidRPr="00B5080E">
        <w:rPr>
          <w:rtl/>
        </w:rPr>
        <w:t xml:space="preserve"> </w:t>
      </w:r>
      <w:r w:rsidRPr="00B5080E">
        <w:rPr>
          <w:rFonts w:hint="eastAsia"/>
          <w:rtl/>
        </w:rPr>
        <w:t>بشر،</w:t>
      </w:r>
      <w:r w:rsidRPr="00B5080E">
        <w:rPr>
          <w:rtl/>
        </w:rPr>
        <w:t xml:space="preserve"> (</w:t>
      </w:r>
      <w:r w:rsidRPr="00B5080E">
        <w:rPr>
          <w:rFonts w:hint="eastAsia"/>
          <w:rtl/>
        </w:rPr>
        <w:t>طهران،</w:t>
      </w:r>
      <w:r w:rsidRPr="00B5080E">
        <w:rPr>
          <w:rtl/>
        </w:rPr>
        <w:t xml:space="preserve"> 1376).</w:t>
      </w:r>
    </w:p>
    <w:p w:rsidR="00EA09EB" w:rsidRPr="00B5080E" w:rsidRDefault="00EA09EB" w:rsidP="00B5080E">
      <w:r w:rsidRPr="00B5080E">
        <w:rPr>
          <w:rFonts w:hint="cs"/>
          <w:rtl/>
        </w:rPr>
        <w:t xml:space="preserve">ـ </w:t>
      </w:r>
      <w:r w:rsidRPr="00B5080E">
        <w:rPr>
          <w:rFonts w:hint="eastAsia"/>
          <w:rtl/>
        </w:rPr>
        <w:t>صورت</w:t>
      </w:r>
      <w:r w:rsidRPr="00B5080E">
        <w:rPr>
          <w:rtl/>
        </w:rPr>
        <w:t xml:space="preserve"> </w:t>
      </w:r>
      <w:r w:rsidRPr="00B5080E">
        <w:rPr>
          <w:rFonts w:hint="eastAsia"/>
          <w:rtl/>
        </w:rPr>
        <w:t>مشروح</w:t>
      </w:r>
      <w:r w:rsidRPr="00B5080E">
        <w:rPr>
          <w:rtl/>
        </w:rPr>
        <w:t xml:space="preserve"> </w:t>
      </w:r>
      <w:r w:rsidRPr="00B5080E">
        <w:rPr>
          <w:rFonts w:hint="eastAsia"/>
          <w:rtl/>
        </w:rPr>
        <w:t>مذاكرات</w:t>
      </w:r>
      <w:r w:rsidRPr="00B5080E">
        <w:rPr>
          <w:rtl/>
        </w:rPr>
        <w:t xml:space="preserve"> </w:t>
      </w:r>
      <w:r w:rsidRPr="00B5080E">
        <w:rPr>
          <w:rFonts w:hint="eastAsia"/>
          <w:rtl/>
        </w:rPr>
        <w:t>شورا</w:t>
      </w:r>
      <w:r w:rsidRPr="00B5080E">
        <w:rPr>
          <w:rFonts w:hint="cs"/>
          <w:rtl/>
        </w:rPr>
        <w:t>ي</w:t>
      </w:r>
      <w:r w:rsidRPr="00B5080E">
        <w:rPr>
          <w:rtl/>
        </w:rPr>
        <w:t xml:space="preserve"> </w:t>
      </w:r>
      <w:r w:rsidRPr="00B5080E">
        <w:rPr>
          <w:rFonts w:hint="eastAsia"/>
          <w:rtl/>
        </w:rPr>
        <w:t>بازنگر</w:t>
      </w:r>
      <w:r w:rsidRPr="00B5080E">
        <w:rPr>
          <w:rFonts w:hint="cs"/>
          <w:rtl/>
        </w:rPr>
        <w:t>ي</w:t>
      </w:r>
      <w:r w:rsidRPr="00B5080E">
        <w:rPr>
          <w:rtl/>
        </w:rPr>
        <w:t xml:space="preserve"> </w:t>
      </w:r>
      <w:r w:rsidRPr="00B5080E">
        <w:rPr>
          <w:rFonts w:hint="eastAsia"/>
          <w:rtl/>
        </w:rPr>
        <w:t>قانون</w:t>
      </w:r>
      <w:r w:rsidRPr="00B5080E">
        <w:rPr>
          <w:rtl/>
        </w:rPr>
        <w:t xml:space="preserve"> </w:t>
      </w:r>
      <w:r w:rsidRPr="00B5080E">
        <w:rPr>
          <w:rFonts w:hint="cs"/>
          <w:rtl/>
        </w:rPr>
        <w:t>أ</w:t>
      </w:r>
      <w:r w:rsidRPr="00B5080E">
        <w:rPr>
          <w:rFonts w:hint="eastAsia"/>
          <w:rtl/>
        </w:rPr>
        <w:t>ساس</w:t>
      </w:r>
      <w:r w:rsidRPr="00B5080E">
        <w:rPr>
          <w:rFonts w:hint="cs"/>
          <w:rtl/>
        </w:rPr>
        <w:t>ي</w:t>
      </w:r>
      <w:r w:rsidRPr="00B5080E">
        <w:rPr>
          <w:rtl/>
        </w:rPr>
        <w:t xml:space="preserve"> </w:t>
      </w:r>
      <w:r w:rsidRPr="00B5080E">
        <w:rPr>
          <w:rFonts w:hint="eastAsia"/>
          <w:rtl/>
        </w:rPr>
        <w:t>جمهور</w:t>
      </w:r>
      <w:r w:rsidRPr="00B5080E">
        <w:rPr>
          <w:rFonts w:hint="cs"/>
          <w:rtl/>
        </w:rPr>
        <w:t>ي</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tl/>
        </w:rPr>
        <w:t xml:space="preserve"> </w:t>
      </w:r>
      <w:r w:rsidRPr="00B5080E">
        <w:rPr>
          <w:rFonts w:hint="cs"/>
          <w:rtl/>
        </w:rPr>
        <w:t>إ</w:t>
      </w:r>
      <w:r w:rsidRPr="00B5080E">
        <w:rPr>
          <w:rFonts w:hint="eastAsia"/>
          <w:rtl/>
        </w:rPr>
        <w:t>يران،</w:t>
      </w:r>
      <w:r w:rsidRPr="00B5080E">
        <w:rPr>
          <w:rtl/>
        </w:rPr>
        <w:t xml:space="preserve"> 4 </w:t>
      </w:r>
      <w:r w:rsidRPr="00B5080E">
        <w:rPr>
          <w:rFonts w:hint="eastAsia"/>
          <w:rtl/>
        </w:rPr>
        <w:t>مجلد،</w:t>
      </w:r>
      <w:r w:rsidRPr="00B5080E">
        <w:rPr>
          <w:rtl/>
        </w:rPr>
        <w:t xml:space="preserve"> (</w:t>
      </w:r>
      <w:r w:rsidRPr="00B5080E">
        <w:rPr>
          <w:rFonts w:hint="eastAsia"/>
          <w:rtl/>
        </w:rPr>
        <w:t>طهران،</w:t>
      </w:r>
      <w:r w:rsidRPr="00B5080E">
        <w:rPr>
          <w:rtl/>
        </w:rPr>
        <w:t xml:space="preserve"> 1369).</w:t>
      </w:r>
    </w:p>
    <w:p w:rsidR="00EA09EB" w:rsidRPr="00B5080E" w:rsidRDefault="00EA09EB" w:rsidP="00B5080E">
      <w:r w:rsidRPr="00B5080E">
        <w:rPr>
          <w:rFonts w:hint="cs"/>
          <w:rtl/>
        </w:rPr>
        <w:t xml:space="preserve">ـ </w:t>
      </w:r>
      <w:r w:rsidRPr="00B5080E">
        <w:rPr>
          <w:rFonts w:hint="eastAsia"/>
          <w:rtl/>
        </w:rPr>
        <w:t>صورت</w:t>
      </w:r>
      <w:r w:rsidRPr="00B5080E">
        <w:rPr>
          <w:rtl/>
        </w:rPr>
        <w:t xml:space="preserve"> </w:t>
      </w:r>
      <w:r w:rsidRPr="00B5080E">
        <w:rPr>
          <w:rFonts w:hint="eastAsia"/>
          <w:rtl/>
        </w:rPr>
        <w:t>مشروح</w:t>
      </w:r>
      <w:r w:rsidRPr="00B5080E">
        <w:rPr>
          <w:rtl/>
        </w:rPr>
        <w:t xml:space="preserve"> </w:t>
      </w:r>
      <w:r w:rsidRPr="00B5080E">
        <w:rPr>
          <w:rFonts w:hint="eastAsia"/>
          <w:rtl/>
        </w:rPr>
        <w:t>مذاكرات</w:t>
      </w:r>
      <w:r w:rsidRPr="00B5080E">
        <w:rPr>
          <w:rtl/>
        </w:rPr>
        <w:t xml:space="preserve"> </w:t>
      </w:r>
      <w:r w:rsidRPr="00B5080E">
        <w:rPr>
          <w:rFonts w:hint="eastAsia"/>
          <w:rtl/>
        </w:rPr>
        <w:t>مجلس</w:t>
      </w:r>
      <w:r w:rsidRPr="00B5080E">
        <w:rPr>
          <w:rtl/>
        </w:rPr>
        <w:t xml:space="preserve"> </w:t>
      </w:r>
      <w:r w:rsidRPr="00B5080E">
        <w:rPr>
          <w:rFonts w:hint="eastAsia"/>
          <w:rtl/>
        </w:rPr>
        <w:t>بررس</w:t>
      </w:r>
      <w:r w:rsidRPr="00B5080E">
        <w:rPr>
          <w:rFonts w:hint="cs"/>
          <w:rtl/>
        </w:rPr>
        <w:t>ي</w:t>
      </w:r>
      <w:r w:rsidRPr="00B5080E">
        <w:rPr>
          <w:rtl/>
        </w:rPr>
        <w:t xml:space="preserve"> </w:t>
      </w:r>
      <w:r w:rsidRPr="00B5080E">
        <w:rPr>
          <w:rFonts w:hint="eastAsia"/>
          <w:rtl/>
        </w:rPr>
        <w:t>نهاي</w:t>
      </w:r>
      <w:r w:rsidRPr="00B5080E">
        <w:rPr>
          <w:rFonts w:hint="cs"/>
          <w:rtl/>
        </w:rPr>
        <w:t>ي</w:t>
      </w:r>
      <w:r w:rsidRPr="00B5080E">
        <w:rPr>
          <w:rtl/>
        </w:rPr>
        <w:t xml:space="preserve"> </w:t>
      </w:r>
      <w:r w:rsidRPr="00B5080E">
        <w:rPr>
          <w:rFonts w:hint="eastAsia"/>
          <w:rtl/>
        </w:rPr>
        <w:t>قانون</w:t>
      </w:r>
      <w:r w:rsidRPr="00B5080E">
        <w:rPr>
          <w:rtl/>
        </w:rPr>
        <w:t xml:space="preserve"> </w:t>
      </w:r>
      <w:r w:rsidRPr="00B5080E">
        <w:rPr>
          <w:rFonts w:hint="cs"/>
          <w:rtl/>
        </w:rPr>
        <w:t>أ</w:t>
      </w:r>
      <w:r w:rsidRPr="00B5080E">
        <w:rPr>
          <w:rFonts w:hint="eastAsia"/>
          <w:rtl/>
        </w:rPr>
        <w:t>ساس</w:t>
      </w:r>
      <w:r w:rsidRPr="00B5080E">
        <w:rPr>
          <w:rFonts w:hint="cs"/>
          <w:rtl/>
        </w:rPr>
        <w:t>ي</w:t>
      </w:r>
      <w:r w:rsidRPr="00B5080E">
        <w:rPr>
          <w:rtl/>
        </w:rPr>
        <w:t xml:space="preserve"> </w:t>
      </w:r>
      <w:r w:rsidRPr="00B5080E">
        <w:rPr>
          <w:rFonts w:hint="eastAsia"/>
          <w:rtl/>
        </w:rPr>
        <w:t>جمهور</w:t>
      </w:r>
      <w:r w:rsidRPr="00B5080E">
        <w:rPr>
          <w:rFonts w:hint="cs"/>
          <w:rtl/>
        </w:rPr>
        <w:t>ي</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tl/>
        </w:rPr>
        <w:t xml:space="preserve"> </w:t>
      </w:r>
      <w:r w:rsidRPr="00B5080E">
        <w:rPr>
          <w:rFonts w:hint="cs"/>
          <w:rtl/>
        </w:rPr>
        <w:t>إي</w:t>
      </w:r>
      <w:r w:rsidRPr="00B5080E">
        <w:rPr>
          <w:rFonts w:hint="eastAsia"/>
          <w:rtl/>
        </w:rPr>
        <w:t>ران،</w:t>
      </w:r>
      <w:r w:rsidRPr="00B5080E">
        <w:rPr>
          <w:rtl/>
        </w:rPr>
        <w:t xml:space="preserve"> 4 </w:t>
      </w:r>
      <w:r w:rsidRPr="00B5080E">
        <w:rPr>
          <w:rFonts w:hint="eastAsia"/>
          <w:rtl/>
        </w:rPr>
        <w:t>مجلد،</w:t>
      </w:r>
      <w:r w:rsidRPr="00B5080E">
        <w:rPr>
          <w:rtl/>
        </w:rPr>
        <w:t xml:space="preserve"> (</w:t>
      </w:r>
      <w:r w:rsidRPr="00B5080E">
        <w:rPr>
          <w:rFonts w:hint="eastAsia"/>
          <w:rtl/>
        </w:rPr>
        <w:t>طهران،</w:t>
      </w:r>
      <w:r w:rsidRPr="00B5080E">
        <w:rPr>
          <w:rtl/>
        </w:rPr>
        <w:t xml:space="preserve"> 1364).</w:t>
      </w:r>
    </w:p>
    <w:p w:rsidR="00EA09EB" w:rsidRPr="00B5080E" w:rsidRDefault="00EA09EB" w:rsidP="00B5080E">
      <w:r w:rsidRPr="00B5080E">
        <w:rPr>
          <w:rFonts w:hint="cs"/>
          <w:rtl/>
        </w:rPr>
        <w:t xml:space="preserve">ـ </w:t>
      </w:r>
      <w:r w:rsidRPr="00B5080E">
        <w:rPr>
          <w:rFonts w:hint="eastAsia"/>
          <w:rtl/>
        </w:rPr>
        <w:t>السيد</w:t>
      </w:r>
      <w:r w:rsidRPr="00B5080E">
        <w:rPr>
          <w:rFonts w:hint="cs"/>
          <w:rtl/>
        </w:rPr>
        <w:t xml:space="preserve"> </w:t>
      </w:r>
      <w:r w:rsidRPr="00B5080E">
        <w:rPr>
          <w:rFonts w:hint="eastAsia"/>
          <w:rtl/>
        </w:rPr>
        <w:t>جواد</w:t>
      </w:r>
      <w:r w:rsidRPr="00B5080E">
        <w:rPr>
          <w:rtl/>
        </w:rPr>
        <w:t xml:space="preserve"> </w:t>
      </w:r>
      <w:r w:rsidRPr="00B5080E">
        <w:rPr>
          <w:rFonts w:hint="eastAsia"/>
          <w:rtl/>
        </w:rPr>
        <w:t>الطباطبائي،</w:t>
      </w:r>
      <w:r w:rsidRPr="00B5080E">
        <w:rPr>
          <w:rtl/>
        </w:rPr>
        <w:t xml:space="preserve"> </w:t>
      </w:r>
      <w:r w:rsidRPr="00B5080E">
        <w:rPr>
          <w:rFonts w:hint="eastAsia"/>
          <w:rtl/>
        </w:rPr>
        <w:t>در</w:t>
      </w:r>
      <w:r w:rsidRPr="00B5080E">
        <w:rPr>
          <w:rFonts w:hint="cs"/>
          <w:rtl/>
        </w:rPr>
        <w:t xml:space="preserve"> </w:t>
      </w:r>
      <w:r w:rsidRPr="00B5080E">
        <w:rPr>
          <w:rFonts w:hint="eastAsia"/>
          <w:rtl/>
        </w:rPr>
        <w:t>آمدي</w:t>
      </w:r>
      <w:r w:rsidRPr="00B5080E">
        <w:rPr>
          <w:rtl/>
        </w:rPr>
        <w:t xml:space="preserve"> </w:t>
      </w:r>
      <w:r w:rsidRPr="00B5080E">
        <w:rPr>
          <w:rFonts w:hint="eastAsia"/>
          <w:rtl/>
        </w:rPr>
        <w:t>فلسف</w:t>
      </w:r>
      <w:r w:rsidRPr="00B5080E">
        <w:rPr>
          <w:rFonts w:hint="cs"/>
          <w:rtl/>
        </w:rPr>
        <w:t>ي</w:t>
      </w:r>
      <w:r w:rsidRPr="00B5080E">
        <w:rPr>
          <w:rtl/>
        </w:rPr>
        <w:t xml:space="preserve"> </w:t>
      </w:r>
      <w:r w:rsidRPr="00B5080E">
        <w:rPr>
          <w:rFonts w:hint="eastAsia"/>
          <w:rtl/>
        </w:rPr>
        <w:t>بر</w:t>
      </w:r>
      <w:r w:rsidRPr="00B5080E">
        <w:rPr>
          <w:rtl/>
        </w:rPr>
        <w:t xml:space="preserve"> </w:t>
      </w:r>
      <w:r w:rsidRPr="00B5080E">
        <w:rPr>
          <w:rFonts w:hint="eastAsia"/>
          <w:rtl/>
        </w:rPr>
        <w:t>تاريخ</w:t>
      </w:r>
      <w:r w:rsidRPr="00B5080E">
        <w:rPr>
          <w:rtl/>
        </w:rPr>
        <w:t xml:space="preserve"> </w:t>
      </w:r>
      <w:r w:rsidRPr="00B5080E">
        <w:rPr>
          <w:rFonts w:hint="cs"/>
          <w:rtl/>
        </w:rPr>
        <w:t>أ</w:t>
      </w:r>
      <w:r w:rsidRPr="00B5080E">
        <w:rPr>
          <w:rFonts w:hint="eastAsia"/>
          <w:rtl/>
        </w:rPr>
        <w:t>نديشه</w:t>
      </w:r>
      <w:r w:rsidRPr="00B5080E">
        <w:rPr>
          <w:rtl/>
        </w:rPr>
        <w:t xml:space="preserve"> </w:t>
      </w:r>
      <w:r w:rsidRPr="00B5080E">
        <w:rPr>
          <w:rFonts w:hint="eastAsia"/>
          <w:rtl/>
        </w:rPr>
        <w:t>سياس</w:t>
      </w:r>
      <w:r w:rsidRPr="00B5080E">
        <w:rPr>
          <w:rFonts w:hint="cs"/>
          <w:rtl/>
        </w:rPr>
        <w:t>ي</w:t>
      </w:r>
      <w:r w:rsidRPr="00B5080E">
        <w:rPr>
          <w:rtl/>
        </w:rPr>
        <w:t xml:space="preserve"> </w:t>
      </w:r>
      <w:r w:rsidRPr="00B5080E">
        <w:rPr>
          <w:rFonts w:hint="eastAsia"/>
          <w:rtl/>
        </w:rPr>
        <w:t>در</w:t>
      </w:r>
      <w:r w:rsidRPr="00B5080E">
        <w:rPr>
          <w:rtl/>
        </w:rPr>
        <w:t xml:space="preserve"> </w:t>
      </w:r>
      <w:r w:rsidRPr="00B5080E">
        <w:rPr>
          <w:rFonts w:hint="cs"/>
          <w:rtl/>
        </w:rPr>
        <w:t>إ</w:t>
      </w:r>
      <w:r w:rsidRPr="00B5080E">
        <w:rPr>
          <w:rFonts w:hint="eastAsia"/>
          <w:rtl/>
        </w:rPr>
        <w:t>يران،</w:t>
      </w:r>
      <w:r w:rsidRPr="00B5080E">
        <w:rPr>
          <w:rtl/>
        </w:rPr>
        <w:t xml:space="preserve"> (</w:t>
      </w:r>
      <w:r w:rsidRPr="00B5080E">
        <w:rPr>
          <w:rFonts w:hint="eastAsia"/>
          <w:rtl/>
        </w:rPr>
        <w:t>طهران،</w:t>
      </w:r>
      <w:r w:rsidRPr="00B5080E">
        <w:rPr>
          <w:rtl/>
        </w:rPr>
        <w:t xml:space="preserve"> 1367).</w:t>
      </w:r>
    </w:p>
    <w:p w:rsidR="00EA09EB" w:rsidRPr="00B5080E" w:rsidRDefault="00EA09EB" w:rsidP="00B5080E">
      <w:r w:rsidRPr="00B5080E">
        <w:rPr>
          <w:rFonts w:hint="cs"/>
          <w:rtl/>
        </w:rPr>
        <w:t xml:space="preserve">ـ </w:t>
      </w:r>
      <w:r w:rsidRPr="00B5080E">
        <w:rPr>
          <w:rFonts w:hint="eastAsia"/>
          <w:rtl/>
        </w:rPr>
        <w:t>السيد</w:t>
      </w:r>
      <w:r w:rsidRPr="00B5080E">
        <w:rPr>
          <w:rFonts w:hint="cs"/>
          <w:rtl/>
        </w:rPr>
        <w:t xml:space="preserve"> </w:t>
      </w:r>
      <w:r w:rsidRPr="00B5080E">
        <w:rPr>
          <w:rFonts w:hint="eastAsia"/>
          <w:rtl/>
        </w:rPr>
        <w:t>محمّد</w:t>
      </w:r>
      <w:r w:rsidRPr="00B5080E">
        <w:rPr>
          <w:rFonts w:hint="cs"/>
          <w:rtl/>
        </w:rPr>
        <w:t xml:space="preserve"> </w:t>
      </w:r>
      <w:r w:rsidRPr="00B5080E">
        <w:rPr>
          <w:rFonts w:hint="eastAsia"/>
          <w:rtl/>
        </w:rPr>
        <w:t>حسين</w:t>
      </w:r>
      <w:r w:rsidRPr="00B5080E">
        <w:rPr>
          <w:rtl/>
        </w:rPr>
        <w:t xml:space="preserve"> </w:t>
      </w:r>
      <w:r w:rsidRPr="00B5080E">
        <w:rPr>
          <w:rFonts w:hint="eastAsia"/>
          <w:rtl/>
        </w:rPr>
        <w:t>الطباطبائي،</w:t>
      </w:r>
      <w:r w:rsidRPr="00B5080E">
        <w:rPr>
          <w:rtl/>
        </w:rPr>
        <w:t xml:space="preserve"> «</w:t>
      </w:r>
      <w:r w:rsidRPr="00B5080E">
        <w:rPr>
          <w:rFonts w:hint="eastAsia"/>
          <w:rtl/>
        </w:rPr>
        <w:t>عل</w:t>
      </w:r>
      <w:r w:rsidRPr="00B5080E">
        <w:rPr>
          <w:rFonts w:hint="cs"/>
          <w:rtl/>
        </w:rPr>
        <w:t>ي</w:t>
      </w:r>
      <w:r w:rsidRPr="00B5080E">
        <w:rPr>
          <w:rtl/>
        </w:rPr>
        <w:t xml:space="preserve"> </w:t>
      </w:r>
      <w:r w:rsidRPr="00B5080E">
        <w:rPr>
          <w:rFonts w:hint="eastAsia"/>
          <w:rtl/>
        </w:rPr>
        <w:t>وفلسفه</w:t>
      </w:r>
      <w:r w:rsidRPr="00B5080E">
        <w:rPr>
          <w:rtl/>
        </w:rPr>
        <w:t xml:space="preserve"> </w:t>
      </w:r>
      <w:r w:rsidRPr="00B5080E">
        <w:rPr>
          <w:rFonts w:hint="cs"/>
          <w:rtl/>
        </w:rPr>
        <w:t>إ</w:t>
      </w:r>
      <w:r w:rsidRPr="00B5080E">
        <w:rPr>
          <w:rFonts w:hint="eastAsia"/>
          <w:rtl/>
        </w:rPr>
        <w:t>له</w:t>
      </w:r>
      <w:r w:rsidRPr="00B5080E">
        <w:rPr>
          <w:rFonts w:hint="cs"/>
          <w:rtl/>
        </w:rPr>
        <w:t>ي</w:t>
      </w:r>
      <w:r w:rsidRPr="00B5080E">
        <w:rPr>
          <w:rFonts w:hint="eastAsia"/>
          <w:rtl/>
        </w:rPr>
        <w:t>،</w:t>
      </w:r>
      <w:r w:rsidRPr="00B5080E">
        <w:rPr>
          <w:rtl/>
        </w:rPr>
        <w:t xml:space="preserve"> </w:t>
      </w:r>
      <w:r w:rsidRPr="00B5080E">
        <w:rPr>
          <w:rFonts w:hint="eastAsia"/>
          <w:rtl/>
        </w:rPr>
        <w:t>ورساله</w:t>
      </w:r>
      <w:r w:rsidRPr="00B5080E">
        <w:rPr>
          <w:rtl/>
        </w:rPr>
        <w:t xml:space="preserve"> </w:t>
      </w:r>
      <w:r w:rsidRPr="00B5080E">
        <w:rPr>
          <w:rFonts w:hint="eastAsia"/>
          <w:rtl/>
        </w:rPr>
        <w:t>وح</w:t>
      </w:r>
      <w:r w:rsidRPr="00B5080E">
        <w:rPr>
          <w:rFonts w:hint="cs"/>
          <w:rtl/>
        </w:rPr>
        <w:t>ي</w:t>
      </w:r>
      <w:r w:rsidRPr="00B5080E">
        <w:rPr>
          <w:rtl/>
        </w:rPr>
        <w:t xml:space="preserve"> </w:t>
      </w:r>
      <w:r w:rsidRPr="00B5080E">
        <w:rPr>
          <w:rFonts w:hint="eastAsia"/>
          <w:rtl/>
        </w:rPr>
        <w:t>يا</w:t>
      </w:r>
      <w:r w:rsidRPr="00B5080E">
        <w:rPr>
          <w:rtl/>
        </w:rPr>
        <w:t xml:space="preserve"> </w:t>
      </w:r>
      <w:r w:rsidRPr="00B5080E">
        <w:rPr>
          <w:rFonts w:hint="eastAsia"/>
          <w:rtl/>
        </w:rPr>
        <w:t>شعور</w:t>
      </w:r>
      <w:r w:rsidRPr="00B5080E">
        <w:rPr>
          <w:rtl/>
        </w:rPr>
        <w:t xml:space="preserve"> </w:t>
      </w:r>
      <w:r w:rsidRPr="00B5080E">
        <w:rPr>
          <w:rFonts w:hint="eastAsia"/>
          <w:rtl/>
        </w:rPr>
        <w:t>مرموز</w:t>
      </w:r>
      <w:r w:rsidRPr="00B5080E">
        <w:rPr>
          <w:rtl/>
        </w:rPr>
        <w:t xml:space="preserve">» </w:t>
      </w:r>
      <w:r w:rsidRPr="00B5080E">
        <w:rPr>
          <w:rFonts w:hint="eastAsia"/>
          <w:rtl/>
        </w:rPr>
        <w:t>في</w:t>
      </w:r>
      <w:r w:rsidRPr="00B5080E">
        <w:rPr>
          <w:rtl/>
        </w:rPr>
        <w:t xml:space="preserve"> </w:t>
      </w:r>
      <w:r w:rsidRPr="00B5080E">
        <w:rPr>
          <w:rFonts w:hint="eastAsia"/>
          <w:rtl/>
        </w:rPr>
        <w:t>كتاب</w:t>
      </w:r>
      <w:r w:rsidRPr="00B5080E">
        <w:rPr>
          <w:rtl/>
        </w:rPr>
        <w:t xml:space="preserve">: </w:t>
      </w:r>
      <w:r w:rsidRPr="00B5080E">
        <w:rPr>
          <w:rFonts w:hint="eastAsia"/>
          <w:rtl/>
        </w:rPr>
        <w:t>بررس</w:t>
      </w:r>
      <w:r w:rsidRPr="00B5080E">
        <w:rPr>
          <w:rFonts w:hint="cs"/>
          <w:rtl/>
        </w:rPr>
        <w:t>ي</w:t>
      </w:r>
      <w:r w:rsidRPr="00B5080E">
        <w:rPr>
          <w:rtl/>
        </w:rPr>
        <w:t>‏</w:t>
      </w:r>
      <w:r w:rsidRPr="00B5080E">
        <w:rPr>
          <w:rFonts w:hint="eastAsia"/>
          <w:rtl/>
        </w:rPr>
        <w:t>ها</w:t>
      </w:r>
      <w:r w:rsidRPr="00B5080E">
        <w:rPr>
          <w:rFonts w:hint="cs"/>
          <w:rtl/>
        </w:rPr>
        <w:t>ي</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Fonts w:hint="eastAsia"/>
          <w:rtl/>
        </w:rPr>
        <w:t>،</w:t>
      </w:r>
      <w:r w:rsidRPr="00B5080E">
        <w:rPr>
          <w:rtl/>
        </w:rPr>
        <w:t xml:space="preserve"> 3 </w:t>
      </w:r>
      <w:r w:rsidRPr="00B5080E">
        <w:rPr>
          <w:rFonts w:hint="eastAsia"/>
          <w:rtl/>
        </w:rPr>
        <w:t>مجلد،</w:t>
      </w:r>
      <w:r w:rsidRPr="00B5080E">
        <w:rPr>
          <w:rtl/>
        </w:rPr>
        <w:t xml:space="preserve"> </w:t>
      </w:r>
      <w:r w:rsidRPr="00B5080E">
        <w:rPr>
          <w:rFonts w:hint="eastAsia"/>
          <w:rtl/>
        </w:rPr>
        <w:t>إعداد</w:t>
      </w:r>
      <w:r w:rsidRPr="00B5080E">
        <w:rPr>
          <w:rtl/>
        </w:rPr>
        <w:t xml:space="preserve"> </w:t>
      </w:r>
      <w:r w:rsidRPr="00B5080E">
        <w:rPr>
          <w:rFonts w:hint="eastAsia"/>
          <w:rtl/>
        </w:rPr>
        <w:t>وتنظيم</w:t>
      </w:r>
      <w:r w:rsidRPr="00B5080E">
        <w:rPr>
          <w:rFonts w:hint="cs"/>
          <w:rtl/>
        </w:rPr>
        <w:t>:</w:t>
      </w:r>
      <w:r w:rsidRPr="00B5080E">
        <w:rPr>
          <w:rtl/>
        </w:rPr>
        <w:t xml:space="preserve"> </w:t>
      </w:r>
      <w:r w:rsidRPr="00B5080E">
        <w:rPr>
          <w:rFonts w:hint="eastAsia"/>
          <w:rtl/>
        </w:rPr>
        <w:t>السيد</w:t>
      </w:r>
      <w:r w:rsidRPr="00B5080E">
        <w:rPr>
          <w:rFonts w:hint="cs"/>
          <w:rtl/>
        </w:rPr>
        <w:t xml:space="preserve"> </w:t>
      </w:r>
      <w:r w:rsidRPr="00B5080E">
        <w:rPr>
          <w:rFonts w:hint="eastAsia"/>
          <w:rtl/>
        </w:rPr>
        <w:t>هاد</w:t>
      </w:r>
      <w:r w:rsidRPr="00B5080E">
        <w:rPr>
          <w:rFonts w:hint="cs"/>
          <w:rtl/>
        </w:rPr>
        <w:t>ي</w:t>
      </w:r>
      <w:r w:rsidRPr="00B5080E">
        <w:rPr>
          <w:rtl/>
        </w:rPr>
        <w:t xml:space="preserve"> </w:t>
      </w:r>
      <w:r w:rsidRPr="00B5080E">
        <w:rPr>
          <w:rFonts w:hint="eastAsia"/>
          <w:rtl/>
        </w:rPr>
        <w:t>خسروشاه</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1396</w:t>
      </w:r>
      <w:r w:rsidRPr="00B5080E">
        <w:rPr>
          <w:rFonts w:hint="cs"/>
          <w:rtl/>
        </w:rPr>
        <w:t xml:space="preserve"> ـ </w:t>
      </w:r>
      <w:r w:rsidRPr="00B5080E">
        <w:rPr>
          <w:rtl/>
        </w:rPr>
        <w:t>1400</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السيد</w:t>
      </w:r>
      <w:r w:rsidRPr="00B5080E">
        <w:rPr>
          <w:rFonts w:hint="cs"/>
          <w:rtl/>
        </w:rPr>
        <w:t xml:space="preserve"> </w:t>
      </w:r>
      <w:r w:rsidRPr="00B5080E">
        <w:rPr>
          <w:rFonts w:hint="eastAsia"/>
          <w:rtl/>
        </w:rPr>
        <w:t>محمّد</w:t>
      </w:r>
      <w:r w:rsidRPr="00B5080E">
        <w:rPr>
          <w:rFonts w:hint="cs"/>
          <w:rtl/>
        </w:rPr>
        <w:t xml:space="preserve"> </w:t>
      </w:r>
      <w:r w:rsidRPr="00B5080E">
        <w:rPr>
          <w:rFonts w:hint="eastAsia"/>
          <w:rtl/>
        </w:rPr>
        <w:t>حسين</w:t>
      </w:r>
      <w:r w:rsidRPr="00B5080E">
        <w:rPr>
          <w:rtl/>
        </w:rPr>
        <w:t xml:space="preserve"> </w:t>
      </w:r>
      <w:r w:rsidRPr="00B5080E">
        <w:rPr>
          <w:rFonts w:hint="eastAsia"/>
          <w:rtl/>
        </w:rPr>
        <w:t>الطباطبائي،</w:t>
      </w:r>
      <w:r w:rsidRPr="00B5080E">
        <w:rPr>
          <w:rtl/>
        </w:rPr>
        <w:t xml:space="preserve"> </w:t>
      </w:r>
      <w:r w:rsidRPr="00B5080E">
        <w:rPr>
          <w:rFonts w:hint="eastAsia"/>
          <w:rtl/>
        </w:rPr>
        <w:t>قرآن</w:t>
      </w:r>
      <w:r w:rsidRPr="00B5080E">
        <w:rPr>
          <w:rtl/>
        </w:rPr>
        <w:t xml:space="preserve"> </w:t>
      </w:r>
      <w:r w:rsidRPr="00B5080E">
        <w:rPr>
          <w:rFonts w:hint="eastAsia"/>
          <w:rtl/>
        </w:rPr>
        <w:t>در</w:t>
      </w:r>
      <w:r w:rsidRPr="00B5080E">
        <w:rPr>
          <w:rtl/>
        </w:rPr>
        <w:t xml:space="preserve"> </w:t>
      </w:r>
      <w:r w:rsidRPr="00B5080E">
        <w:rPr>
          <w:rFonts w:hint="cs"/>
          <w:rtl/>
        </w:rPr>
        <w:t>إ</w:t>
      </w:r>
      <w:r w:rsidRPr="00B5080E">
        <w:rPr>
          <w:rFonts w:hint="eastAsia"/>
          <w:rtl/>
        </w:rPr>
        <w:t>سلام،</w:t>
      </w:r>
      <w:r w:rsidRPr="00B5080E">
        <w:rPr>
          <w:rtl/>
        </w:rPr>
        <w:t xml:space="preserve"> (</w:t>
      </w:r>
      <w:r w:rsidRPr="00B5080E">
        <w:rPr>
          <w:rFonts w:hint="eastAsia"/>
          <w:rtl/>
        </w:rPr>
        <w:t>طهران،</w:t>
      </w:r>
      <w:r w:rsidRPr="00B5080E">
        <w:rPr>
          <w:rtl/>
        </w:rPr>
        <w:t xml:space="preserve"> 1353).</w:t>
      </w:r>
    </w:p>
    <w:p w:rsidR="00EA09EB" w:rsidRPr="00B5080E" w:rsidRDefault="00EA09EB" w:rsidP="00B5080E">
      <w:r w:rsidRPr="00B5080E">
        <w:rPr>
          <w:rFonts w:hint="cs"/>
          <w:rtl/>
        </w:rPr>
        <w:t xml:space="preserve">ـ </w:t>
      </w:r>
      <w:r w:rsidRPr="00B5080E">
        <w:rPr>
          <w:rFonts w:hint="eastAsia"/>
          <w:rtl/>
        </w:rPr>
        <w:t>حكيم</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فردوس</w:t>
      </w:r>
      <w:r w:rsidRPr="00B5080E">
        <w:rPr>
          <w:rFonts w:hint="cs"/>
          <w:rtl/>
        </w:rPr>
        <w:t>ي</w:t>
      </w:r>
      <w:r w:rsidRPr="00B5080E">
        <w:rPr>
          <w:rFonts w:hint="eastAsia"/>
          <w:rtl/>
        </w:rPr>
        <w:t>،</w:t>
      </w:r>
      <w:r w:rsidRPr="00B5080E">
        <w:rPr>
          <w:rtl/>
        </w:rPr>
        <w:t xml:space="preserve"> </w:t>
      </w:r>
      <w:r w:rsidRPr="00B5080E">
        <w:rPr>
          <w:rFonts w:hint="eastAsia"/>
          <w:rtl/>
        </w:rPr>
        <w:t>شاهنامه،</w:t>
      </w:r>
      <w:r w:rsidRPr="00B5080E">
        <w:rPr>
          <w:rtl/>
        </w:rPr>
        <w:t xml:space="preserve"> 4 </w:t>
      </w:r>
      <w:r w:rsidRPr="00B5080E">
        <w:rPr>
          <w:rFonts w:hint="eastAsia"/>
          <w:rtl/>
        </w:rPr>
        <w:t>مجلد،</w:t>
      </w:r>
      <w:r w:rsidRPr="00B5080E">
        <w:rPr>
          <w:rtl/>
        </w:rPr>
        <w:t xml:space="preserve"> </w:t>
      </w:r>
      <w:r w:rsidRPr="00B5080E">
        <w:rPr>
          <w:rFonts w:hint="eastAsia"/>
          <w:rtl/>
        </w:rPr>
        <w:t>تصحيح</w:t>
      </w:r>
      <w:r w:rsidRPr="00B5080E">
        <w:rPr>
          <w:rtl/>
        </w:rPr>
        <w:t xml:space="preserve"> </w:t>
      </w:r>
      <w:r w:rsidRPr="00B5080E">
        <w:rPr>
          <w:rFonts w:hint="eastAsia"/>
          <w:rtl/>
        </w:rPr>
        <w:t>ژول</w:t>
      </w:r>
      <w:r w:rsidRPr="00B5080E">
        <w:rPr>
          <w:rtl/>
        </w:rPr>
        <w:t xml:space="preserve"> </w:t>
      </w:r>
      <w:r w:rsidRPr="00B5080E">
        <w:rPr>
          <w:rFonts w:hint="eastAsia"/>
          <w:rtl/>
        </w:rPr>
        <w:t>مول،</w:t>
      </w:r>
      <w:r w:rsidRPr="00B5080E">
        <w:rPr>
          <w:rtl/>
        </w:rPr>
        <w:t xml:space="preserve"> (</w:t>
      </w:r>
      <w:r w:rsidRPr="00B5080E">
        <w:rPr>
          <w:rFonts w:hint="eastAsia"/>
          <w:rtl/>
        </w:rPr>
        <w:t>طهران،</w:t>
      </w:r>
      <w:r w:rsidRPr="00B5080E">
        <w:rPr>
          <w:rtl/>
        </w:rPr>
        <w:t xml:space="preserve"> 1369).</w:t>
      </w:r>
    </w:p>
    <w:p w:rsidR="00EA09EB" w:rsidRPr="00B5080E" w:rsidRDefault="00EA09EB" w:rsidP="00B5080E">
      <w:r w:rsidRPr="00B5080E">
        <w:rPr>
          <w:rFonts w:hint="cs"/>
          <w:rtl/>
        </w:rPr>
        <w:t xml:space="preserve">ـ </w:t>
      </w:r>
      <w:r w:rsidRPr="00B5080E">
        <w:rPr>
          <w:rFonts w:hint="eastAsia"/>
          <w:rtl/>
        </w:rPr>
        <w:t>قانون</w:t>
      </w:r>
      <w:r w:rsidRPr="00B5080E">
        <w:rPr>
          <w:rtl/>
        </w:rPr>
        <w:t xml:space="preserve"> </w:t>
      </w:r>
      <w:r w:rsidRPr="00B5080E">
        <w:rPr>
          <w:rFonts w:hint="cs"/>
          <w:rtl/>
        </w:rPr>
        <w:t>أ</w:t>
      </w:r>
      <w:r w:rsidRPr="00B5080E">
        <w:rPr>
          <w:rFonts w:hint="eastAsia"/>
          <w:rtl/>
        </w:rPr>
        <w:t>ساس</w:t>
      </w:r>
      <w:r w:rsidRPr="00B5080E">
        <w:rPr>
          <w:rFonts w:hint="cs"/>
          <w:rtl/>
        </w:rPr>
        <w:t>ي</w:t>
      </w:r>
      <w:r w:rsidRPr="00B5080E">
        <w:rPr>
          <w:rtl/>
        </w:rPr>
        <w:t xml:space="preserve"> </w:t>
      </w:r>
      <w:r w:rsidRPr="00B5080E">
        <w:rPr>
          <w:rFonts w:hint="eastAsia"/>
          <w:rtl/>
        </w:rPr>
        <w:t>جمهور</w:t>
      </w:r>
      <w:r w:rsidRPr="00B5080E">
        <w:rPr>
          <w:rFonts w:hint="cs"/>
          <w:rtl/>
        </w:rPr>
        <w:t>ي</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tl/>
        </w:rPr>
        <w:t xml:space="preserve"> </w:t>
      </w:r>
      <w:r w:rsidRPr="00B5080E">
        <w:rPr>
          <w:rFonts w:hint="cs"/>
          <w:rtl/>
        </w:rPr>
        <w:t>إ</w:t>
      </w:r>
      <w:r w:rsidRPr="00B5080E">
        <w:rPr>
          <w:rFonts w:hint="eastAsia"/>
          <w:rtl/>
        </w:rPr>
        <w:t>يران،</w:t>
      </w:r>
      <w:r w:rsidRPr="00B5080E">
        <w:rPr>
          <w:rtl/>
        </w:rPr>
        <w:t xml:space="preserve"> </w:t>
      </w:r>
      <w:r w:rsidRPr="00B5080E">
        <w:rPr>
          <w:rFonts w:hint="eastAsia"/>
          <w:rtl/>
        </w:rPr>
        <w:t>مصوب</w:t>
      </w:r>
      <w:r w:rsidRPr="00B5080E">
        <w:rPr>
          <w:rtl/>
        </w:rPr>
        <w:t xml:space="preserve"> </w:t>
      </w:r>
      <w:r w:rsidRPr="00B5080E">
        <w:rPr>
          <w:rFonts w:hint="eastAsia"/>
          <w:rtl/>
        </w:rPr>
        <w:t>سال</w:t>
      </w:r>
      <w:r w:rsidRPr="00B5080E">
        <w:rPr>
          <w:rtl/>
        </w:rPr>
        <w:t xml:space="preserve"> 1358</w:t>
      </w:r>
      <w:r w:rsidRPr="00B5080E">
        <w:rPr>
          <w:rFonts w:hint="eastAsia"/>
          <w:rtl/>
        </w:rPr>
        <w:t>،</w:t>
      </w:r>
      <w:r w:rsidRPr="00B5080E">
        <w:rPr>
          <w:rtl/>
        </w:rPr>
        <w:t xml:space="preserve"> </w:t>
      </w:r>
      <w:r w:rsidRPr="00B5080E">
        <w:rPr>
          <w:rFonts w:hint="eastAsia"/>
          <w:rtl/>
        </w:rPr>
        <w:t>با</w:t>
      </w:r>
      <w:r w:rsidRPr="00B5080E">
        <w:rPr>
          <w:rtl/>
        </w:rPr>
        <w:t xml:space="preserve"> </w:t>
      </w:r>
      <w:r w:rsidRPr="00B5080E">
        <w:rPr>
          <w:rFonts w:hint="cs"/>
          <w:rtl/>
        </w:rPr>
        <w:t>إ</w:t>
      </w:r>
      <w:r w:rsidRPr="00B5080E">
        <w:rPr>
          <w:rFonts w:hint="eastAsia"/>
          <w:rtl/>
        </w:rPr>
        <w:t>صلاحات</w:t>
      </w:r>
      <w:r w:rsidRPr="00B5080E">
        <w:rPr>
          <w:rtl/>
        </w:rPr>
        <w:t xml:space="preserve"> </w:t>
      </w:r>
      <w:r w:rsidRPr="00B5080E">
        <w:rPr>
          <w:rFonts w:hint="eastAsia"/>
          <w:rtl/>
        </w:rPr>
        <w:t>سال</w:t>
      </w:r>
      <w:r w:rsidRPr="00B5080E">
        <w:rPr>
          <w:rtl/>
        </w:rPr>
        <w:t xml:space="preserve"> 1368.</w:t>
      </w:r>
    </w:p>
    <w:p w:rsidR="00EA09EB" w:rsidRPr="00B5080E" w:rsidRDefault="00EA09EB" w:rsidP="00B5080E">
      <w:r w:rsidRPr="00B5080E">
        <w:rPr>
          <w:rFonts w:hint="cs"/>
          <w:rtl/>
        </w:rPr>
        <w:t>ـ أ</w:t>
      </w:r>
      <w:r w:rsidRPr="00B5080E">
        <w:rPr>
          <w:rFonts w:hint="eastAsia"/>
          <w:rtl/>
        </w:rPr>
        <w:t>بو</w:t>
      </w:r>
      <w:r w:rsidRPr="00B5080E">
        <w:rPr>
          <w:rFonts w:hint="cs"/>
          <w:rtl/>
        </w:rPr>
        <w:t xml:space="preserve"> </w:t>
      </w:r>
      <w:r w:rsidRPr="00B5080E">
        <w:rPr>
          <w:rFonts w:hint="eastAsia"/>
          <w:rtl/>
        </w:rPr>
        <w:t>الفضل</w:t>
      </w:r>
      <w:r w:rsidRPr="00B5080E">
        <w:rPr>
          <w:rtl/>
        </w:rPr>
        <w:t xml:space="preserve"> </w:t>
      </w:r>
      <w:r w:rsidRPr="00B5080E">
        <w:rPr>
          <w:rFonts w:hint="eastAsia"/>
          <w:rtl/>
        </w:rPr>
        <w:t>قاض</w:t>
      </w:r>
      <w:r w:rsidRPr="00B5080E">
        <w:rPr>
          <w:rFonts w:hint="cs"/>
          <w:rtl/>
        </w:rPr>
        <w:t>ي</w:t>
      </w:r>
      <w:r w:rsidRPr="00B5080E">
        <w:rPr>
          <w:rFonts w:hint="eastAsia"/>
          <w:rtl/>
        </w:rPr>
        <w:t>،</w:t>
      </w:r>
      <w:r w:rsidRPr="00B5080E">
        <w:rPr>
          <w:rtl/>
        </w:rPr>
        <w:t xml:space="preserve"> </w:t>
      </w:r>
      <w:r w:rsidRPr="00B5080E">
        <w:rPr>
          <w:rFonts w:hint="eastAsia"/>
          <w:rtl/>
        </w:rPr>
        <w:t>حقوق</w:t>
      </w:r>
      <w:r w:rsidRPr="00B5080E">
        <w:rPr>
          <w:rtl/>
        </w:rPr>
        <w:t xml:space="preserve"> </w:t>
      </w:r>
      <w:r w:rsidRPr="00B5080E">
        <w:rPr>
          <w:rFonts w:hint="cs"/>
          <w:rtl/>
        </w:rPr>
        <w:t>أ</w:t>
      </w:r>
      <w:r w:rsidRPr="00B5080E">
        <w:rPr>
          <w:rFonts w:hint="eastAsia"/>
          <w:rtl/>
        </w:rPr>
        <w:t>ساس</w:t>
      </w:r>
      <w:r w:rsidRPr="00B5080E">
        <w:rPr>
          <w:rFonts w:hint="cs"/>
          <w:rtl/>
        </w:rPr>
        <w:t>ي</w:t>
      </w:r>
      <w:r w:rsidRPr="00B5080E">
        <w:rPr>
          <w:rtl/>
        </w:rPr>
        <w:t xml:space="preserve"> </w:t>
      </w:r>
      <w:r w:rsidRPr="00B5080E">
        <w:rPr>
          <w:rFonts w:hint="eastAsia"/>
          <w:rtl/>
        </w:rPr>
        <w:t>ونهادها</w:t>
      </w:r>
      <w:r w:rsidRPr="00B5080E">
        <w:rPr>
          <w:rFonts w:hint="cs"/>
          <w:rtl/>
        </w:rPr>
        <w:t>ي</w:t>
      </w:r>
      <w:r w:rsidRPr="00B5080E">
        <w:rPr>
          <w:rtl/>
        </w:rPr>
        <w:t xml:space="preserve"> </w:t>
      </w:r>
      <w:r w:rsidRPr="00B5080E">
        <w:rPr>
          <w:rFonts w:hint="eastAsia"/>
          <w:rtl/>
        </w:rPr>
        <w:t>سياس</w:t>
      </w:r>
      <w:r w:rsidRPr="00B5080E">
        <w:rPr>
          <w:rFonts w:hint="cs"/>
          <w:rtl/>
        </w:rPr>
        <w:t>ي</w:t>
      </w:r>
      <w:r w:rsidRPr="00B5080E">
        <w:rPr>
          <w:rFonts w:hint="eastAsia"/>
          <w:rtl/>
        </w:rPr>
        <w:t>،</w:t>
      </w:r>
      <w:r w:rsidRPr="00B5080E">
        <w:rPr>
          <w:rtl/>
        </w:rPr>
        <w:t xml:space="preserve"> </w:t>
      </w:r>
      <w:r w:rsidRPr="00B5080E">
        <w:rPr>
          <w:rFonts w:hint="eastAsia"/>
          <w:rtl/>
        </w:rPr>
        <w:t>المجلد</w:t>
      </w:r>
      <w:r w:rsidRPr="00B5080E">
        <w:rPr>
          <w:rtl/>
        </w:rPr>
        <w:t xml:space="preserve"> </w:t>
      </w:r>
      <w:r w:rsidRPr="00B5080E">
        <w:rPr>
          <w:rFonts w:hint="eastAsia"/>
          <w:rtl/>
        </w:rPr>
        <w:t>الأول</w:t>
      </w:r>
      <w:r w:rsidRPr="00B5080E">
        <w:rPr>
          <w:rtl/>
        </w:rPr>
        <w:t xml:space="preserve"> </w:t>
      </w:r>
      <w:r w:rsidRPr="00B5080E">
        <w:rPr>
          <w:rFonts w:hint="eastAsia"/>
          <w:rtl/>
        </w:rPr>
        <w:t>مبان</w:t>
      </w:r>
      <w:r w:rsidRPr="00B5080E">
        <w:rPr>
          <w:rFonts w:hint="cs"/>
          <w:rtl/>
        </w:rPr>
        <w:t>ي</w:t>
      </w:r>
      <w:r w:rsidRPr="00B5080E">
        <w:rPr>
          <w:rtl/>
        </w:rPr>
        <w:t xml:space="preserve"> </w:t>
      </w:r>
      <w:r w:rsidRPr="00B5080E">
        <w:rPr>
          <w:rFonts w:hint="eastAsia"/>
          <w:rtl/>
        </w:rPr>
        <w:t>وكليات،</w:t>
      </w:r>
      <w:r w:rsidRPr="00B5080E">
        <w:rPr>
          <w:rtl/>
        </w:rPr>
        <w:t xml:space="preserve"> (</w:t>
      </w:r>
      <w:r w:rsidRPr="00B5080E">
        <w:rPr>
          <w:rFonts w:hint="eastAsia"/>
          <w:rtl/>
        </w:rPr>
        <w:t>طهران،</w:t>
      </w:r>
      <w:r w:rsidRPr="00B5080E">
        <w:rPr>
          <w:rtl/>
        </w:rPr>
        <w:t xml:space="preserve"> 1368).</w:t>
      </w:r>
    </w:p>
    <w:p w:rsidR="00EA09EB" w:rsidRPr="00B5080E" w:rsidRDefault="00EA09EB" w:rsidP="00B5080E">
      <w:r w:rsidRPr="00B5080E">
        <w:rPr>
          <w:rFonts w:hint="cs"/>
          <w:rtl/>
        </w:rPr>
        <w:t xml:space="preserve">ـ </w:t>
      </w:r>
      <w:r w:rsidRPr="00B5080E">
        <w:rPr>
          <w:rFonts w:hint="eastAsia"/>
          <w:rtl/>
        </w:rPr>
        <w:t>الميرزا</w:t>
      </w:r>
      <w:r w:rsidRPr="00B5080E">
        <w:rPr>
          <w:rtl/>
        </w:rPr>
        <w:t xml:space="preserve"> </w:t>
      </w:r>
      <w:r w:rsidRPr="00B5080E">
        <w:rPr>
          <w:rFonts w:hint="cs"/>
          <w:rtl/>
        </w:rPr>
        <w:t>أ</w:t>
      </w:r>
      <w:r w:rsidRPr="00B5080E">
        <w:rPr>
          <w:rFonts w:hint="eastAsia"/>
          <w:rtl/>
        </w:rPr>
        <w:t>بو</w:t>
      </w:r>
      <w:r w:rsidRPr="00B5080E">
        <w:rPr>
          <w:rFonts w:hint="cs"/>
          <w:rtl/>
        </w:rPr>
        <w:t xml:space="preserve"> </w:t>
      </w:r>
      <w:r w:rsidRPr="00B5080E">
        <w:rPr>
          <w:rFonts w:hint="eastAsia"/>
          <w:rtl/>
        </w:rPr>
        <w:t>القاسم</w:t>
      </w:r>
      <w:r w:rsidRPr="00B5080E">
        <w:rPr>
          <w:rtl/>
        </w:rPr>
        <w:t xml:space="preserve"> </w:t>
      </w:r>
      <w:r w:rsidRPr="00B5080E">
        <w:rPr>
          <w:rFonts w:hint="eastAsia"/>
          <w:rtl/>
        </w:rPr>
        <w:t>قم</w:t>
      </w:r>
      <w:r w:rsidRPr="00B5080E">
        <w:rPr>
          <w:rFonts w:hint="cs"/>
          <w:rtl/>
        </w:rPr>
        <w:t>ّ</w:t>
      </w:r>
      <w:r w:rsidRPr="00B5080E">
        <w:rPr>
          <w:rFonts w:hint="eastAsia"/>
          <w:rtl/>
        </w:rPr>
        <w:t>ي،</w:t>
      </w:r>
      <w:r w:rsidRPr="00B5080E">
        <w:rPr>
          <w:rtl/>
        </w:rPr>
        <w:t xml:space="preserve"> </w:t>
      </w:r>
      <w:r w:rsidRPr="00B5080E">
        <w:rPr>
          <w:rFonts w:hint="cs"/>
          <w:rtl/>
        </w:rPr>
        <w:t>إ</w:t>
      </w:r>
      <w:r w:rsidRPr="00B5080E">
        <w:rPr>
          <w:rFonts w:hint="eastAsia"/>
          <w:rtl/>
        </w:rPr>
        <w:t>رشاد</w:t>
      </w:r>
      <w:r w:rsidRPr="00B5080E">
        <w:rPr>
          <w:rFonts w:hint="cs"/>
          <w:rtl/>
        </w:rPr>
        <w:t xml:space="preserve"> </w:t>
      </w:r>
      <w:r w:rsidRPr="00B5080E">
        <w:rPr>
          <w:rFonts w:hint="eastAsia"/>
          <w:rtl/>
        </w:rPr>
        <w:t>نامه،</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حسن</w:t>
      </w:r>
      <w:r w:rsidRPr="00B5080E">
        <w:rPr>
          <w:rtl/>
        </w:rPr>
        <w:t xml:space="preserve"> </w:t>
      </w:r>
      <w:r w:rsidRPr="00B5080E">
        <w:rPr>
          <w:rFonts w:hint="eastAsia"/>
          <w:rtl/>
        </w:rPr>
        <w:t>قاض</w:t>
      </w:r>
      <w:r w:rsidRPr="00B5080E">
        <w:rPr>
          <w:rFonts w:hint="cs"/>
          <w:rtl/>
        </w:rPr>
        <w:t>ي</w:t>
      </w:r>
      <w:r w:rsidRPr="00B5080E">
        <w:rPr>
          <w:rtl/>
        </w:rPr>
        <w:t xml:space="preserve"> </w:t>
      </w:r>
      <w:r w:rsidRPr="00B5080E">
        <w:rPr>
          <w:rFonts w:hint="eastAsia"/>
          <w:rtl/>
        </w:rPr>
        <w:t>الطباطبائي،</w:t>
      </w:r>
      <w:r w:rsidRPr="00B5080E">
        <w:rPr>
          <w:rtl/>
        </w:rPr>
        <w:t xml:space="preserve"> </w:t>
      </w:r>
      <w:r w:rsidRPr="00B5080E">
        <w:rPr>
          <w:rFonts w:hint="eastAsia"/>
          <w:rtl/>
        </w:rPr>
        <w:t>مجلة</w:t>
      </w:r>
      <w:r w:rsidRPr="00B5080E">
        <w:rPr>
          <w:rtl/>
        </w:rPr>
        <w:t xml:space="preserve"> </w:t>
      </w:r>
      <w:r w:rsidRPr="00B5080E">
        <w:rPr>
          <w:rFonts w:hint="eastAsia"/>
          <w:rtl/>
        </w:rPr>
        <w:t>كلية</w:t>
      </w:r>
      <w:r w:rsidRPr="00B5080E">
        <w:rPr>
          <w:rtl/>
        </w:rPr>
        <w:t xml:space="preserve"> </w:t>
      </w:r>
      <w:r w:rsidRPr="00B5080E">
        <w:rPr>
          <w:rFonts w:hint="cs"/>
          <w:rtl/>
        </w:rPr>
        <w:t>أ</w:t>
      </w:r>
      <w:r w:rsidRPr="00B5080E">
        <w:rPr>
          <w:rFonts w:hint="eastAsia"/>
          <w:rtl/>
        </w:rPr>
        <w:t>دبيات</w:t>
      </w:r>
      <w:r w:rsidRPr="00B5080E">
        <w:rPr>
          <w:rtl/>
        </w:rPr>
        <w:t xml:space="preserve"> </w:t>
      </w:r>
      <w:r w:rsidRPr="00B5080E">
        <w:rPr>
          <w:rFonts w:hint="eastAsia"/>
          <w:rtl/>
        </w:rPr>
        <w:t>وعلوم</w:t>
      </w:r>
      <w:r w:rsidRPr="00B5080E">
        <w:rPr>
          <w:rtl/>
        </w:rPr>
        <w:t xml:space="preserve"> </w:t>
      </w:r>
      <w:r w:rsidRPr="00B5080E">
        <w:rPr>
          <w:rFonts w:hint="cs"/>
          <w:rtl/>
        </w:rPr>
        <w:t>إن</w:t>
      </w:r>
      <w:r w:rsidRPr="00B5080E">
        <w:rPr>
          <w:rFonts w:hint="eastAsia"/>
          <w:rtl/>
        </w:rPr>
        <w:t>سا</w:t>
      </w:r>
      <w:r w:rsidRPr="00B5080E">
        <w:rPr>
          <w:rFonts w:hint="cs"/>
          <w:rtl/>
        </w:rPr>
        <w:t>ني</w:t>
      </w:r>
      <w:r w:rsidRPr="00B5080E">
        <w:rPr>
          <w:rFonts w:hint="eastAsia"/>
          <w:rtl/>
        </w:rPr>
        <w:t>،</w:t>
      </w:r>
      <w:r w:rsidRPr="00B5080E">
        <w:rPr>
          <w:rtl/>
        </w:rPr>
        <w:t xml:space="preserve"> </w:t>
      </w:r>
      <w:r w:rsidRPr="00B5080E">
        <w:rPr>
          <w:rFonts w:hint="eastAsia"/>
          <w:rtl/>
        </w:rPr>
        <w:t>ج</w:t>
      </w:r>
      <w:r w:rsidRPr="00B5080E">
        <w:rPr>
          <w:rtl/>
        </w:rPr>
        <w:t xml:space="preserve"> 20</w:t>
      </w:r>
      <w:r w:rsidRPr="00B5080E">
        <w:rPr>
          <w:rFonts w:hint="eastAsia"/>
          <w:rtl/>
        </w:rPr>
        <w:t>،</w:t>
      </w:r>
      <w:r w:rsidRPr="00B5080E">
        <w:rPr>
          <w:rtl/>
        </w:rPr>
        <w:t xml:space="preserve"> </w:t>
      </w:r>
      <w:r w:rsidRPr="00B5080E">
        <w:rPr>
          <w:rFonts w:hint="eastAsia"/>
          <w:rtl/>
        </w:rPr>
        <w:t>ش</w:t>
      </w:r>
      <w:r w:rsidRPr="00B5080E">
        <w:rPr>
          <w:rtl/>
        </w:rPr>
        <w:t xml:space="preserve"> 3</w:t>
      </w:r>
      <w:r w:rsidRPr="00B5080E">
        <w:rPr>
          <w:rFonts w:hint="eastAsia"/>
          <w:rtl/>
        </w:rPr>
        <w:t>،</w:t>
      </w:r>
      <w:r w:rsidRPr="00B5080E">
        <w:rPr>
          <w:rtl/>
        </w:rPr>
        <w:t xml:space="preserve"> (</w:t>
      </w:r>
      <w:r w:rsidRPr="00B5080E">
        <w:rPr>
          <w:rFonts w:hint="eastAsia"/>
          <w:rtl/>
        </w:rPr>
        <w:t>تبريز،</w:t>
      </w:r>
      <w:r w:rsidRPr="00B5080E">
        <w:rPr>
          <w:rtl/>
        </w:rPr>
        <w:t xml:space="preserve"> 1348</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محسن</w:t>
      </w:r>
      <w:r w:rsidRPr="00B5080E">
        <w:rPr>
          <w:rtl/>
        </w:rPr>
        <w:t xml:space="preserve"> </w:t>
      </w:r>
      <w:r w:rsidRPr="00B5080E">
        <w:rPr>
          <w:rFonts w:hint="eastAsia"/>
          <w:rtl/>
        </w:rPr>
        <w:t>كديور،</w:t>
      </w:r>
      <w:r w:rsidRPr="00B5080E">
        <w:rPr>
          <w:rtl/>
        </w:rPr>
        <w:t xml:space="preserve"> </w:t>
      </w:r>
      <w:r w:rsidRPr="00B5080E">
        <w:rPr>
          <w:rFonts w:hint="eastAsia"/>
          <w:rtl/>
        </w:rPr>
        <w:t>نظريه</w:t>
      </w:r>
      <w:r w:rsidRPr="00B5080E">
        <w:rPr>
          <w:rtl/>
        </w:rPr>
        <w:t>‏</w:t>
      </w:r>
      <w:r w:rsidRPr="00B5080E">
        <w:rPr>
          <w:rFonts w:hint="eastAsia"/>
          <w:rtl/>
        </w:rPr>
        <w:t>ها</w:t>
      </w:r>
      <w:r w:rsidRPr="00B5080E">
        <w:rPr>
          <w:rFonts w:hint="cs"/>
          <w:rtl/>
        </w:rPr>
        <w:t>ي</w:t>
      </w:r>
      <w:r w:rsidRPr="00B5080E">
        <w:rPr>
          <w:rtl/>
        </w:rPr>
        <w:t xml:space="preserve"> </w:t>
      </w:r>
      <w:r w:rsidRPr="00B5080E">
        <w:rPr>
          <w:rFonts w:hint="eastAsia"/>
          <w:rtl/>
        </w:rPr>
        <w:t>دولت</w:t>
      </w:r>
      <w:r w:rsidRPr="00B5080E">
        <w:rPr>
          <w:rtl/>
        </w:rPr>
        <w:t xml:space="preserve"> </w:t>
      </w:r>
      <w:r w:rsidRPr="00B5080E">
        <w:rPr>
          <w:rFonts w:hint="eastAsia"/>
          <w:rtl/>
        </w:rPr>
        <w:t>در</w:t>
      </w:r>
      <w:r w:rsidRPr="00B5080E">
        <w:rPr>
          <w:rtl/>
        </w:rPr>
        <w:t xml:space="preserve"> </w:t>
      </w:r>
      <w:r w:rsidRPr="00B5080E">
        <w:rPr>
          <w:rFonts w:hint="eastAsia"/>
          <w:rtl/>
        </w:rPr>
        <w:t>فقه</w:t>
      </w:r>
      <w:r w:rsidRPr="00B5080E">
        <w:rPr>
          <w:rtl/>
        </w:rPr>
        <w:t xml:space="preserve"> </w:t>
      </w:r>
      <w:r w:rsidRPr="00B5080E">
        <w:rPr>
          <w:rFonts w:hint="eastAsia"/>
          <w:rtl/>
        </w:rPr>
        <w:t>شيعه،</w:t>
      </w:r>
      <w:r w:rsidRPr="00B5080E">
        <w:rPr>
          <w:rtl/>
        </w:rPr>
        <w:t xml:space="preserve"> (</w:t>
      </w:r>
      <w:r w:rsidRPr="00B5080E">
        <w:rPr>
          <w:rFonts w:hint="eastAsia"/>
          <w:rtl/>
        </w:rPr>
        <w:t>طهران،</w:t>
      </w:r>
      <w:r w:rsidRPr="00B5080E">
        <w:rPr>
          <w:rtl/>
        </w:rPr>
        <w:t xml:space="preserve"> 1376</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محسن</w:t>
      </w:r>
      <w:r w:rsidRPr="00B5080E">
        <w:rPr>
          <w:rtl/>
        </w:rPr>
        <w:t xml:space="preserve"> </w:t>
      </w:r>
      <w:r w:rsidRPr="00B5080E">
        <w:rPr>
          <w:rFonts w:hint="eastAsia"/>
          <w:rtl/>
        </w:rPr>
        <w:t>كديور،</w:t>
      </w:r>
      <w:r w:rsidRPr="00B5080E">
        <w:rPr>
          <w:rtl/>
        </w:rPr>
        <w:t xml:space="preserve"> </w:t>
      </w:r>
      <w:r w:rsidRPr="00B5080E">
        <w:rPr>
          <w:rFonts w:hint="eastAsia"/>
          <w:rtl/>
        </w:rPr>
        <w:t>سلسله</w:t>
      </w:r>
      <w:r w:rsidRPr="00B5080E">
        <w:rPr>
          <w:rtl/>
        </w:rPr>
        <w:t xml:space="preserve"> </w:t>
      </w:r>
      <w:r w:rsidRPr="00B5080E">
        <w:rPr>
          <w:rFonts w:hint="eastAsia"/>
          <w:rtl/>
        </w:rPr>
        <w:t>مقالات</w:t>
      </w:r>
      <w:r w:rsidRPr="00B5080E">
        <w:rPr>
          <w:rtl/>
        </w:rPr>
        <w:t xml:space="preserve"> «</w:t>
      </w:r>
      <w:r w:rsidRPr="00B5080E">
        <w:rPr>
          <w:rFonts w:hint="eastAsia"/>
          <w:rtl/>
        </w:rPr>
        <w:t>حكومت</w:t>
      </w:r>
      <w:r w:rsidRPr="00B5080E">
        <w:rPr>
          <w:rtl/>
        </w:rPr>
        <w:t xml:space="preserve"> </w:t>
      </w:r>
      <w:r w:rsidRPr="00B5080E">
        <w:rPr>
          <w:rFonts w:hint="eastAsia"/>
          <w:rtl/>
        </w:rPr>
        <w:t>انتصاب</w:t>
      </w:r>
      <w:r w:rsidRPr="00B5080E">
        <w:rPr>
          <w:rFonts w:hint="cs"/>
          <w:rtl/>
        </w:rPr>
        <w:t>ي</w:t>
      </w:r>
      <w:r w:rsidRPr="00B5080E">
        <w:rPr>
          <w:rtl/>
        </w:rPr>
        <w:t>»</w:t>
      </w:r>
      <w:r w:rsidRPr="00B5080E">
        <w:rPr>
          <w:rFonts w:hint="eastAsia"/>
          <w:rtl/>
        </w:rPr>
        <w:t>،</w:t>
      </w:r>
      <w:r w:rsidRPr="00B5080E">
        <w:rPr>
          <w:rtl/>
        </w:rPr>
        <w:t xml:space="preserve"> </w:t>
      </w:r>
      <w:r w:rsidRPr="00B5080E">
        <w:rPr>
          <w:rFonts w:hint="eastAsia"/>
          <w:rtl/>
        </w:rPr>
        <w:t>شهرية</w:t>
      </w:r>
      <w:r w:rsidRPr="00B5080E">
        <w:rPr>
          <w:rtl/>
        </w:rPr>
        <w:t xml:space="preserve"> </w:t>
      </w:r>
      <w:r w:rsidRPr="00B5080E">
        <w:rPr>
          <w:rFonts w:hint="eastAsia"/>
          <w:rtl/>
        </w:rPr>
        <w:t>آفتاب،</w:t>
      </w:r>
      <w:r w:rsidRPr="00B5080E">
        <w:rPr>
          <w:rtl/>
        </w:rPr>
        <w:t xml:space="preserve"> (</w:t>
      </w:r>
      <w:r w:rsidRPr="00B5080E">
        <w:rPr>
          <w:rFonts w:hint="eastAsia"/>
          <w:rtl/>
        </w:rPr>
        <w:t>طهران،</w:t>
      </w:r>
      <w:r w:rsidRPr="00B5080E">
        <w:rPr>
          <w:rtl/>
        </w:rPr>
        <w:t xml:space="preserve"> </w:t>
      </w:r>
      <w:r w:rsidRPr="00B5080E">
        <w:rPr>
          <w:rFonts w:hint="cs"/>
          <w:rtl/>
        </w:rPr>
        <w:t xml:space="preserve">1379 ـ </w:t>
      </w:r>
      <w:r w:rsidRPr="00B5080E">
        <w:rPr>
          <w:rtl/>
        </w:rPr>
        <w:t>13</w:t>
      </w:r>
      <w:r w:rsidRPr="00B5080E">
        <w:rPr>
          <w:rFonts w:hint="cs"/>
          <w:rtl/>
        </w:rPr>
        <w:t>80</w:t>
      </w:r>
      <w:r w:rsidRPr="00B5080E">
        <w:rPr>
          <w:rtl/>
        </w:rPr>
        <w:t>).</w:t>
      </w:r>
    </w:p>
    <w:p w:rsidR="00EA09EB" w:rsidRPr="00B5080E" w:rsidRDefault="00EA09EB" w:rsidP="00B5080E">
      <w:r w:rsidRPr="00B5080E">
        <w:rPr>
          <w:rFonts w:hint="cs"/>
          <w:rtl/>
        </w:rPr>
        <w:t xml:space="preserve">ـ </w:t>
      </w:r>
      <w:r w:rsidRPr="00B5080E">
        <w:rPr>
          <w:rFonts w:hint="eastAsia"/>
          <w:rtl/>
        </w:rPr>
        <w:t>محسن</w:t>
      </w:r>
      <w:r w:rsidRPr="00B5080E">
        <w:rPr>
          <w:rtl/>
        </w:rPr>
        <w:t xml:space="preserve"> </w:t>
      </w:r>
      <w:r w:rsidRPr="00B5080E">
        <w:rPr>
          <w:rFonts w:hint="eastAsia"/>
          <w:rtl/>
        </w:rPr>
        <w:t>كديور،</w:t>
      </w:r>
      <w:r w:rsidRPr="00B5080E">
        <w:rPr>
          <w:rtl/>
        </w:rPr>
        <w:t xml:space="preserve"> </w:t>
      </w:r>
      <w:r w:rsidRPr="00B5080E">
        <w:rPr>
          <w:rFonts w:hint="eastAsia"/>
          <w:rtl/>
        </w:rPr>
        <w:t>دغدغه</w:t>
      </w:r>
      <w:r w:rsidRPr="00B5080E">
        <w:rPr>
          <w:rtl/>
        </w:rPr>
        <w:t>‏</w:t>
      </w:r>
      <w:r w:rsidRPr="00B5080E">
        <w:rPr>
          <w:rFonts w:hint="eastAsia"/>
          <w:rtl/>
        </w:rPr>
        <w:t>ها</w:t>
      </w:r>
      <w:r w:rsidRPr="00B5080E">
        <w:rPr>
          <w:rFonts w:hint="cs"/>
          <w:rtl/>
        </w:rPr>
        <w:t>ي</w:t>
      </w:r>
      <w:r w:rsidRPr="00B5080E">
        <w:rPr>
          <w:rtl/>
        </w:rPr>
        <w:t xml:space="preserve"> </w:t>
      </w:r>
      <w:r w:rsidRPr="00B5080E">
        <w:rPr>
          <w:rFonts w:hint="eastAsia"/>
          <w:rtl/>
        </w:rPr>
        <w:t>حكومت</w:t>
      </w:r>
      <w:r w:rsidRPr="00B5080E">
        <w:rPr>
          <w:rtl/>
        </w:rPr>
        <w:t xml:space="preserve"> </w:t>
      </w:r>
      <w:r w:rsidRPr="00B5080E">
        <w:rPr>
          <w:rFonts w:hint="eastAsia"/>
          <w:rtl/>
        </w:rPr>
        <w:t>دين</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1379).</w:t>
      </w:r>
    </w:p>
    <w:p w:rsidR="00EA09EB" w:rsidRPr="00B5080E" w:rsidRDefault="00EA09EB" w:rsidP="00B5080E">
      <w:r w:rsidRPr="00B5080E">
        <w:rPr>
          <w:rFonts w:hint="cs"/>
          <w:rtl/>
        </w:rPr>
        <w:t xml:space="preserve">ـ </w:t>
      </w:r>
      <w:r w:rsidRPr="00B5080E">
        <w:rPr>
          <w:rFonts w:hint="eastAsia"/>
          <w:rtl/>
        </w:rPr>
        <w:t>السيدجعفر</w:t>
      </w:r>
      <w:r w:rsidRPr="00B5080E">
        <w:rPr>
          <w:rtl/>
        </w:rPr>
        <w:t xml:space="preserve"> </w:t>
      </w:r>
      <w:r w:rsidRPr="00B5080E">
        <w:rPr>
          <w:rFonts w:hint="eastAsia"/>
          <w:rtl/>
        </w:rPr>
        <w:t>داراب</w:t>
      </w:r>
      <w:r w:rsidRPr="00B5080E">
        <w:rPr>
          <w:rFonts w:hint="cs"/>
          <w:rtl/>
        </w:rPr>
        <w:t>ي</w:t>
      </w:r>
      <w:r w:rsidRPr="00B5080E">
        <w:rPr>
          <w:rtl/>
        </w:rPr>
        <w:t xml:space="preserve"> </w:t>
      </w:r>
      <w:r w:rsidRPr="00B5080E">
        <w:rPr>
          <w:rFonts w:hint="eastAsia"/>
          <w:rtl/>
        </w:rPr>
        <w:t>البروجردي</w:t>
      </w:r>
      <w:r w:rsidRPr="00B5080E">
        <w:rPr>
          <w:rtl/>
        </w:rPr>
        <w:t xml:space="preserve"> </w:t>
      </w:r>
      <w:r w:rsidRPr="00B5080E">
        <w:rPr>
          <w:rFonts w:hint="eastAsia"/>
          <w:rtl/>
        </w:rPr>
        <w:t>كشف</w:t>
      </w:r>
      <w:r w:rsidRPr="00B5080E">
        <w:rPr>
          <w:rFonts w:hint="cs"/>
          <w:rtl/>
        </w:rPr>
        <w:t>ي</w:t>
      </w:r>
      <w:r w:rsidRPr="00B5080E">
        <w:rPr>
          <w:rFonts w:hint="eastAsia"/>
          <w:rtl/>
        </w:rPr>
        <w:t>،</w:t>
      </w:r>
      <w:r w:rsidRPr="00B5080E">
        <w:rPr>
          <w:rtl/>
        </w:rPr>
        <w:t xml:space="preserve"> </w:t>
      </w:r>
      <w:r w:rsidRPr="00B5080E">
        <w:rPr>
          <w:rFonts w:hint="eastAsia"/>
          <w:rtl/>
        </w:rPr>
        <w:t>تحفة</w:t>
      </w:r>
      <w:r w:rsidRPr="00B5080E">
        <w:rPr>
          <w:rFonts w:hint="cs"/>
          <w:rtl/>
        </w:rPr>
        <w:t xml:space="preserve"> </w:t>
      </w:r>
      <w:r w:rsidRPr="00B5080E">
        <w:rPr>
          <w:rFonts w:hint="eastAsia"/>
          <w:rtl/>
        </w:rPr>
        <w:t>الملوك،</w:t>
      </w:r>
      <w:r w:rsidRPr="00B5080E">
        <w:rPr>
          <w:rtl/>
        </w:rPr>
        <w:t xml:space="preserve"> (</w:t>
      </w:r>
      <w:r w:rsidRPr="00B5080E">
        <w:rPr>
          <w:rFonts w:hint="eastAsia"/>
          <w:rtl/>
        </w:rPr>
        <w:t>الطبعة</w:t>
      </w:r>
      <w:r w:rsidRPr="00B5080E">
        <w:rPr>
          <w:rtl/>
        </w:rPr>
        <w:t xml:space="preserve"> </w:t>
      </w:r>
      <w:r w:rsidRPr="00B5080E">
        <w:rPr>
          <w:rFonts w:hint="eastAsia"/>
          <w:rtl/>
        </w:rPr>
        <w:t>الحجرية،</w:t>
      </w:r>
      <w:r w:rsidRPr="00B5080E">
        <w:rPr>
          <w:rtl/>
        </w:rPr>
        <w:t xml:space="preserve"> 1272</w:t>
      </w:r>
      <w:r w:rsidRPr="00B5080E">
        <w:rPr>
          <w:rFonts w:hint="cs"/>
          <w:rtl/>
        </w:rPr>
        <w:t>هـ</w:t>
      </w:r>
      <w:r w:rsidRPr="00B5080E">
        <w:rPr>
          <w:rtl/>
        </w:rPr>
        <w:t>).</w:t>
      </w:r>
    </w:p>
    <w:p w:rsidR="00EA09EB" w:rsidRPr="00B5080E" w:rsidRDefault="00EA09EB" w:rsidP="00B5080E">
      <w:r w:rsidRPr="00B5080E">
        <w:rPr>
          <w:rFonts w:hint="cs"/>
          <w:rtl/>
        </w:rPr>
        <w:t xml:space="preserve">ـ </w:t>
      </w:r>
      <w:r w:rsidRPr="00B5080E">
        <w:rPr>
          <w:rFonts w:hint="eastAsia"/>
          <w:rtl/>
        </w:rPr>
        <w:t>عبد</w:t>
      </w:r>
      <w:r w:rsidRPr="00B5080E">
        <w:rPr>
          <w:rFonts w:hint="cs"/>
          <w:rtl/>
        </w:rPr>
        <w:t xml:space="preserve"> </w:t>
      </w:r>
      <w:r w:rsidRPr="00B5080E">
        <w:rPr>
          <w:rFonts w:hint="eastAsia"/>
          <w:rtl/>
        </w:rPr>
        <w:t>الرزاق</w:t>
      </w:r>
      <w:r w:rsidRPr="00B5080E">
        <w:rPr>
          <w:rtl/>
        </w:rPr>
        <w:t xml:space="preserve"> </w:t>
      </w:r>
      <w:r w:rsidRPr="00B5080E">
        <w:rPr>
          <w:rFonts w:hint="eastAsia"/>
          <w:rtl/>
        </w:rPr>
        <w:t>فياض</w:t>
      </w:r>
      <w:r w:rsidRPr="00B5080E">
        <w:rPr>
          <w:rtl/>
        </w:rPr>
        <w:t xml:space="preserve"> </w:t>
      </w:r>
      <w:r w:rsidRPr="00B5080E">
        <w:rPr>
          <w:rFonts w:hint="eastAsia"/>
          <w:rtl/>
        </w:rPr>
        <w:t>لاهيج</w:t>
      </w:r>
      <w:r w:rsidRPr="00B5080E">
        <w:rPr>
          <w:rFonts w:hint="cs"/>
          <w:rtl/>
        </w:rPr>
        <w:t>ي</w:t>
      </w:r>
      <w:r w:rsidRPr="00B5080E">
        <w:rPr>
          <w:rFonts w:hint="eastAsia"/>
          <w:rtl/>
        </w:rPr>
        <w:t>،</w:t>
      </w:r>
      <w:r w:rsidRPr="00B5080E">
        <w:rPr>
          <w:rtl/>
        </w:rPr>
        <w:t xml:space="preserve"> </w:t>
      </w:r>
      <w:r w:rsidRPr="00B5080E">
        <w:rPr>
          <w:rFonts w:hint="eastAsia"/>
          <w:rtl/>
        </w:rPr>
        <w:t>سرمايه</w:t>
      </w:r>
      <w:r w:rsidRPr="00B5080E">
        <w:rPr>
          <w:rtl/>
        </w:rPr>
        <w:t xml:space="preserve"> </w:t>
      </w:r>
      <w:r w:rsidRPr="00B5080E">
        <w:rPr>
          <w:rFonts w:hint="cs"/>
          <w:rtl/>
        </w:rPr>
        <w:t>إي</w:t>
      </w:r>
      <w:r w:rsidRPr="00B5080E">
        <w:rPr>
          <w:rFonts w:hint="eastAsia"/>
          <w:rtl/>
        </w:rPr>
        <w:t>مان،</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صادق</w:t>
      </w:r>
      <w:r w:rsidRPr="00B5080E">
        <w:rPr>
          <w:rtl/>
        </w:rPr>
        <w:t xml:space="preserve"> </w:t>
      </w:r>
      <w:r w:rsidRPr="00B5080E">
        <w:rPr>
          <w:rFonts w:hint="cs"/>
          <w:rtl/>
        </w:rPr>
        <w:t>أ</w:t>
      </w:r>
      <w:r w:rsidRPr="00B5080E">
        <w:rPr>
          <w:rFonts w:hint="eastAsia"/>
          <w:rtl/>
        </w:rPr>
        <w:t>ردشير</w:t>
      </w:r>
      <w:r w:rsidRPr="00B5080E">
        <w:rPr>
          <w:rtl/>
        </w:rPr>
        <w:t xml:space="preserve"> </w:t>
      </w:r>
      <w:r w:rsidRPr="00B5080E">
        <w:rPr>
          <w:rFonts w:hint="eastAsia"/>
          <w:rtl/>
        </w:rPr>
        <w:t>لاريجان</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1364</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عبد</w:t>
      </w:r>
      <w:r w:rsidRPr="00B5080E">
        <w:rPr>
          <w:rFonts w:hint="cs"/>
          <w:rtl/>
        </w:rPr>
        <w:t xml:space="preserve"> </w:t>
      </w:r>
      <w:r w:rsidRPr="00B5080E">
        <w:rPr>
          <w:rFonts w:hint="eastAsia"/>
          <w:rtl/>
        </w:rPr>
        <w:t>الرزاق</w:t>
      </w:r>
      <w:r w:rsidRPr="00B5080E">
        <w:rPr>
          <w:rtl/>
        </w:rPr>
        <w:t xml:space="preserve"> </w:t>
      </w:r>
      <w:r w:rsidRPr="00B5080E">
        <w:rPr>
          <w:rFonts w:hint="eastAsia"/>
          <w:rtl/>
        </w:rPr>
        <w:t>فياض</w:t>
      </w:r>
      <w:r w:rsidRPr="00B5080E">
        <w:rPr>
          <w:rtl/>
        </w:rPr>
        <w:t xml:space="preserve"> </w:t>
      </w:r>
      <w:r w:rsidRPr="00B5080E">
        <w:rPr>
          <w:rFonts w:hint="eastAsia"/>
          <w:rtl/>
        </w:rPr>
        <w:t>لاهيج</w:t>
      </w:r>
      <w:r w:rsidRPr="00B5080E">
        <w:rPr>
          <w:rFonts w:hint="cs"/>
          <w:rtl/>
        </w:rPr>
        <w:t>ي</w:t>
      </w:r>
      <w:r w:rsidRPr="00B5080E">
        <w:rPr>
          <w:rFonts w:hint="eastAsia"/>
          <w:rtl/>
        </w:rPr>
        <w:t>،</w:t>
      </w:r>
      <w:r w:rsidRPr="00B5080E">
        <w:rPr>
          <w:rtl/>
        </w:rPr>
        <w:t xml:space="preserve"> </w:t>
      </w:r>
      <w:r w:rsidRPr="00B5080E">
        <w:rPr>
          <w:rFonts w:hint="eastAsia"/>
          <w:rtl/>
        </w:rPr>
        <w:t>گوهر</w:t>
      </w:r>
      <w:r w:rsidRPr="00B5080E">
        <w:rPr>
          <w:rtl/>
        </w:rPr>
        <w:t xml:space="preserve"> </w:t>
      </w:r>
      <w:r w:rsidRPr="00B5080E">
        <w:rPr>
          <w:rFonts w:hint="eastAsia"/>
          <w:rtl/>
        </w:rPr>
        <w:t>مراد،</w:t>
      </w:r>
      <w:r w:rsidRPr="00B5080E">
        <w:rPr>
          <w:rtl/>
        </w:rPr>
        <w:t xml:space="preserve"> </w:t>
      </w:r>
      <w:r w:rsidRPr="00B5080E">
        <w:rPr>
          <w:rFonts w:hint="eastAsia"/>
          <w:rtl/>
        </w:rPr>
        <w:t>تصحيح</w:t>
      </w:r>
      <w:r w:rsidRPr="00B5080E">
        <w:rPr>
          <w:rtl/>
        </w:rPr>
        <w:t xml:space="preserve"> </w:t>
      </w:r>
      <w:r w:rsidRPr="00B5080E">
        <w:rPr>
          <w:rFonts w:hint="eastAsia"/>
          <w:rtl/>
        </w:rPr>
        <w:t>مؤتمر</w:t>
      </w:r>
      <w:r w:rsidRPr="00B5080E">
        <w:rPr>
          <w:rtl/>
        </w:rPr>
        <w:t xml:space="preserve"> </w:t>
      </w:r>
      <w:r w:rsidRPr="00B5080E">
        <w:rPr>
          <w:rFonts w:hint="eastAsia"/>
          <w:rtl/>
        </w:rPr>
        <w:t>حكيم</w:t>
      </w:r>
      <w:r w:rsidRPr="00B5080E">
        <w:rPr>
          <w:rtl/>
        </w:rPr>
        <w:t xml:space="preserve"> </w:t>
      </w:r>
      <w:r w:rsidRPr="00B5080E">
        <w:rPr>
          <w:rFonts w:hint="eastAsia"/>
          <w:rtl/>
        </w:rPr>
        <w:t>لاهيج</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1372</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ملا</w:t>
      </w:r>
      <w:r w:rsidRPr="00B5080E">
        <w:rPr>
          <w:rFonts w:hint="cs"/>
          <w:rtl/>
        </w:rPr>
        <w:t xml:space="preserve">ّ </w:t>
      </w:r>
      <w:r w:rsidRPr="00B5080E">
        <w:rPr>
          <w:rFonts w:hint="eastAsia"/>
          <w:rtl/>
        </w:rPr>
        <w:t>محمّد</w:t>
      </w:r>
      <w:r w:rsidRPr="00B5080E">
        <w:rPr>
          <w:rFonts w:hint="cs"/>
          <w:rtl/>
        </w:rPr>
        <w:t xml:space="preserve"> </w:t>
      </w:r>
      <w:r w:rsidRPr="00B5080E">
        <w:rPr>
          <w:rFonts w:hint="eastAsia"/>
          <w:rtl/>
        </w:rPr>
        <w:t>باقر</w:t>
      </w:r>
      <w:r w:rsidRPr="00B5080E">
        <w:rPr>
          <w:rtl/>
        </w:rPr>
        <w:t xml:space="preserve"> </w:t>
      </w:r>
      <w:r w:rsidRPr="00B5080E">
        <w:rPr>
          <w:rFonts w:hint="eastAsia"/>
          <w:rtl/>
        </w:rPr>
        <w:t>مجلس</w:t>
      </w:r>
      <w:r w:rsidRPr="00B5080E">
        <w:rPr>
          <w:rFonts w:hint="cs"/>
          <w:rtl/>
        </w:rPr>
        <w:t>ي</w:t>
      </w:r>
      <w:r w:rsidRPr="00B5080E">
        <w:rPr>
          <w:rFonts w:hint="eastAsia"/>
          <w:rtl/>
        </w:rPr>
        <w:t>،</w:t>
      </w:r>
      <w:r w:rsidRPr="00B5080E">
        <w:rPr>
          <w:rtl/>
        </w:rPr>
        <w:t xml:space="preserve"> </w:t>
      </w:r>
      <w:r w:rsidRPr="00B5080E">
        <w:rPr>
          <w:rFonts w:hint="eastAsia"/>
          <w:rtl/>
        </w:rPr>
        <w:t>عين</w:t>
      </w:r>
      <w:r w:rsidRPr="00B5080E">
        <w:rPr>
          <w:rFonts w:hint="cs"/>
          <w:rtl/>
        </w:rPr>
        <w:t xml:space="preserve"> </w:t>
      </w:r>
      <w:r w:rsidRPr="00B5080E">
        <w:rPr>
          <w:rtl/>
        </w:rPr>
        <w:t>‏</w:t>
      </w:r>
      <w:r w:rsidRPr="00B5080E">
        <w:rPr>
          <w:rFonts w:hint="eastAsia"/>
          <w:rtl/>
        </w:rPr>
        <w:t>الحي</w:t>
      </w:r>
      <w:r w:rsidRPr="00B5080E">
        <w:rPr>
          <w:rFonts w:hint="cs"/>
          <w:rtl/>
        </w:rPr>
        <w:t>ا</w:t>
      </w:r>
      <w:r w:rsidRPr="00B5080E">
        <w:rPr>
          <w:rFonts w:hint="eastAsia"/>
          <w:rtl/>
        </w:rPr>
        <w:t>ة،</w:t>
      </w:r>
      <w:r w:rsidRPr="00B5080E">
        <w:rPr>
          <w:rtl/>
        </w:rPr>
        <w:t xml:space="preserve"> 3 </w:t>
      </w:r>
      <w:r w:rsidRPr="00B5080E">
        <w:rPr>
          <w:rFonts w:hint="eastAsia"/>
          <w:rtl/>
        </w:rPr>
        <w:t>مجلد،</w:t>
      </w:r>
      <w:r w:rsidRPr="00B5080E">
        <w:rPr>
          <w:rtl/>
        </w:rPr>
        <w:t xml:space="preserve"> (</w:t>
      </w:r>
      <w:r w:rsidRPr="00B5080E">
        <w:rPr>
          <w:rFonts w:hint="eastAsia"/>
          <w:rtl/>
        </w:rPr>
        <w:t>طهران،</w:t>
      </w:r>
      <w:r w:rsidRPr="00B5080E">
        <w:rPr>
          <w:rtl/>
        </w:rPr>
        <w:t xml:space="preserve"> 1341).</w:t>
      </w:r>
    </w:p>
    <w:p w:rsidR="00EA09EB" w:rsidRPr="00B5080E" w:rsidRDefault="00EA09EB" w:rsidP="00B5080E">
      <w:r w:rsidRPr="00B5080E">
        <w:rPr>
          <w:rFonts w:hint="cs"/>
          <w:rtl/>
        </w:rPr>
        <w:t xml:space="preserve">ـ </w:t>
      </w:r>
      <w:r w:rsidRPr="00B5080E">
        <w:rPr>
          <w:rFonts w:hint="eastAsia"/>
          <w:rtl/>
        </w:rPr>
        <w:t>شمس</w:t>
      </w:r>
      <w:r w:rsidRPr="00B5080E">
        <w:rPr>
          <w:rFonts w:hint="cs"/>
          <w:rtl/>
        </w:rPr>
        <w:t xml:space="preserve"> </w:t>
      </w:r>
      <w:r w:rsidRPr="00B5080E">
        <w:rPr>
          <w:rtl/>
        </w:rPr>
        <w:t>‏</w:t>
      </w:r>
      <w:r w:rsidRPr="00B5080E">
        <w:rPr>
          <w:rFonts w:hint="eastAsia"/>
          <w:rtl/>
        </w:rPr>
        <w:t>الدين</w:t>
      </w:r>
      <w:r w:rsidRPr="00B5080E">
        <w:rPr>
          <w:rtl/>
        </w:rPr>
        <w:t xml:space="preserve"> </w:t>
      </w:r>
      <w:r w:rsidRPr="00B5080E">
        <w:rPr>
          <w:rFonts w:hint="eastAsia"/>
          <w:rtl/>
        </w:rPr>
        <w:t>محمد</w:t>
      </w:r>
      <w:r w:rsidRPr="00B5080E">
        <w:rPr>
          <w:rtl/>
        </w:rPr>
        <w:t xml:space="preserve"> </w:t>
      </w:r>
      <w:r w:rsidRPr="00B5080E">
        <w:rPr>
          <w:rFonts w:hint="eastAsia"/>
          <w:rtl/>
        </w:rPr>
        <w:t>لاهيج</w:t>
      </w:r>
      <w:r w:rsidRPr="00B5080E">
        <w:rPr>
          <w:rFonts w:hint="cs"/>
          <w:rtl/>
        </w:rPr>
        <w:t>ي</w:t>
      </w:r>
      <w:r w:rsidRPr="00B5080E">
        <w:rPr>
          <w:rFonts w:hint="eastAsia"/>
          <w:rtl/>
        </w:rPr>
        <w:t>،</w:t>
      </w:r>
      <w:r w:rsidRPr="00B5080E">
        <w:rPr>
          <w:rtl/>
        </w:rPr>
        <w:t xml:space="preserve"> </w:t>
      </w:r>
      <w:r w:rsidRPr="00B5080E">
        <w:rPr>
          <w:rFonts w:hint="eastAsia"/>
          <w:rtl/>
        </w:rPr>
        <w:t>مفاتيح</w:t>
      </w:r>
      <w:r w:rsidRPr="00B5080E">
        <w:rPr>
          <w:rtl/>
        </w:rPr>
        <w:t>‏</w:t>
      </w:r>
      <w:r w:rsidRPr="00B5080E">
        <w:rPr>
          <w:rFonts w:hint="cs"/>
          <w:rtl/>
        </w:rPr>
        <w:t xml:space="preserve"> </w:t>
      </w:r>
      <w:r w:rsidRPr="00B5080E">
        <w:rPr>
          <w:rFonts w:hint="eastAsia"/>
          <w:rtl/>
        </w:rPr>
        <w:t>ال</w:t>
      </w:r>
      <w:r w:rsidRPr="00B5080E">
        <w:rPr>
          <w:rFonts w:hint="cs"/>
          <w:rtl/>
        </w:rPr>
        <w:t>إع</w:t>
      </w:r>
      <w:r w:rsidRPr="00B5080E">
        <w:rPr>
          <w:rFonts w:hint="eastAsia"/>
          <w:rtl/>
        </w:rPr>
        <w:t>جاز</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شرح</w:t>
      </w:r>
      <w:r w:rsidRPr="00B5080E">
        <w:rPr>
          <w:rtl/>
        </w:rPr>
        <w:t xml:space="preserve"> </w:t>
      </w:r>
      <w:r w:rsidRPr="00B5080E">
        <w:rPr>
          <w:rFonts w:hint="eastAsia"/>
          <w:rtl/>
        </w:rPr>
        <w:t>گلشن</w:t>
      </w:r>
      <w:r w:rsidRPr="00B5080E">
        <w:rPr>
          <w:rtl/>
        </w:rPr>
        <w:t xml:space="preserve"> </w:t>
      </w:r>
      <w:r w:rsidRPr="00B5080E">
        <w:rPr>
          <w:rFonts w:hint="eastAsia"/>
          <w:rtl/>
        </w:rPr>
        <w:t>راز،</w:t>
      </w:r>
      <w:r w:rsidRPr="00B5080E">
        <w:rPr>
          <w:rtl/>
        </w:rPr>
        <w:t xml:space="preserve"> </w:t>
      </w:r>
      <w:r w:rsidRPr="00B5080E">
        <w:rPr>
          <w:rFonts w:hint="eastAsia"/>
          <w:rtl/>
        </w:rPr>
        <w:t>تصحيح</w:t>
      </w:r>
      <w:r w:rsidRPr="00B5080E">
        <w:rPr>
          <w:rFonts w:hint="cs"/>
          <w:rtl/>
        </w:rPr>
        <w:t>:</w:t>
      </w:r>
      <w:r w:rsidRPr="00B5080E">
        <w:rPr>
          <w:rtl/>
        </w:rPr>
        <w:t xml:space="preserve"> </w:t>
      </w:r>
      <w:r w:rsidRPr="00B5080E">
        <w:rPr>
          <w:rFonts w:hint="eastAsia"/>
          <w:rtl/>
        </w:rPr>
        <w:t>محمّد</w:t>
      </w:r>
      <w:r w:rsidRPr="00B5080E">
        <w:rPr>
          <w:rFonts w:hint="cs"/>
          <w:rtl/>
        </w:rPr>
        <w:t xml:space="preserve"> </w:t>
      </w:r>
      <w:r w:rsidRPr="00B5080E">
        <w:rPr>
          <w:rFonts w:hint="eastAsia"/>
          <w:rtl/>
        </w:rPr>
        <w:t>رضا</w:t>
      </w:r>
      <w:r w:rsidRPr="00B5080E">
        <w:rPr>
          <w:rtl/>
        </w:rPr>
        <w:t xml:space="preserve"> </w:t>
      </w:r>
      <w:r w:rsidRPr="00B5080E">
        <w:rPr>
          <w:rFonts w:hint="eastAsia"/>
          <w:rtl/>
        </w:rPr>
        <w:t>برزگر</w:t>
      </w:r>
      <w:r w:rsidRPr="00B5080E">
        <w:rPr>
          <w:rtl/>
        </w:rPr>
        <w:t xml:space="preserve"> </w:t>
      </w:r>
      <w:r w:rsidRPr="00B5080E">
        <w:rPr>
          <w:rFonts w:hint="eastAsia"/>
          <w:rtl/>
        </w:rPr>
        <w:t>حقيق</w:t>
      </w:r>
      <w:r w:rsidRPr="00B5080E">
        <w:rPr>
          <w:rFonts w:hint="cs"/>
          <w:rtl/>
        </w:rPr>
        <w:t>ي</w:t>
      </w:r>
      <w:r w:rsidRPr="00B5080E">
        <w:rPr>
          <w:rtl/>
        </w:rPr>
        <w:t xml:space="preserve"> </w:t>
      </w:r>
      <w:r w:rsidRPr="00B5080E">
        <w:rPr>
          <w:rFonts w:hint="eastAsia"/>
          <w:rtl/>
        </w:rPr>
        <w:t>وعفت</w:t>
      </w:r>
      <w:r w:rsidRPr="00B5080E">
        <w:rPr>
          <w:rtl/>
        </w:rPr>
        <w:t xml:space="preserve"> </w:t>
      </w:r>
      <w:r w:rsidRPr="00B5080E">
        <w:rPr>
          <w:rFonts w:hint="eastAsia"/>
          <w:rtl/>
        </w:rPr>
        <w:t>كرباس</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1371</w:t>
      </w:r>
      <w:r w:rsidRPr="00B5080E">
        <w:rPr>
          <w:rFonts w:hint="cs"/>
          <w:rtl/>
        </w:rPr>
        <w:t>هـ.ش</w:t>
      </w:r>
      <w:r w:rsidRPr="00B5080E">
        <w:rPr>
          <w:rtl/>
        </w:rPr>
        <w:t>).</w:t>
      </w:r>
    </w:p>
    <w:p w:rsidR="00EA09EB" w:rsidRPr="00B5080E" w:rsidRDefault="00EA09EB" w:rsidP="00B5080E">
      <w:r w:rsidRPr="00B5080E">
        <w:rPr>
          <w:rFonts w:hint="cs"/>
          <w:rtl/>
        </w:rPr>
        <w:t xml:space="preserve">ـ </w:t>
      </w:r>
      <w:r w:rsidRPr="00B5080E">
        <w:rPr>
          <w:rFonts w:hint="eastAsia"/>
          <w:rtl/>
        </w:rPr>
        <w:t>مجموعه</w:t>
      </w:r>
      <w:r w:rsidRPr="00B5080E">
        <w:rPr>
          <w:rtl/>
        </w:rPr>
        <w:t xml:space="preserve"> </w:t>
      </w:r>
      <w:r w:rsidRPr="00B5080E">
        <w:rPr>
          <w:rFonts w:hint="eastAsia"/>
          <w:rtl/>
        </w:rPr>
        <w:t>مصوبات</w:t>
      </w:r>
      <w:r w:rsidRPr="00B5080E">
        <w:rPr>
          <w:rtl/>
        </w:rPr>
        <w:t xml:space="preserve"> </w:t>
      </w:r>
      <w:r w:rsidRPr="00B5080E">
        <w:rPr>
          <w:rFonts w:hint="cs"/>
          <w:rtl/>
        </w:rPr>
        <w:t>أ</w:t>
      </w:r>
      <w:r w:rsidRPr="00B5080E">
        <w:rPr>
          <w:rFonts w:hint="eastAsia"/>
          <w:rtl/>
        </w:rPr>
        <w:t>دوار</w:t>
      </w:r>
      <w:r w:rsidRPr="00B5080E">
        <w:rPr>
          <w:rtl/>
        </w:rPr>
        <w:t xml:space="preserve"> </w:t>
      </w:r>
      <w:r w:rsidRPr="00B5080E">
        <w:rPr>
          <w:rFonts w:hint="cs"/>
          <w:rtl/>
        </w:rPr>
        <w:t>أ</w:t>
      </w:r>
      <w:r w:rsidRPr="00B5080E">
        <w:rPr>
          <w:rFonts w:hint="eastAsia"/>
          <w:rtl/>
        </w:rPr>
        <w:t>ول</w:t>
      </w:r>
      <w:r w:rsidRPr="00B5080E">
        <w:rPr>
          <w:rtl/>
        </w:rPr>
        <w:t xml:space="preserve"> و</w:t>
      </w:r>
      <w:r w:rsidRPr="00B5080E">
        <w:rPr>
          <w:rFonts w:hint="eastAsia"/>
          <w:rtl/>
        </w:rPr>
        <w:t>دوّم</w:t>
      </w:r>
      <w:r w:rsidRPr="00B5080E">
        <w:rPr>
          <w:rtl/>
        </w:rPr>
        <w:t xml:space="preserve"> </w:t>
      </w:r>
      <w:r w:rsidRPr="00B5080E">
        <w:rPr>
          <w:rFonts w:hint="eastAsia"/>
          <w:rtl/>
        </w:rPr>
        <w:t>قانونگذار</w:t>
      </w:r>
      <w:r w:rsidRPr="00B5080E">
        <w:rPr>
          <w:rFonts w:hint="cs"/>
          <w:rtl/>
        </w:rPr>
        <w:t>ي</w:t>
      </w:r>
      <w:r w:rsidRPr="00B5080E">
        <w:rPr>
          <w:rtl/>
        </w:rPr>
        <w:t xml:space="preserve"> </w:t>
      </w:r>
      <w:r w:rsidRPr="00B5080E">
        <w:rPr>
          <w:rFonts w:hint="eastAsia"/>
          <w:rtl/>
        </w:rPr>
        <w:t>مجلس</w:t>
      </w:r>
      <w:r w:rsidRPr="00B5080E">
        <w:rPr>
          <w:rtl/>
        </w:rPr>
        <w:t xml:space="preserve"> </w:t>
      </w:r>
      <w:r w:rsidRPr="00B5080E">
        <w:rPr>
          <w:rFonts w:hint="eastAsia"/>
          <w:rtl/>
        </w:rPr>
        <w:t>شورا</w:t>
      </w:r>
      <w:r w:rsidRPr="00B5080E">
        <w:rPr>
          <w:rFonts w:hint="cs"/>
          <w:rtl/>
        </w:rPr>
        <w:t>ي</w:t>
      </w:r>
      <w:r w:rsidRPr="00B5080E">
        <w:rPr>
          <w:rtl/>
        </w:rPr>
        <w:t xml:space="preserve"> </w:t>
      </w:r>
      <w:r w:rsidRPr="00B5080E">
        <w:rPr>
          <w:rFonts w:hint="eastAsia"/>
          <w:rtl/>
        </w:rPr>
        <w:t>مل</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cs"/>
          <w:rtl/>
        </w:rPr>
        <w:t>إ</w:t>
      </w:r>
      <w:r w:rsidRPr="00B5080E">
        <w:rPr>
          <w:rFonts w:hint="eastAsia"/>
          <w:rtl/>
        </w:rPr>
        <w:t>سماعيل</w:t>
      </w:r>
      <w:r w:rsidRPr="00B5080E">
        <w:rPr>
          <w:rtl/>
        </w:rPr>
        <w:t xml:space="preserve"> </w:t>
      </w:r>
      <w:r w:rsidRPr="00B5080E">
        <w:rPr>
          <w:rFonts w:hint="eastAsia"/>
          <w:rtl/>
        </w:rPr>
        <w:t>محلات</w:t>
      </w:r>
      <w:r w:rsidRPr="00B5080E">
        <w:rPr>
          <w:rFonts w:hint="cs"/>
          <w:rtl/>
        </w:rPr>
        <w:t>ي</w:t>
      </w:r>
      <w:r w:rsidRPr="00B5080E">
        <w:rPr>
          <w:rFonts w:hint="eastAsia"/>
          <w:rtl/>
        </w:rPr>
        <w:t>،</w:t>
      </w:r>
      <w:r w:rsidRPr="00B5080E">
        <w:rPr>
          <w:rtl/>
        </w:rPr>
        <w:t xml:space="preserve"> </w:t>
      </w:r>
      <w:r w:rsidRPr="00B5080E">
        <w:rPr>
          <w:rFonts w:hint="eastAsia"/>
          <w:rtl/>
        </w:rPr>
        <w:t>رسالة</w:t>
      </w:r>
      <w:r w:rsidRPr="00B5080E">
        <w:rPr>
          <w:rtl/>
        </w:rPr>
        <w:t xml:space="preserve"> </w:t>
      </w:r>
      <w:r w:rsidRPr="00B5080E">
        <w:rPr>
          <w:rFonts w:hint="eastAsia"/>
          <w:rtl/>
        </w:rPr>
        <w:t>ال</w:t>
      </w:r>
      <w:r w:rsidRPr="00B5080E">
        <w:rPr>
          <w:rFonts w:hint="cs"/>
          <w:rtl/>
        </w:rPr>
        <w:t>لآلئ</w:t>
      </w:r>
      <w:r w:rsidRPr="00B5080E">
        <w:rPr>
          <w:rtl/>
        </w:rPr>
        <w:t xml:space="preserve"> </w:t>
      </w:r>
      <w:r w:rsidRPr="00B5080E">
        <w:rPr>
          <w:rFonts w:hint="eastAsia"/>
          <w:rtl/>
        </w:rPr>
        <w:t>المربوط</w:t>
      </w:r>
      <w:r w:rsidRPr="00B5080E">
        <w:rPr>
          <w:rFonts w:hint="cs"/>
          <w:rtl/>
        </w:rPr>
        <w:t>ة</w:t>
      </w:r>
      <w:r w:rsidRPr="00B5080E">
        <w:rPr>
          <w:rtl/>
        </w:rPr>
        <w:t xml:space="preserve"> </w:t>
      </w:r>
      <w:r w:rsidRPr="00B5080E">
        <w:rPr>
          <w:rFonts w:hint="eastAsia"/>
          <w:rtl/>
        </w:rPr>
        <w:t>ف</w:t>
      </w:r>
      <w:r w:rsidRPr="00B5080E">
        <w:rPr>
          <w:rFonts w:hint="cs"/>
          <w:rtl/>
        </w:rPr>
        <w:t>ي</w:t>
      </w:r>
      <w:r w:rsidRPr="00B5080E">
        <w:rPr>
          <w:rtl/>
        </w:rPr>
        <w:t xml:space="preserve"> </w:t>
      </w:r>
      <w:r w:rsidRPr="00B5080E">
        <w:rPr>
          <w:rFonts w:hint="eastAsia"/>
          <w:rtl/>
        </w:rPr>
        <w:t>وجوب</w:t>
      </w:r>
      <w:r w:rsidRPr="00B5080E">
        <w:rPr>
          <w:rtl/>
        </w:rPr>
        <w:t xml:space="preserve"> </w:t>
      </w:r>
      <w:r w:rsidRPr="00B5080E">
        <w:rPr>
          <w:rFonts w:hint="eastAsia"/>
          <w:rtl/>
        </w:rPr>
        <w:t>المشروط</w:t>
      </w:r>
      <w:r w:rsidRPr="00B5080E">
        <w:rPr>
          <w:rFonts w:hint="cs"/>
          <w:rtl/>
        </w:rPr>
        <w:t>ة</w:t>
      </w:r>
      <w:r w:rsidRPr="00B5080E">
        <w:rPr>
          <w:rFonts w:hint="eastAsia"/>
          <w:rtl/>
        </w:rPr>
        <w:t>،</w:t>
      </w:r>
      <w:r w:rsidRPr="00B5080E">
        <w:rPr>
          <w:rtl/>
        </w:rPr>
        <w:t xml:space="preserve"> </w:t>
      </w:r>
      <w:r w:rsidRPr="00B5080E">
        <w:rPr>
          <w:rFonts w:hint="eastAsia"/>
          <w:rtl/>
        </w:rPr>
        <w:t>في</w:t>
      </w:r>
      <w:r w:rsidRPr="00B5080E">
        <w:rPr>
          <w:rtl/>
        </w:rPr>
        <w:t xml:space="preserve"> </w:t>
      </w:r>
      <w:r w:rsidRPr="00B5080E">
        <w:rPr>
          <w:rFonts w:hint="eastAsia"/>
          <w:rtl/>
        </w:rPr>
        <w:t>كتاب</w:t>
      </w:r>
      <w:r w:rsidRPr="00B5080E">
        <w:rPr>
          <w:rtl/>
        </w:rPr>
        <w:t xml:space="preserve">: </w:t>
      </w:r>
      <w:r w:rsidRPr="00B5080E">
        <w:rPr>
          <w:rFonts w:hint="eastAsia"/>
          <w:rtl/>
        </w:rPr>
        <w:t>رسائل</w:t>
      </w:r>
      <w:r w:rsidRPr="00B5080E">
        <w:rPr>
          <w:rtl/>
        </w:rPr>
        <w:t xml:space="preserve"> </w:t>
      </w:r>
      <w:r w:rsidRPr="00B5080E">
        <w:rPr>
          <w:rFonts w:hint="eastAsia"/>
          <w:rtl/>
        </w:rPr>
        <w:t>مشروطيت،</w:t>
      </w:r>
      <w:r w:rsidRPr="00B5080E">
        <w:rPr>
          <w:rtl/>
        </w:rPr>
        <w:t xml:space="preserve"> </w:t>
      </w:r>
      <w:r w:rsidRPr="00B5080E">
        <w:rPr>
          <w:rFonts w:hint="eastAsia"/>
          <w:rtl/>
        </w:rPr>
        <w:t>إعداد</w:t>
      </w:r>
      <w:r w:rsidRPr="00B5080E">
        <w:rPr>
          <w:rtl/>
        </w:rPr>
        <w:t xml:space="preserve"> </w:t>
      </w:r>
      <w:r w:rsidRPr="00B5080E">
        <w:rPr>
          <w:rFonts w:hint="eastAsia"/>
          <w:rtl/>
        </w:rPr>
        <w:t>وتنظيم</w:t>
      </w:r>
      <w:r w:rsidRPr="00B5080E">
        <w:rPr>
          <w:rFonts w:hint="cs"/>
          <w:rtl/>
        </w:rPr>
        <w:t>:</w:t>
      </w:r>
      <w:r w:rsidRPr="00B5080E">
        <w:rPr>
          <w:rtl/>
        </w:rPr>
        <w:t xml:space="preserve"> </w:t>
      </w:r>
      <w:r w:rsidRPr="00B5080E">
        <w:rPr>
          <w:rFonts w:hint="eastAsia"/>
          <w:rtl/>
        </w:rPr>
        <w:t>غلام</w:t>
      </w:r>
      <w:r w:rsidRPr="00B5080E">
        <w:rPr>
          <w:rFonts w:hint="cs"/>
          <w:rtl/>
        </w:rPr>
        <w:t xml:space="preserve"> </w:t>
      </w:r>
      <w:r w:rsidRPr="00B5080E">
        <w:rPr>
          <w:rFonts w:hint="eastAsia"/>
          <w:rtl/>
        </w:rPr>
        <w:t>حسين</w:t>
      </w:r>
      <w:r w:rsidRPr="00B5080E">
        <w:rPr>
          <w:rtl/>
        </w:rPr>
        <w:t xml:space="preserve"> </w:t>
      </w:r>
      <w:r w:rsidRPr="00B5080E">
        <w:rPr>
          <w:rFonts w:hint="eastAsia"/>
          <w:rtl/>
        </w:rPr>
        <w:t>زرگر</w:t>
      </w:r>
      <w:r w:rsidRPr="00B5080E">
        <w:rPr>
          <w:rFonts w:hint="cs"/>
          <w:rtl/>
        </w:rPr>
        <w:t>ي</w:t>
      </w:r>
      <w:r w:rsidRPr="00B5080E">
        <w:rPr>
          <w:rtl/>
        </w:rPr>
        <w:t>‏</w:t>
      </w:r>
      <w:r w:rsidRPr="00B5080E">
        <w:rPr>
          <w:rFonts w:hint="eastAsia"/>
          <w:rtl/>
        </w:rPr>
        <w:t>نژاد،</w:t>
      </w:r>
      <w:r w:rsidRPr="00B5080E">
        <w:rPr>
          <w:rtl/>
        </w:rPr>
        <w:t xml:space="preserve"> (</w:t>
      </w:r>
      <w:r w:rsidRPr="00B5080E">
        <w:rPr>
          <w:rFonts w:hint="eastAsia"/>
          <w:rtl/>
        </w:rPr>
        <w:t>طهران،</w:t>
      </w:r>
      <w:r w:rsidRPr="00B5080E">
        <w:rPr>
          <w:rtl/>
        </w:rPr>
        <w:t xml:space="preserve"> 1376).</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tl/>
        </w:rPr>
        <w:t xml:space="preserve"> </w:t>
      </w:r>
      <w:r w:rsidRPr="00B5080E">
        <w:rPr>
          <w:rFonts w:hint="eastAsia"/>
          <w:rtl/>
        </w:rPr>
        <w:t>تق</w:t>
      </w:r>
      <w:r w:rsidRPr="00B5080E">
        <w:rPr>
          <w:rFonts w:hint="cs"/>
          <w:rtl/>
        </w:rPr>
        <w:t>ي</w:t>
      </w:r>
      <w:r w:rsidRPr="00B5080E">
        <w:rPr>
          <w:rtl/>
        </w:rPr>
        <w:t xml:space="preserve"> </w:t>
      </w:r>
      <w:r w:rsidRPr="00B5080E">
        <w:rPr>
          <w:rFonts w:hint="eastAsia"/>
          <w:rtl/>
        </w:rPr>
        <w:t>مصباح</w:t>
      </w:r>
      <w:r w:rsidRPr="00B5080E">
        <w:rPr>
          <w:rtl/>
        </w:rPr>
        <w:t xml:space="preserve"> </w:t>
      </w:r>
      <w:r w:rsidRPr="00B5080E">
        <w:rPr>
          <w:rFonts w:hint="eastAsia"/>
          <w:rtl/>
        </w:rPr>
        <w:t>اليزدي،</w:t>
      </w:r>
      <w:r w:rsidRPr="00B5080E">
        <w:rPr>
          <w:rtl/>
        </w:rPr>
        <w:t xml:space="preserve"> </w:t>
      </w:r>
      <w:r w:rsidRPr="00B5080E">
        <w:rPr>
          <w:rFonts w:hint="eastAsia"/>
          <w:rtl/>
        </w:rPr>
        <w:t>پرسشها</w:t>
      </w:r>
      <w:r w:rsidRPr="00B5080E">
        <w:rPr>
          <w:rtl/>
        </w:rPr>
        <w:t xml:space="preserve"> </w:t>
      </w:r>
      <w:r w:rsidRPr="00B5080E">
        <w:rPr>
          <w:rFonts w:hint="eastAsia"/>
          <w:rtl/>
        </w:rPr>
        <w:t>وپاسخها،</w:t>
      </w:r>
      <w:r w:rsidRPr="00B5080E">
        <w:rPr>
          <w:rtl/>
        </w:rPr>
        <w:t xml:space="preserve"> (</w:t>
      </w:r>
      <w:r w:rsidRPr="00B5080E">
        <w:rPr>
          <w:rFonts w:hint="eastAsia"/>
          <w:rtl/>
        </w:rPr>
        <w:t>قم،</w:t>
      </w:r>
      <w:r w:rsidRPr="00B5080E">
        <w:rPr>
          <w:rtl/>
        </w:rPr>
        <w:t xml:space="preserve"> 1378).</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tl/>
        </w:rPr>
        <w:t xml:space="preserve"> </w:t>
      </w:r>
      <w:r w:rsidRPr="00B5080E">
        <w:rPr>
          <w:rFonts w:hint="eastAsia"/>
          <w:rtl/>
        </w:rPr>
        <w:t>تق</w:t>
      </w:r>
      <w:r w:rsidRPr="00B5080E">
        <w:rPr>
          <w:rFonts w:hint="cs"/>
          <w:rtl/>
        </w:rPr>
        <w:t>ي</w:t>
      </w:r>
      <w:r w:rsidRPr="00B5080E">
        <w:rPr>
          <w:rtl/>
        </w:rPr>
        <w:t xml:space="preserve"> </w:t>
      </w:r>
      <w:r w:rsidRPr="00B5080E">
        <w:rPr>
          <w:rFonts w:hint="eastAsia"/>
          <w:rtl/>
        </w:rPr>
        <w:t>مصباح</w:t>
      </w:r>
      <w:r w:rsidRPr="00B5080E">
        <w:rPr>
          <w:rtl/>
        </w:rPr>
        <w:t xml:space="preserve"> </w:t>
      </w:r>
      <w:r w:rsidRPr="00B5080E">
        <w:rPr>
          <w:rFonts w:hint="eastAsia"/>
          <w:rtl/>
        </w:rPr>
        <w:t>اليزدي،</w:t>
      </w:r>
      <w:r w:rsidRPr="00B5080E">
        <w:rPr>
          <w:rtl/>
        </w:rPr>
        <w:t xml:space="preserve"> </w:t>
      </w:r>
      <w:r w:rsidRPr="00B5080E">
        <w:rPr>
          <w:rFonts w:hint="eastAsia"/>
          <w:rtl/>
        </w:rPr>
        <w:t>حقوق</w:t>
      </w:r>
      <w:r w:rsidRPr="00B5080E">
        <w:rPr>
          <w:rtl/>
        </w:rPr>
        <w:t xml:space="preserve"> </w:t>
      </w:r>
      <w:r w:rsidRPr="00B5080E">
        <w:rPr>
          <w:rFonts w:hint="eastAsia"/>
          <w:rtl/>
        </w:rPr>
        <w:t>وسياست</w:t>
      </w:r>
      <w:r w:rsidRPr="00B5080E">
        <w:rPr>
          <w:rtl/>
        </w:rPr>
        <w:t xml:space="preserve"> </w:t>
      </w:r>
      <w:r w:rsidRPr="00B5080E">
        <w:rPr>
          <w:rFonts w:hint="eastAsia"/>
          <w:rtl/>
        </w:rPr>
        <w:t>در</w:t>
      </w:r>
      <w:r w:rsidRPr="00B5080E">
        <w:rPr>
          <w:rtl/>
        </w:rPr>
        <w:t xml:space="preserve"> </w:t>
      </w:r>
      <w:r w:rsidRPr="00B5080E">
        <w:rPr>
          <w:rFonts w:hint="eastAsia"/>
          <w:rtl/>
        </w:rPr>
        <w:t>قرآن</w:t>
      </w:r>
      <w:r w:rsidRPr="00B5080E">
        <w:rPr>
          <w:rtl/>
        </w:rPr>
        <w:t xml:space="preserve"> (</w:t>
      </w:r>
      <w:r w:rsidRPr="00B5080E">
        <w:rPr>
          <w:rFonts w:hint="eastAsia"/>
          <w:rtl/>
        </w:rPr>
        <w:t>معارف</w:t>
      </w:r>
      <w:r w:rsidRPr="00B5080E">
        <w:rPr>
          <w:rtl/>
        </w:rPr>
        <w:t xml:space="preserve"> </w:t>
      </w:r>
      <w:r w:rsidRPr="00B5080E">
        <w:rPr>
          <w:rFonts w:hint="eastAsia"/>
          <w:rtl/>
        </w:rPr>
        <w:t>قرآن</w:t>
      </w:r>
      <w:r w:rsidRPr="00B5080E">
        <w:rPr>
          <w:rtl/>
        </w:rPr>
        <w:t xml:space="preserve"> </w:t>
      </w:r>
      <w:r w:rsidRPr="00B5080E">
        <w:rPr>
          <w:rFonts w:hint="cs"/>
          <w:rtl/>
        </w:rPr>
        <w:t>ـ</w:t>
      </w:r>
      <w:r w:rsidRPr="00B5080E">
        <w:rPr>
          <w:rtl/>
        </w:rPr>
        <w:t xml:space="preserve"> 9)</w:t>
      </w:r>
      <w:r w:rsidRPr="00B5080E">
        <w:rPr>
          <w:rFonts w:hint="eastAsia"/>
          <w:rtl/>
        </w:rPr>
        <w:t>،</w:t>
      </w:r>
      <w:r w:rsidRPr="00B5080E">
        <w:rPr>
          <w:rtl/>
        </w:rPr>
        <w:t xml:space="preserve"> </w:t>
      </w:r>
      <w:r w:rsidRPr="00B5080E">
        <w:rPr>
          <w:rFonts w:hint="eastAsia"/>
          <w:rtl/>
        </w:rPr>
        <w:t>شهيد</w:t>
      </w:r>
      <w:r w:rsidRPr="00B5080E">
        <w:rPr>
          <w:rtl/>
        </w:rPr>
        <w:t xml:space="preserve"> </w:t>
      </w:r>
      <w:r w:rsidRPr="00B5080E">
        <w:rPr>
          <w:rFonts w:hint="eastAsia"/>
          <w:rtl/>
        </w:rPr>
        <w:t>محمد</w:t>
      </w:r>
      <w:r w:rsidRPr="00B5080E">
        <w:rPr>
          <w:rtl/>
        </w:rPr>
        <w:t xml:space="preserve"> </w:t>
      </w:r>
      <w:r w:rsidRPr="00B5080E">
        <w:rPr>
          <w:rFonts w:hint="eastAsia"/>
          <w:rtl/>
        </w:rPr>
        <w:t>شهراب</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1377).</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tl/>
        </w:rPr>
        <w:t xml:space="preserve"> </w:t>
      </w:r>
      <w:r w:rsidRPr="00B5080E">
        <w:rPr>
          <w:rFonts w:hint="eastAsia"/>
          <w:rtl/>
        </w:rPr>
        <w:t>تق</w:t>
      </w:r>
      <w:r w:rsidRPr="00B5080E">
        <w:rPr>
          <w:rFonts w:hint="cs"/>
          <w:rtl/>
        </w:rPr>
        <w:t>ي</w:t>
      </w:r>
      <w:r w:rsidRPr="00B5080E">
        <w:rPr>
          <w:rtl/>
        </w:rPr>
        <w:t xml:space="preserve"> </w:t>
      </w:r>
      <w:r w:rsidRPr="00B5080E">
        <w:rPr>
          <w:rFonts w:hint="eastAsia"/>
          <w:rtl/>
        </w:rPr>
        <w:t>مصباح</w:t>
      </w:r>
      <w:r w:rsidRPr="00B5080E">
        <w:rPr>
          <w:rtl/>
        </w:rPr>
        <w:t xml:space="preserve"> </w:t>
      </w:r>
      <w:r w:rsidRPr="00B5080E">
        <w:rPr>
          <w:rFonts w:hint="eastAsia"/>
          <w:rtl/>
        </w:rPr>
        <w:t>اليزدي،</w:t>
      </w:r>
      <w:r w:rsidRPr="00B5080E">
        <w:rPr>
          <w:rtl/>
        </w:rPr>
        <w:t xml:space="preserve"> </w:t>
      </w:r>
      <w:r w:rsidRPr="00B5080E">
        <w:rPr>
          <w:rFonts w:hint="eastAsia"/>
          <w:rtl/>
        </w:rPr>
        <w:t>راهنما</w:t>
      </w:r>
      <w:r w:rsidRPr="00B5080E">
        <w:rPr>
          <w:rFonts w:hint="cs"/>
          <w:rtl/>
        </w:rPr>
        <w:t xml:space="preserve"> </w:t>
      </w:r>
      <w:r w:rsidRPr="00B5080E">
        <w:rPr>
          <w:rFonts w:hint="eastAsia"/>
          <w:rtl/>
        </w:rPr>
        <w:t>شناس</w:t>
      </w:r>
      <w:r w:rsidRPr="00B5080E">
        <w:rPr>
          <w:rFonts w:hint="cs"/>
          <w:rtl/>
        </w:rPr>
        <w:t>ي</w:t>
      </w:r>
      <w:r w:rsidRPr="00B5080E">
        <w:rPr>
          <w:rFonts w:hint="eastAsia"/>
          <w:rtl/>
        </w:rPr>
        <w:t>،</w:t>
      </w:r>
      <w:r w:rsidRPr="00B5080E">
        <w:rPr>
          <w:rtl/>
        </w:rPr>
        <w:t xml:space="preserve"> (</w:t>
      </w:r>
      <w:r w:rsidRPr="00B5080E">
        <w:rPr>
          <w:rFonts w:hint="eastAsia"/>
          <w:rtl/>
        </w:rPr>
        <w:t>قم،</w:t>
      </w:r>
      <w:r w:rsidRPr="00B5080E">
        <w:rPr>
          <w:rtl/>
        </w:rPr>
        <w:t xml:space="preserve"> 1367).</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tl/>
        </w:rPr>
        <w:t xml:space="preserve"> </w:t>
      </w:r>
      <w:r w:rsidRPr="00B5080E">
        <w:rPr>
          <w:rFonts w:hint="eastAsia"/>
          <w:rtl/>
        </w:rPr>
        <w:t>تق</w:t>
      </w:r>
      <w:r w:rsidRPr="00B5080E">
        <w:rPr>
          <w:rFonts w:hint="cs"/>
          <w:rtl/>
        </w:rPr>
        <w:t>ي</w:t>
      </w:r>
      <w:r w:rsidRPr="00B5080E">
        <w:rPr>
          <w:rtl/>
        </w:rPr>
        <w:t xml:space="preserve"> </w:t>
      </w:r>
      <w:r w:rsidRPr="00B5080E">
        <w:rPr>
          <w:rFonts w:hint="eastAsia"/>
          <w:rtl/>
        </w:rPr>
        <w:t>مصباح</w:t>
      </w:r>
      <w:r w:rsidRPr="00B5080E">
        <w:rPr>
          <w:rtl/>
        </w:rPr>
        <w:t xml:space="preserve"> </w:t>
      </w:r>
      <w:r w:rsidRPr="00B5080E">
        <w:rPr>
          <w:rFonts w:hint="eastAsia"/>
          <w:rtl/>
        </w:rPr>
        <w:t>اليزدي،</w:t>
      </w:r>
      <w:r w:rsidRPr="00B5080E">
        <w:rPr>
          <w:rtl/>
        </w:rPr>
        <w:t xml:space="preserve"> «</w:t>
      </w:r>
      <w:r w:rsidRPr="00B5080E">
        <w:rPr>
          <w:rFonts w:hint="eastAsia"/>
          <w:rtl/>
        </w:rPr>
        <w:t>اختيارات</w:t>
      </w:r>
      <w:r w:rsidRPr="00B5080E">
        <w:rPr>
          <w:rtl/>
        </w:rPr>
        <w:t xml:space="preserve"> </w:t>
      </w:r>
      <w:r w:rsidRPr="00B5080E">
        <w:rPr>
          <w:rFonts w:hint="eastAsia"/>
          <w:rtl/>
        </w:rPr>
        <w:t>ول</w:t>
      </w:r>
      <w:r w:rsidRPr="00B5080E">
        <w:rPr>
          <w:rFonts w:hint="cs"/>
          <w:rtl/>
        </w:rPr>
        <w:t>ي</w:t>
      </w:r>
      <w:r w:rsidRPr="00B5080E">
        <w:rPr>
          <w:rtl/>
        </w:rPr>
        <w:t xml:space="preserve"> </w:t>
      </w:r>
      <w:r w:rsidRPr="00B5080E">
        <w:rPr>
          <w:rFonts w:hint="eastAsia"/>
          <w:rtl/>
        </w:rPr>
        <w:t>فقيه</w:t>
      </w:r>
      <w:r w:rsidRPr="00B5080E">
        <w:rPr>
          <w:rtl/>
        </w:rPr>
        <w:t xml:space="preserve"> </w:t>
      </w:r>
      <w:r w:rsidRPr="00B5080E">
        <w:rPr>
          <w:rFonts w:hint="eastAsia"/>
          <w:rtl/>
        </w:rPr>
        <w:t>در</w:t>
      </w:r>
      <w:r w:rsidRPr="00B5080E">
        <w:rPr>
          <w:rtl/>
        </w:rPr>
        <w:t xml:space="preserve"> </w:t>
      </w:r>
      <w:r w:rsidRPr="00B5080E">
        <w:rPr>
          <w:rFonts w:hint="eastAsia"/>
          <w:rtl/>
        </w:rPr>
        <w:t>خارج</w:t>
      </w:r>
      <w:r w:rsidRPr="00B5080E">
        <w:rPr>
          <w:rtl/>
        </w:rPr>
        <w:t xml:space="preserve"> </w:t>
      </w:r>
      <w:r w:rsidRPr="00B5080E">
        <w:rPr>
          <w:rFonts w:hint="cs"/>
          <w:rtl/>
        </w:rPr>
        <w:t>أ</w:t>
      </w:r>
      <w:r w:rsidRPr="00B5080E">
        <w:rPr>
          <w:rFonts w:hint="eastAsia"/>
          <w:rtl/>
        </w:rPr>
        <w:t>ز</w:t>
      </w:r>
      <w:r w:rsidRPr="00B5080E">
        <w:rPr>
          <w:rtl/>
        </w:rPr>
        <w:t xml:space="preserve"> </w:t>
      </w:r>
      <w:r w:rsidRPr="00B5080E">
        <w:rPr>
          <w:rFonts w:hint="eastAsia"/>
          <w:rtl/>
        </w:rPr>
        <w:t>مرزها</w:t>
      </w:r>
      <w:r w:rsidRPr="00B5080E">
        <w:rPr>
          <w:rtl/>
        </w:rPr>
        <w:t>»</w:t>
      </w:r>
      <w:r w:rsidRPr="00B5080E">
        <w:rPr>
          <w:rFonts w:hint="eastAsia"/>
          <w:rtl/>
        </w:rPr>
        <w:t>،</w:t>
      </w:r>
      <w:r w:rsidRPr="00B5080E">
        <w:rPr>
          <w:rtl/>
        </w:rPr>
        <w:t xml:space="preserve"> </w:t>
      </w:r>
      <w:r w:rsidRPr="00B5080E">
        <w:rPr>
          <w:rFonts w:hint="eastAsia"/>
          <w:rtl/>
        </w:rPr>
        <w:t>فصلية</w:t>
      </w:r>
      <w:r w:rsidRPr="00B5080E">
        <w:rPr>
          <w:rtl/>
        </w:rPr>
        <w:t xml:space="preserve"> </w:t>
      </w:r>
      <w:r w:rsidRPr="00B5080E">
        <w:rPr>
          <w:rFonts w:hint="eastAsia"/>
          <w:rtl/>
        </w:rPr>
        <w:t>حكومت</w:t>
      </w:r>
      <w:r w:rsidRPr="00B5080E">
        <w:rPr>
          <w:rtl/>
        </w:rPr>
        <w:t xml:space="preserve"> </w:t>
      </w:r>
      <w:r w:rsidRPr="00B5080E">
        <w:rPr>
          <w:rFonts w:hint="cs"/>
          <w:rtl/>
        </w:rPr>
        <w:t>إس</w:t>
      </w:r>
      <w:r w:rsidRPr="00B5080E">
        <w:rPr>
          <w:rFonts w:hint="eastAsia"/>
          <w:rtl/>
        </w:rPr>
        <w:t>لام</w:t>
      </w:r>
      <w:r w:rsidRPr="00B5080E">
        <w:rPr>
          <w:rFonts w:hint="cs"/>
          <w:rtl/>
        </w:rPr>
        <w:t>ي</w:t>
      </w:r>
      <w:r w:rsidRPr="00B5080E">
        <w:rPr>
          <w:rFonts w:hint="eastAsia"/>
          <w:rtl/>
        </w:rPr>
        <w:t>،</w:t>
      </w:r>
      <w:r w:rsidRPr="00B5080E">
        <w:rPr>
          <w:rtl/>
        </w:rPr>
        <w:t xml:space="preserve"> </w:t>
      </w:r>
      <w:r w:rsidRPr="00B5080E">
        <w:rPr>
          <w:rFonts w:hint="cs"/>
          <w:rtl/>
        </w:rPr>
        <w:t>ال</w:t>
      </w:r>
      <w:r w:rsidRPr="00B5080E">
        <w:rPr>
          <w:rFonts w:hint="eastAsia"/>
          <w:rtl/>
        </w:rPr>
        <w:t>عدد</w:t>
      </w:r>
      <w:r w:rsidRPr="00B5080E">
        <w:rPr>
          <w:rtl/>
        </w:rPr>
        <w:t xml:space="preserve"> الأوّل، (</w:t>
      </w:r>
      <w:r w:rsidRPr="00B5080E">
        <w:rPr>
          <w:rFonts w:hint="eastAsia"/>
          <w:rtl/>
        </w:rPr>
        <w:t>پائيز</w:t>
      </w:r>
      <w:r w:rsidRPr="00B5080E">
        <w:rPr>
          <w:rtl/>
        </w:rPr>
        <w:t xml:space="preserve"> 1375).</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مطهر</w:t>
      </w:r>
      <w:r w:rsidRPr="00B5080E">
        <w:rPr>
          <w:rFonts w:hint="cs"/>
          <w:rtl/>
        </w:rPr>
        <w:t>ي</w:t>
      </w:r>
      <w:r w:rsidRPr="00B5080E">
        <w:rPr>
          <w:rFonts w:hint="eastAsia"/>
          <w:rtl/>
        </w:rPr>
        <w:t>،</w:t>
      </w:r>
      <w:r w:rsidRPr="00B5080E">
        <w:rPr>
          <w:rtl/>
        </w:rPr>
        <w:t xml:space="preserve"> </w:t>
      </w:r>
      <w:r w:rsidRPr="00B5080E">
        <w:rPr>
          <w:rFonts w:hint="cs"/>
          <w:rtl/>
        </w:rPr>
        <w:t>إم</w:t>
      </w:r>
      <w:r w:rsidRPr="00B5080E">
        <w:rPr>
          <w:rFonts w:hint="eastAsia"/>
          <w:rtl/>
        </w:rPr>
        <w:t>امت</w:t>
      </w:r>
      <w:r w:rsidRPr="00B5080E">
        <w:rPr>
          <w:rtl/>
        </w:rPr>
        <w:t xml:space="preserve"> </w:t>
      </w:r>
      <w:r w:rsidRPr="00B5080E">
        <w:rPr>
          <w:rFonts w:hint="eastAsia"/>
          <w:rtl/>
        </w:rPr>
        <w:t>ورهبر</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1364).</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مطهر</w:t>
      </w:r>
      <w:r w:rsidRPr="00B5080E">
        <w:rPr>
          <w:rFonts w:hint="cs"/>
          <w:rtl/>
        </w:rPr>
        <w:t>ي</w:t>
      </w:r>
      <w:r w:rsidRPr="00B5080E">
        <w:rPr>
          <w:rFonts w:hint="eastAsia"/>
          <w:rtl/>
        </w:rPr>
        <w:t>،</w:t>
      </w:r>
      <w:r w:rsidRPr="00B5080E">
        <w:rPr>
          <w:rtl/>
        </w:rPr>
        <w:t xml:space="preserve"> </w:t>
      </w:r>
      <w:r w:rsidRPr="00B5080E">
        <w:rPr>
          <w:rFonts w:hint="eastAsia"/>
          <w:rtl/>
        </w:rPr>
        <w:t>پيرامون</w:t>
      </w:r>
      <w:r w:rsidRPr="00B5080E">
        <w:rPr>
          <w:rtl/>
        </w:rPr>
        <w:t xml:space="preserve"> </w:t>
      </w:r>
      <w:r w:rsidRPr="00B5080E">
        <w:rPr>
          <w:rFonts w:hint="eastAsia"/>
          <w:rtl/>
        </w:rPr>
        <w:t>انقلاب</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1368).</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مطهر</w:t>
      </w:r>
      <w:r w:rsidRPr="00B5080E">
        <w:rPr>
          <w:rFonts w:hint="cs"/>
          <w:rtl/>
        </w:rPr>
        <w:t>ي</w:t>
      </w:r>
      <w:r w:rsidRPr="00B5080E">
        <w:rPr>
          <w:rFonts w:hint="eastAsia"/>
          <w:rtl/>
        </w:rPr>
        <w:t>،</w:t>
      </w:r>
      <w:r w:rsidRPr="00B5080E">
        <w:rPr>
          <w:rtl/>
        </w:rPr>
        <w:t xml:space="preserve"> </w:t>
      </w:r>
      <w:r w:rsidRPr="00B5080E">
        <w:rPr>
          <w:rFonts w:hint="eastAsia"/>
          <w:rtl/>
        </w:rPr>
        <w:t>پيرامون</w:t>
      </w:r>
      <w:r w:rsidRPr="00B5080E">
        <w:rPr>
          <w:rtl/>
        </w:rPr>
        <w:t xml:space="preserve"> </w:t>
      </w:r>
      <w:r w:rsidRPr="00B5080E">
        <w:rPr>
          <w:rFonts w:hint="eastAsia"/>
          <w:rtl/>
        </w:rPr>
        <w:t>جمهور</w:t>
      </w:r>
      <w:r w:rsidRPr="00B5080E">
        <w:rPr>
          <w:rFonts w:hint="cs"/>
          <w:rtl/>
        </w:rPr>
        <w:t>ي</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1368).</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مطهر</w:t>
      </w:r>
      <w:r w:rsidRPr="00B5080E">
        <w:rPr>
          <w:rFonts w:hint="cs"/>
          <w:rtl/>
        </w:rPr>
        <w:t>ي</w:t>
      </w:r>
      <w:r w:rsidRPr="00B5080E">
        <w:rPr>
          <w:rFonts w:hint="eastAsia"/>
          <w:rtl/>
        </w:rPr>
        <w:t>،</w:t>
      </w:r>
      <w:r w:rsidRPr="00B5080E">
        <w:rPr>
          <w:rtl/>
        </w:rPr>
        <w:t xml:space="preserve"> </w:t>
      </w:r>
      <w:r w:rsidRPr="00B5080E">
        <w:rPr>
          <w:rFonts w:hint="eastAsia"/>
          <w:rtl/>
        </w:rPr>
        <w:t>سير</w:t>
      </w:r>
      <w:r w:rsidRPr="00B5080E">
        <w:rPr>
          <w:rFonts w:hint="cs"/>
          <w:rtl/>
        </w:rPr>
        <w:t>ي</w:t>
      </w:r>
      <w:r w:rsidRPr="00B5080E">
        <w:rPr>
          <w:rtl/>
        </w:rPr>
        <w:t xml:space="preserve"> </w:t>
      </w:r>
      <w:r w:rsidRPr="00B5080E">
        <w:rPr>
          <w:rFonts w:hint="eastAsia"/>
          <w:rtl/>
        </w:rPr>
        <w:t>در</w:t>
      </w:r>
      <w:r w:rsidRPr="00B5080E">
        <w:rPr>
          <w:rtl/>
        </w:rPr>
        <w:t xml:space="preserve"> </w:t>
      </w:r>
      <w:r w:rsidRPr="00B5080E">
        <w:rPr>
          <w:rFonts w:hint="eastAsia"/>
          <w:rtl/>
        </w:rPr>
        <w:t>نهج</w:t>
      </w:r>
      <w:r w:rsidRPr="00B5080E">
        <w:rPr>
          <w:rFonts w:hint="cs"/>
          <w:rtl/>
        </w:rPr>
        <w:t xml:space="preserve"> </w:t>
      </w:r>
      <w:r w:rsidRPr="00B5080E">
        <w:rPr>
          <w:rtl/>
        </w:rPr>
        <w:t>‏</w:t>
      </w:r>
      <w:r w:rsidRPr="00B5080E">
        <w:rPr>
          <w:rFonts w:hint="eastAsia"/>
          <w:rtl/>
        </w:rPr>
        <w:t>البلاغ</w:t>
      </w:r>
      <w:r w:rsidRPr="00B5080E">
        <w:rPr>
          <w:rFonts w:hint="cs"/>
          <w:rtl/>
        </w:rPr>
        <w:t>ة</w:t>
      </w:r>
      <w:r w:rsidRPr="00B5080E">
        <w:rPr>
          <w:rFonts w:hint="eastAsia"/>
          <w:rtl/>
        </w:rPr>
        <w:t>،</w:t>
      </w:r>
      <w:r w:rsidRPr="00B5080E">
        <w:rPr>
          <w:rtl/>
        </w:rPr>
        <w:t xml:space="preserve"> (</w:t>
      </w:r>
      <w:r w:rsidRPr="00B5080E">
        <w:rPr>
          <w:rFonts w:hint="eastAsia"/>
          <w:rtl/>
        </w:rPr>
        <w:t>طهران،</w:t>
      </w:r>
      <w:r w:rsidRPr="00B5080E">
        <w:rPr>
          <w:rtl/>
        </w:rPr>
        <w:t xml:space="preserve"> 1369).</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مطهر</w:t>
      </w:r>
      <w:r w:rsidRPr="00B5080E">
        <w:rPr>
          <w:rFonts w:hint="cs"/>
          <w:rtl/>
        </w:rPr>
        <w:t>ي</w:t>
      </w:r>
      <w:r w:rsidRPr="00B5080E">
        <w:rPr>
          <w:rFonts w:hint="eastAsia"/>
          <w:rtl/>
        </w:rPr>
        <w:t>،</w:t>
      </w:r>
      <w:r w:rsidRPr="00B5080E">
        <w:rPr>
          <w:rtl/>
        </w:rPr>
        <w:t xml:space="preserve"> </w:t>
      </w:r>
      <w:r w:rsidRPr="00B5080E">
        <w:rPr>
          <w:rFonts w:hint="eastAsia"/>
          <w:rtl/>
        </w:rPr>
        <w:t>علل</w:t>
      </w:r>
      <w:r w:rsidRPr="00B5080E">
        <w:rPr>
          <w:rtl/>
        </w:rPr>
        <w:t xml:space="preserve"> </w:t>
      </w:r>
      <w:r w:rsidRPr="00B5080E">
        <w:rPr>
          <w:rFonts w:hint="eastAsia"/>
          <w:rtl/>
        </w:rPr>
        <w:t>گرايش</w:t>
      </w:r>
      <w:r w:rsidRPr="00B5080E">
        <w:rPr>
          <w:rtl/>
        </w:rPr>
        <w:t xml:space="preserve"> </w:t>
      </w:r>
      <w:r w:rsidRPr="00B5080E">
        <w:rPr>
          <w:rFonts w:hint="eastAsia"/>
          <w:rtl/>
        </w:rPr>
        <w:t>به</w:t>
      </w:r>
      <w:r w:rsidRPr="00B5080E">
        <w:rPr>
          <w:rtl/>
        </w:rPr>
        <w:t xml:space="preserve"> </w:t>
      </w:r>
      <w:r w:rsidRPr="00B5080E">
        <w:rPr>
          <w:rFonts w:hint="eastAsia"/>
          <w:rtl/>
        </w:rPr>
        <w:t>ماديگر</w:t>
      </w:r>
      <w:r w:rsidRPr="00B5080E">
        <w:rPr>
          <w:rFonts w:hint="cs"/>
          <w:rtl/>
        </w:rPr>
        <w:t>ي</w:t>
      </w:r>
      <w:r w:rsidRPr="00B5080E">
        <w:rPr>
          <w:rFonts w:hint="eastAsia"/>
          <w:rtl/>
        </w:rPr>
        <w:t>،</w:t>
      </w:r>
      <w:r w:rsidRPr="00B5080E">
        <w:rPr>
          <w:rtl/>
        </w:rPr>
        <w:t xml:space="preserve"> </w:t>
      </w:r>
      <w:r w:rsidRPr="00B5080E">
        <w:rPr>
          <w:rFonts w:hint="eastAsia"/>
          <w:rtl/>
        </w:rPr>
        <w:t>الأعمال</w:t>
      </w:r>
      <w:r w:rsidRPr="00B5080E">
        <w:rPr>
          <w:rtl/>
        </w:rPr>
        <w:t xml:space="preserve"> </w:t>
      </w:r>
      <w:r w:rsidRPr="00B5080E">
        <w:rPr>
          <w:rFonts w:hint="eastAsia"/>
          <w:rtl/>
        </w:rPr>
        <w:t>الكاملة،</w:t>
      </w:r>
      <w:r w:rsidRPr="00B5080E">
        <w:rPr>
          <w:rtl/>
        </w:rPr>
        <w:t xml:space="preserve"> مج</w:t>
      </w:r>
      <w:r w:rsidRPr="00B5080E">
        <w:rPr>
          <w:rFonts w:hint="cs"/>
          <w:rtl/>
        </w:rPr>
        <w:t>لد</w:t>
      </w:r>
      <w:r w:rsidRPr="00B5080E">
        <w:rPr>
          <w:rtl/>
        </w:rPr>
        <w:t xml:space="preserve"> 1</w:t>
      </w:r>
      <w:r w:rsidRPr="00B5080E">
        <w:rPr>
          <w:rFonts w:hint="eastAsia"/>
          <w:rtl/>
        </w:rPr>
        <w:t>،</w:t>
      </w:r>
      <w:r w:rsidRPr="00B5080E">
        <w:rPr>
          <w:rtl/>
        </w:rPr>
        <w:t xml:space="preserve"> (</w:t>
      </w:r>
      <w:r w:rsidRPr="00B5080E">
        <w:rPr>
          <w:rFonts w:hint="eastAsia"/>
          <w:rtl/>
        </w:rPr>
        <w:t>طهران،</w:t>
      </w:r>
      <w:r w:rsidRPr="00B5080E">
        <w:rPr>
          <w:rtl/>
        </w:rPr>
        <w:t xml:space="preserve"> 1368).</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مرتضى</w:t>
      </w:r>
      <w:r w:rsidRPr="00B5080E">
        <w:rPr>
          <w:rtl/>
        </w:rPr>
        <w:t xml:space="preserve"> </w:t>
      </w:r>
      <w:r w:rsidRPr="00B5080E">
        <w:rPr>
          <w:rFonts w:hint="eastAsia"/>
          <w:rtl/>
        </w:rPr>
        <w:t>مطهر</w:t>
      </w:r>
      <w:r w:rsidRPr="00B5080E">
        <w:rPr>
          <w:rFonts w:hint="cs"/>
          <w:rtl/>
        </w:rPr>
        <w:t>ي</w:t>
      </w:r>
      <w:r w:rsidRPr="00B5080E">
        <w:rPr>
          <w:rFonts w:hint="eastAsia"/>
          <w:rtl/>
        </w:rPr>
        <w:t>،</w:t>
      </w:r>
      <w:r w:rsidRPr="00B5080E">
        <w:rPr>
          <w:rtl/>
        </w:rPr>
        <w:t xml:space="preserve"> </w:t>
      </w:r>
      <w:r w:rsidRPr="00B5080E">
        <w:rPr>
          <w:rFonts w:hint="eastAsia"/>
          <w:rtl/>
        </w:rPr>
        <w:t>ولاءها</w:t>
      </w:r>
      <w:r w:rsidRPr="00B5080E">
        <w:rPr>
          <w:rtl/>
        </w:rPr>
        <w:t xml:space="preserve"> </w:t>
      </w:r>
      <w:r w:rsidRPr="00B5080E">
        <w:rPr>
          <w:rFonts w:hint="eastAsia"/>
          <w:rtl/>
        </w:rPr>
        <w:t>وولايتها،</w:t>
      </w:r>
      <w:r w:rsidRPr="00B5080E">
        <w:rPr>
          <w:rtl/>
        </w:rPr>
        <w:t xml:space="preserve"> </w:t>
      </w:r>
      <w:r w:rsidRPr="00B5080E">
        <w:rPr>
          <w:rFonts w:hint="eastAsia"/>
          <w:rtl/>
        </w:rPr>
        <w:t>الأعمال</w:t>
      </w:r>
      <w:r w:rsidRPr="00B5080E">
        <w:rPr>
          <w:rtl/>
        </w:rPr>
        <w:t xml:space="preserve"> </w:t>
      </w:r>
      <w:r w:rsidRPr="00B5080E">
        <w:rPr>
          <w:rFonts w:hint="eastAsia"/>
          <w:rtl/>
        </w:rPr>
        <w:t>الكاملة</w:t>
      </w:r>
      <w:r w:rsidRPr="00B5080E">
        <w:rPr>
          <w:rtl/>
        </w:rPr>
        <w:t xml:space="preserve"> </w:t>
      </w:r>
      <w:r w:rsidRPr="00B5080E">
        <w:rPr>
          <w:rFonts w:hint="eastAsia"/>
          <w:rtl/>
        </w:rPr>
        <w:t>،</w:t>
      </w:r>
      <w:r w:rsidRPr="00B5080E">
        <w:rPr>
          <w:rtl/>
        </w:rPr>
        <w:t xml:space="preserve"> مج</w:t>
      </w:r>
      <w:r w:rsidRPr="00B5080E">
        <w:rPr>
          <w:rFonts w:hint="cs"/>
          <w:rtl/>
        </w:rPr>
        <w:t>لد</w:t>
      </w:r>
      <w:r w:rsidRPr="00B5080E">
        <w:rPr>
          <w:rtl/>
        </w:rPr>
        <w:t xml:space="preserve"> 3</w:t>
      </w:r>
      <w:r w:rsidRPr="00B5080E">
        <w:rPr>
          <w:rFonts w:hint="eastAsia"/>
          <w:rtl/>
        </w:rPr>
        <w:t>،</w:t>
      </w:r>
      <w:r w:rsidRPr="00B5080E">
        <w:rPr>
          <w:rtl/>
        </w:rPr>
        <w:t xml:space="preserve"> (</w:t>
      </w:r>
      <w:r w:rsidRPr="00B5080E">
        <w:rPr>
          <w:rFonts w:hint="eastAsia"/>
          <w:rtl/>
        </w:rPr>
        <w:t>طهران،</w:t>
      </w:r>
      <w:r w:rsidRPr="00B5080E">
        <w:rPr>
          <w:rtl/>
        </w:rPr>
        <w:t xml:space="preserve"> 1370).</w:t>
      </w:r>
    </w:p>
    <w:p w:rsidR="00EA09EB" w:rsidRPr="00B5080E" w:rsidRDefault="00EA09EB" w:rsidP="00B5080E">
      <w:r w:rsidRPr="00B5080E">
        <w:rPr>
          <w:rFonts w:hint="cs"/>
          <w:rtl/>
        </w:rPr>
        <w:t xml:space="preserve">ـ </w:t>
      </w:r>
      <w:r w:rsidRPr="00B5080E">
        <w:rPr>
          <w:rFonts w:hint="eastAsia"/>
          <w:rtl/>
        </w:rPr>
        <w:t>مولوى،</w:t>
      </w:r>
      <w:r w:rsidRPr="00B5080E">
        <w:rPr>
          <w:rtl/>
        </w:rPr>
        <w:t xml:space="preserve"> </w:t>
      </w:r>
      <w:r w:rsidRPr="00B5080E">
        <w:rPr>
          <w:rFonts w:hint="eastAsia"/>
          <w:rtl/>
        </w:rPr>
        <w:t>جلال</w:t>
      </w:r>
      <w:r w:rsidRPr="00B5080E">
        <w:rPr>
          <w:rtl/>
        </w:rPr>
        <w:t>‏</w:t>
      </w:r>
      <w:r w:rsidRPr="00B5080E">
        <w:rPr>
          <w:rFonts w:hint="cs"/>
          <w:rtl/>
        </w:rPr>
        <w:t xml:space="preserve"> </w:t>
      </w:r>
      <w:r w:rsidRPr="00B5080E">
        <w:rPr>
          <w:rFonts w:hint="eastAsia"/>
          <w:rtl/>
        </w:rPr>
        <w:t>الدين</w:t>
      </w:r>
      <w:r w:rsidRPr="00B5080E">
        <w:rPr>
          <w:rtl/>
        </w:rPr>
        <w:t xml:space="preserve"> </w:t>
      </w:r>
      <w:r w:rsidRPr="00B5080E">
        <w:rPr>
          <w:rFonts w:hint="eastAsia"/>
          <w:rtl/>
        </w:rPr>
        <w:t>محمد</w:t>
      </w:r>
      <w:r w:rsidRPr="00B5080E">
        <w:rPr>
          <w:rtl/>
        </w:rPr>
        <w:t xml:space="preserve"> </w:t>
      </w:r>
      <w:r w:rsidRPr="00B5080E">
        <w:rPr>
          <w:rFonts w:hint="eastAsia"/>
          <w:rtl/>
        </w:rPr>
        <w:t>بلخ</w:t>
      </w:r>
      <w:r w:rsidRPr="00B5080E">
        <w:rPr>
          <w:rFonts w:hint="cs"/>
          <w:rtl/>
        </w:rPr>
        <w:t>ي</w:t>
      </w:r>
      <w:r w:rsidRPr="00B5080E">
        <w:rPr>
          <w:rFonts w:hint="eastAsia"/>
          <w:rtl/>
        </w:rPr>
        <w:t>،</w:t>
      </w:r>
      <w:r w:rsidRPr="00B5080E">
        <w:rPr>
          <w:rtl/>
        </w:rPr>
        <w:t xml:space="preserve"> </w:t>
      </w:r>
      <w:r w:rsidRPr="00B5080E">
        <w:rPr>
          <w:rFonts w:hint="eastAsia"/>
          <w:rtl/>
        </w:rPr>
        <w:t>مثنو</w:t>
      </w:r>
      <w:r w:rsidRPr="00B5080E">
        <w:rPr>
          <w:rFonts w:hint="cs"/>
          <w:rtl/>
        </w:rPr>
        <w:t>ي</w:t>
      </w:r>
      <w:r w:rsidRPr="00B5080E">
        <w:rPr>
          <w:rFonts w:hint="eastAsia"/>
          <w:rtl/>
        </w:rPr>
        <w:t>،</w:t>
      </w:r>
      <w:r w:rsidRPr="00B5080E">
        <w:rPr>
          <w:rtl/>
        </w:rPr>
        <w:t xml:space="preserve"> </w:t>
      </w:r>
      <w:r w:rsidRPr="00B5080E">
        <w:rPr>
          <w:rFonts w:hint="eastAsia"/>
          <w:rtl/>
        </w:rPr>
        <w:t>مقدمه،</w:t>
      </w:r>
      <w:r w:rsidRPr="00B5080E">
        <w:rPr>
          <w:rtl/>
        </w:rPr>
        <w:t xml:space="preserve"> </w:t>
      </w:r>
      <w:r w:rsidRPr="00B5080E">
        <w:rPr>
          <w:rFonts w:hint="eastAsia"/>
          <w:rtl/>
        </w:rPr>
        <w:t>تصحيح</w:t>
      </w:r>
      <w:r w:rsidRPr="00B5080E">
        <w:rPr>
          <w:rtl/>
        </w:rPr>
        <w:t xml:space="preserve"> </w:t>
      </w:r>
      <w:r w:rsidRPr="00B5080E">
        <w:rPr>
          <w:rFonts w:hint="eastAsia"/>
          <w:rtl/>
        </w:rPr>
        <w:t>وفهرستها</w:t>
      </w:r>
      <w:r w:rsidRPr="00B5080E">
        <w:rPr>
          <w:rtl/>
        </w:rPr>
        <w:t xml:space="preserve"> </w:t>
      </w:r>
      <w:r w:rsidRPr="00B5080E">
        <w:rPr>
          <w:rFonts w:hint="cs"/>
          <w:rtl/>
        </w:rPr>
        <w:t>أ</w:t>
      </w:r>
      <w:r w:rsidRPr="00B5080E">
        <w:rPr>
          <w:rFonts w:hint="eastAsia"/>
          <w:rtl/>
        </w:rPr>
        <w:t>ز</w:t>
      </w:r>
      <w:r w:rsidRPr="00B5080E">
        <w:rPr>
          <w:rtl/>
        </w:rPr>
        <w:t xml:space="preserve"> </w:t>
      </w:r>
      <w:r w:rsidRPr="00B5080E">
        <w:rPr>
          <w:rFonts w:hint="eastAsia"/>
          <w:rtl/>
        </w:rPr>
        <w:t>دكتر</w:t>
      </w:r>
      <w:r w:rsidRPr="00B5080E">
        <w:rPr>
          <w:rtl/>
        </w:rPr>
        <w:t xml:space="preserve"> </w:t>
      </w:r>
      <w:r w:rsidRPr="00B5080E">
        <w:rPr>
          <w:rFonts w:hint="eastAsia"/>
          <w:rtl/>
        </w:rPr>
        <w:t>محمد</w:t>
      </w:r>
      <w:r w:rsidRPr="00B5080E">
        <w:rPr>
          <w:rtl/>
        </w:rPr>
        <w:t xml:space="preserve"> </w:t>
      </w:r>
      <w:r w:rsidRPr="00B5080E">
        <w:rPr>
          <w:rFonts w:hint="eastAsia"/>
          <w:rtl/>
        </w:rPr>
        <w:t>استعلام</w:t>
      </w:r>
      <w:r w:rsidRPr="00B5080E">
        <w:rPr>
          <w:rFonts w:hint="cs"/>
          <w:rtl/>
        </w:rPr>
        <w:t>ي</w:t>
      </w:r>
      <w:r w:rsidRPr="00B5080E">
        <w:rPr>
          <w:rFonts w:hint="eastAsia"/>
          <w:rtl/>
        </w:rPr>
        <w:t>،</w:t>
      </w:r>
      <w:r w:rsidRPr="00B5080E">
        <w:rPr>
          <w:rtl/>
        </w:rPr>
        <w:t xml:space="preserve"> </w:t>
      </w:r>
      <w:r w:rsidRPr="00B5080E">
        <w:rPr>
          <w:rFonts w:hint="eastAsia"/>
          <w:rtl/>
        </w:rPr>
        <w:t>الطبعة</w:t>
      </w:r>
      <w:r w:rsidRPr="00B5080E">
        <w:rPr>
          <w:rtl/>
        </w:rPr>
        <w:t xml:space="preserve"> </w:t>
      </w:r>
      <w:r w:rsidRPr="00B5080E">
        <w:rPr>
          <w:rFonts w:hint="eastAsia"/>
          <w:rtl/>
        </w:rPr>
        <w:t>الرابعة،</w:t>
      </w:r>
      <w:r w:rsidRPr="00B5080E">
        <w:rPr>
          <w:rtl/>
        </w:rPr>
        <w:t xml:space="preserve"> (</w:t>
      </w:r>
      <w:r w:rsidRPr="00B5080E">
        <w:rPr>
          <w:rFonts w:hint="eastAsia"/>
          <w:rtl/>
        </w:rPr>
        <w:t>زوّار،</w:t>
      </w:r>
      <w:r w:rsidRPr="00B5080E">
        <w:rPr>
          <w:rtl/>
        </w:rPr>
        <w:t xml:space="preserve"> </w:t>
      </w:r>
      <w:r w:rsidRPr="00B5080E">
        <w:rPr>
          <w:rFonts w:hint="eastAsia"/>
          <w:rtl/>
        </w:rPr>
        <w:t>طهران،</w:t>
      </w:r>
      <w:r w:rsidRPr="00B5080E">
        <w:rPr>
          <w:rtl/>
        </w:rPr>
        <w:t xml:space="preserve"> 1374).</w:t>
      </w:r>
    </w:p>
    <w:p w:rsidR="00EA09EB" w:rsidRPr="00B5080E" w:rsidRDefault="00EA09EB" w:rsidP="00B5080E">
      <w:r w:rsidRPr="00B5080E">
        <w:rPr>
          <w:rFonts w:hint="cs"/>
          <w:rtl/>
        </w:rPr>
        <w:t xml:space="preserve">ـ </w:t>
      </w:r>
      <w:r w:rsidRPr="00B5080E">
        <w:rPr>
          <w:rFonts w:hint="eastAsia"/>
          <w:rtl/>
        </w:rPr>
        <w:t>الشيخ</w:t>
      </w:r>
      <w:r w:rsidRPr="00B5080E">
        <w:rPr>
          <w:rtl/>
        </w:rPr>
        <w:t xml:space="preserve"> </w:t>
      </w:r>
      <w:r w:rsidRPr="00B5080E">
        <w:rPr>
          <w:rFonts w:hint="eastAsia"/>
          <w:rtl/>
        </w:rPr>
        <w:t>محمّد</w:t>
      </w:r>
      <w:r w:rsidRPr="00B5080E">
        <w:rPr>
          <w:rFonts w:hint="cs"/>
          <w:rtl/>
        </w:rPr>
        <w:t xml:space="preserve"> </w:t>
      </w:r>
      <w:r w:rsidRPr="00B5080E">
        <w:rPr>
          <w:rFonts w:hint="eastAsia"/>
          <w:rtl/>
        </w:rPr>
        <w:t>حسين</w:t>
      </w:r>
      <w:r w:rsidRPr="00B5080E">
        <w:rPr>
          <w:rtl/>
        </w:rPr>
        <w:t xml:space="preserve"> </w:t>
      </w:r>
      <w:r w:rsidRPr="00B5080E">
        <w:rPr>
          <w:rFonts w:hint="eastAsia"/>
          <w:rtl/>
        </w:rPr>
        <w:t>الغروي</w:t>
      </w:r>
      <w:r w:rsidRPr="00B5080E">
        <w:rPr>
          <w:rtl/>
        </w:rPr>
        <w:t xml:space="preserve"> </w:t>
      </w:r>
      <w:r w:rsidRPr="00B5080E">
        <w:rPr>
          <w:rFonts w:hint="eastAsia"/>
          <w:rtl/>
        </w:rPr>
        <w:t>النائيني،</w:t>
      </w:r>
      <w:r w:rsidRPr="00B5080E">
        <w:rPr>
          <w:rtl/>
        </w:rPr>
        <w:t xml:space="preserve"> </w:t>
      </w:r>
      <w:r w:rsidRPr="00B5080E">
        <w:rPr>
          <w:rFonts w:hint="eastAsia"/>
          <w:rtl/>
        </w:rPr>
        <w:t>تنبيه</w:t>
      </w:r>
      <w:r w:rsidRPr="00B5080E">
        <w:rPr>
          <w:rFonts w:hint="cs"/>
          <w:rtl/>
        </w:rPr>
        <w:t xml:space="preserve"> </w:t>
      </w:r>
      <w:r w:rsidRPr="00B5080E">
        <w:rPr>
          <w:rtl/>
        </w:rPr>
        <w:t>‏</w:t>
      </w:r>
      <w:r w:rsidRPr="00B5080E">
        <w:rPr>
          <w:rFonts w:hint="eastAsia"/>
          <w:rtl/>
        </w:rPr>
        <w:t>ا</w:t>
      </w:r>
      <w:r w:rsidRPr="00B5080E">
        <w:rPr>
          <w:rFonts w:hint="cs"/>
          <w:rtl/>
        </w:rPr>
        <w:t>لأ</w:t>
      </w:r>
      <w:r w:rsidRPr="00B5080E">
        <w:rPr>
          <w:rFonts w:hint="eastAsia"/>
          <w:rtl/>
        </w:rPr>
        <w:t>م</w:t>
      </w:r>
      <w:r w:rsidRPr="00B5080E">
        <w:rPr>
          <w:rFonts w:hint="cs"/>
          <w:rtl/>
        </w:rPr>
        <w:t>ّ</w:t>
      </w:r>
      <w:r w:rsidRPr="00B5080E">
        <w:rPr>
          <w:rFonts w:hint="eastAsia"/>
          <w:rtl/>
        </w:rPr>
        <w:t>ة</w:t>
      </w:r>
      <w:r w:rsidRPr="00B5080E">
        <w:rPr>
          <w:rtl/>
        </w:rPr>
        <w:t xml:space="preserve"> </w:t>
      </w:r>
      <w:r w:rsidRPr="00B5080E">
        <w:rPr>
          <w:rFonts w:hint="eastAsia"/>
          <w:rtl/>
        </w:rPr>
        <w:t>وتنزيه</w:t>
      </w:r>
      <w:r w:rsidRPr="00B5080E">
        <w:rPr>
          <w:rtl/>
        </w:rPr>
        <w:t>‏</w:t>
      </w:r>
      <w:r w:rsidRPr="00B5080E">
        <w:rPr>
          <w:rFonts w:hint="cs"/>
          <w:rtl/>
        </w:rPr>
        <w:t xml:space="preserve"> </w:t>
      </w:r>
      <w:r w:rsidRPr="00B5080E">
        <w:rPr>
          <w:rFonts w:hint="eastAsia"/>
          <w:rtl/>
        </w:rPr>
        <w:t>الملّة</w:t>
      </w:r>
      <w:r w:rsidRPr="00B5080E">
        <w:rPr>
          <w:rtl/>
        </w:rPr>
        <w:t xml:space="preserve"> </w:t>
      </w:r>
      <w:r w:rsidRPr="00B5080E">
        <w:rPr>
          <w:rFonts w:hint="eastAsia"/>
          <w:rtl/>
        </w:rPr>
        <w:t>در</w:t>
      </w:r>
      <w:r w:rsidRPr="00B5080E">
        <w:rPr>
          <w:rtl/>
        </w:rPr>
        <w:t xml:space="preserve"> </w:t>
      </w:r>
      <w:r w:rsidRPr="00B5080E">
        <w:rPr>
          <w:rFonts w:hint="cs"/>
          <w:rtl/>
        </w:rPr>
        <w:t>أ</w:t>
      </w:r>
      <w:r w:rsidRPr="00B5080E">
        <w:rPr>
          <w:rFonts w:hint="eastAsia"/>
          <w:rtl/>
        </w:rPr>
        <w:t>ساس</w:t>
      </w:r>
      <w:r w:rsidRPr="00B5080E">
        <w:rPr>
          <w:rtl/>
        </w:rPr>
        <w:t xml:space="preserve"> </w:t>
      </w:r>
      <w:r w:rsidRPr="00B5080E">
        <w:rPr>
          <w:rFonts w:hint="eastAsia"/>
          <w:rtl/>
        </w:rPr>
        <w:t>و</w:t>
      </w:r>
      <w:r w:rsidRPr="00B5080E">
        <w:rPr>
          <w:rFonts w:hint="cs"/>
          <w:rtl/>
        </w:rPr>
        <w:t>أ</w:t>
      </w:r>
      <w:r w:rsidRPr="00B5080E">
        <w:rPr>
          <w:rFonts w:hint="eastAsia"/>
          <w:rtl/>
        </w:rPr>
        <w:t>صول</w:t>
      </w:r>
      <w:r w:rsidRPr="00B5080E">
        <w:rPr>
          <w:rtl/>
        </w:rPr>
        <w:t xml:space="preserve"> </w:t>
      </w:r>
      <w:r w:rsidRPr="00B5080E">
        <w:rPr>
          <w:rFonts w:hint="eastAsia"/>
          <w:rtl/>
        </w:rPr>
        <w:t>مشروطيت</w:t>
      </w:r>
      <w:r w:rsidRPr="00B5080E">
        <w:rPr>
          <w:rtl/>
        </w:rPr>
        <w:t xml:space="preserve"> </w:t>
      </w:r>
      <w:r w:rsidRPr="00B5080E">
        <w:rPr>
          <w:rFonts w:hint="eastAsia"/>
          <w:rtl/>
        </w:rPr>
        <w:t>يا</w:t>
      </w:r>
      <w:r w:rsidRPr="00B5080E">
        <w:rPr>
          <w:rtl/>
        </w:rPr>
        <w:t xml:space="preserve"> </w:t>
      </w:r>
      <w:r w:rsidRPr="00B5080E">
        <w:rPr>
          <w:rFonts w:hint="eastAsia"/>
          <w:rtl/>
        </w:rPr>
        <w:t>حكومت</w:t>
      </w:r>
      <w:r w:rsidRPr="00B5080E">
        <w:rPr>
          <w:rtl/>
        </w:rPr>
        <w:t xml:space="preserve"> </w:t>
      </w:r>
      <w:r w:rsidRPr="00B5080E">
        <w:rPr>
          <w:rFonts w:hint="cs"/>
          <w:rtl/>
        </w:rPr>
        <w:t>أ</w:t>
      </w:r>
      <w:r w:rsidRPr="00B5080E">
        <w:rPr>
          <w:rFonts w:hint="eastAsia"/>
          <w:rtl/>
        </w:rPr>
        <w:t>ز</w:t>
      </w:r>
      <w:r w:rsidRPr="00B5080E">
        <w:rPr>
          <w:rtl/>
        </w:rPr>
        <w:t xml:space="preserve"> </w:t>
      </w:r>
      <w:r w:rsidRPr="00B5080E">
        <w:rPr>
          <w:rFonts w:hint="eastAsia"/>
          <w:rtl/>
        </w:rPr>
        <w:t>نظر</w:t>
      </w:r>
      <w:r w:rsidRPr="00B5080E">
        <w:rPr>
          <w:rtl/>
        </w:rPr>
        <w:t xml:space="preserve"> </w:t>
      </w:r>
      <w:r w:rsidRPr="00B5080E">
        <w:rPr>
          <w:rFonts w:hint="cs"/>
          <w:rtl/>
        </w:rPr>
        <w:t>إ</w:t>
      </w:r>
      <w:r w:rsidRPr="00B5080E">
        <w:rPr>
          <w:rFonts w:hint="eastAsia"/>
          <w:rtl/>
        </w:rPr>
        <w:t>سلام،</w:t>
      </w:r>
      <w:r w:rsidRPr="00B5080E">
        <w:rPr>
          <w:rtl/>
        </w:rPr>
        <w:t xml:space="preserve"> </w:t>
      </w:r>
      <w:r w:rsidRPr="00B5080E">
        <w:rPr>
          <w:rFonts w:hint="eastAsia"/>
          <w:rtl/>
        </w:rPr>
        <w:t>شرح</w:t>
      </w:r>
      <w:r w:rsidRPr="00B5080E">
        <w:rPr>
          <w:rtl/>
        </w:rPr>
        <w:t xml:space="preserve">: </w:t>
      </w:r>
      <w:r w:rsidRPr="00B5080E">
        <w:rPr>
          <w:rFonts w:hint="eastAsia"/>
          <w:rtl/>
        </w:rPr>
        <w:t>السيد</w:t>
      </w:r>
      <w:r w:rsidRPr="00B5080E">
        <w:rPr>
          <w:rFonts w:hint="cs"/>
          <w:rtl/>
        </w:rPr>
        <w:t xml:space="preserve"> </w:t>
      </w:r>
      <w:r w:rsidRPr="00B5080E">
        <w:rPr>
          <w:rFonts w:hint="eastAsia"/>
          <w:rtl/>
        </w:rPr>
        <w:t>محمود</w:t>
      </w:r>
      <w:r w:rsidRPr="00B5080E">
        <w:rPr>
          <w:rtl/>
        </w:rPr>
        <w:t xml:space="preserve"> </w:t>
      </w:r>
      <w:r w:rsidRPr="00B5080E">
        <w:rPr>
          <w:rFonts w:hint="eastAsia"/>
          <w:rtl/>
        </w:rPr>
        <w:t>طالقان</w:t>
      </w:r>
      <w:r w:rsidRPr="00B5080E">
        <w:rPr>
          <w:rFonts w:hint="cs"/>
          <w:rtl/>
        </w:rPr>
        <w:t>ي</w:t>
      </w:r>
      <w:r w:rsidRPr="00B5080E">
        <w:rPr>
          <w:rFonts w:hint="eastAsia"/>
          <w:rtl/>
        </w:rPr>
        <w:t>،</w:t>
      </w:r>
      <w:r w:rsidRPr="00B5080E">
        <w:rPr>
          <w:rtl/>
        </w:rPr>
        <w:t xml:space="preserve"> (</w:t>
      </w:r>
      <w:r w:rsidRPr="00B5080E">
        <w:rPr>
          <w:rFonts w:hint="eastAsia"/>
          <w:rtl/>
        </w:rPr>
        <w:t>طهران،</w:t>
      </w:r>
      <w:r w:rsidRPr="00B5080E">
        <w:rPr>
          <w:rtl/>
        </w:rPr>
        <w:t xml:space="preserve"> 1334).</w:t>
      </w:r>
    </w:p>
    <w:p w:rsidR="00EA09EB" w:rsidRPr="00BB1703" w:rsidRDefault="00EA09EB" w:rsidP="00B5080E">
      <w:pPr>
        <w:rPr>
          <w:rFonts w:ascii="CourierNewPSMT" w:hAnsi="CourierNewPSMT" w:cs="Abz-1 (Lotus)"/>
          <w:sz w:val="32"/>
          <w:szCs w:val="32"/>
        </w:rPr>
      </w:pPr>
      <w:r w:rsidRPr="00B5080E">
        <w:rPr>
          <w:rFonts w:hint="cs"/>
          <w:rtl/>
        </w:rPr>
        <w:t xml:space="preserve">ـ </w:t>
      </w:r>
      <w:r w:rsidRPr="00B5080E">
        <w:rPr>
          <w:rFonts w:hint="eastAsia"/>
          <w:rtl/>
        </w:rPr>
        <w:t>السيد</w:t>
      </w:r>
      <w:r w:rsidRPr="00B5080E">
        <w:rPr>
          <w:rtl/>
        </w:rPr>
        <w:t xml:space="preserve"> </w:t>
      </w:r>
      <w:r w:rsidRPr="00B5080E">
        <w:rPr>
          <w:rFonts w:hint="eastAsia"/>
          <w:rtl/>
        </w:rPr>
        <w:t>محمّد</w:t>
      </w:r>
      <w:r w:rsidRPr="00B5080E">
        <w:rPr>
          <w:rFonts w:hint="cs"/>
          <w:rtl/>
        </w:rPr>
        <w:t xml:space="preserve"> </w:t>
      </w:r>
      <w:r w:rsidRPr="00B5080E">
        <w:rPr>
          <w:rFonts w:hint="eastAsia"/>
          <w:rtl/>
        </w:rPr>
        <w:t>هاشم</w:t>
      </w:r>
      <w:r w:rsidRPr="00B5080E">
        <w:rPr>
          <w:rFonts w:hint="cs"/>
          <w:rtl/>
        </w:rPr>
        <w:t>ي</w:t>
      </w:r>
      <w:r w:rsidRPr="00B5080E">
        <w:rPr>
          <w:rFonts w:hint="eastAsia"/>
          <w:rtl/>
        </w:rPr>
        <w:t>،</w:t>
      </w:r>
      <w:r w:rsidRPr="00B5080E">
        <w:rPr>
          <w:rtl/>
        </w:rPr>
        <w:t xml:space="preserve"> </w:t>
      </w:r>
      <w:r w:rsidRPr="00B5080E">
        <w:rPr>
          <w:rFonts w:hint="eastAsia"/>
          <w:rtl/>
        </w:rPr>
        <w:t>حقوق</w:t>
      </w:r>
      <w:r w:rsidRPr="00B5080E">
        <w:rPr>
          <w:rtl/>
        </w:rPr>
        <w:t xml:space="preserve"> </w:t>
      </w:r>
      <w:r w:rsidRPr="00B5080E">
        <w:rPr>
          <w:rFonts w:hint="cs"/>
          <w:rtl/>
        </w:rPr>
        <w:t>أ</w:t>
      </w:r>
      <w:r w:rsidRPr="00B5080E">
        <w:rPr>
          <w:rFonts w:hint="eastAsia"/>
          <w:rtl/>
        </w:rPr>
        <w:t>ساس</w:t>
      </w:r>
      <w:r w:rsidRPr="00B5080E">
        <w:rPr>
          <w:rFonts w:hint="cs"/>
          <w:rtl/>
        </w:rPr>
        <w:t>ي</w:t>
      </w:r>
      <w:r w:rsidRPr="00B5080E">
        <w:rPr>
          <w:rtl/>
        </w:rPr>
        <w:t xml:space="preserve"> </w:t>
      </w:r>
      <w:r w:rsidRPr="00B5080E">
        <w:rPr>
          <w:rFonts w:hint="eastAsia"/>
          <w:rtl/>
        </w:rPr>
        <w:t>جمهور</w:t>
      </w:r>
      <w:r w:rsidRPr="00B5080E">
        <w:rPr>
          <w:rFonts w:hint="cs"/>
          <w:rtl/>
        </w:rPr>
        <w:t>ي</w:t>
      </w:r>
      <w:r w:rsidRPr="00B5080E">
        <w:rPr>
          <w:rtl/>
        </w:rPr>
        <w:t xml:space="preserve"> </w:t>
      </w:r>
      <w:r w:rsidRPr="00B5080E">
        <w:rPr>
          <w:rFonts w:hint="cs"/>
          <w:rtl/>
        </w:rPr>
        <w:t>إ</w:t>
      </w:r>
      <w:r w:rsidRPr="00B5080E">
        <w:rPr>
          <w:rFonts w:hint="eastAsia"/>
          <w:rtl/>
        </w:rPr>
        <w:t>سلام</w:t>
      </w:r>
      <w:r w:rsidRPr="00B5080E">
        <w:rPr>
          <w:rFonts w:hint="cs"/>
          <w:rtl/>
        </w:rPr>
        <w:t>ي</w:t>
      </w:r>
      <w:r w:rsidRPr="00B5080E">
        <w:rPr>
          <w:rtl/>
        </w:rPr>
        <w:t xml:space="preserve"> </w:t>
      </w:r>
      <w:r w:rsidRPr="00B5080E">
        <w:rPr>
          <w:rFonts w:hint="cs"/>
          <w:rtl/>
        </w:rPr>
        <w:t>إ</w:t>
      </w:r>
      <w:r w:rsidRPr="00B5080E">
        <w:rPr>
          <w:rFonts w:hint="eastAsia"/>
          <w:rtl/>
        </w:rPr>
        <w:t>يران،</w:t>
      </w:r>
      <w:r w:rsidRPr="00B5080E">
        <w:rPr>
          <w:rtl/>
        </w:rPr>
        <w:t xml:space="preserve"> 2 </w:t>
      </w:r>
      <w:r w:rsidRPr="00B5080E">
        <w:rPr>
          <w:rFonts w:hint="eastAsia"/>
          <w:rtl/>
        </w:rPr>
        <w:t>مجلد،</w:t>
      </w:r>
      <w:r w:rsidRPr="00B5080E">
        <w:rPr>
          <w:rtl/>
        </w:rPr>
        <w:t xml:space="preserve"> (</w:t>
      </w:r>
      <w:r w:rsidRPr="00B5080E">
        <w:rPr>
          <w:rFonts w:hint="eastAsia"/>
          <w:rtl/>
        </w:rPr>
        <w:t>طهران،</w:t>
      </w:r>
      <w:r w:rsidRPr="00B5080E">
        <w:rPr>
          <w:rtl/>
        </w:rPr>
        <w:t xml:space="preserve"> 1374).</w:t>
      </w:r>
    </w:p>
    <w:p w:rsidR="00EA09EB" w:rsidRDefault="00EA09EB" w:rsidP="00EA09EB">
      <w:pPr>
        <w:rPr>
          <w:lang w:bidi="ar-LB"/>
        </w:rPr>
      </w:pPr>
      <w:r>
        <w:rPr>
          <w:rtl/>
          <w:lang w:bidi="ar-LB"/>
        </w:rPr>
        <w:br w:type="page"/>
      </w:r>
    </w:p>
    <w:p w:rsidR="00B5080E" w:rsidRDefault="00B5080E" w:rsidP="005A6827">
      <w:pPr>
        <w:autoSpaceDE w:val="0"/>
        <w:autoSpaceDN w:val="0"/>
        <w:adjustRightInd w:val="0"/>
        <w:ind w:right="720" w:firstLine="0"/>
        <w:rPr>
          <w:rFonts w:cs="Abz-1 (Lotus)"/>
          <w:sz w:val="32"/>
          <w:szCs w:val="32"/>
          <w:rtl/>
          <w:lang w:bidi="ar-LB"/>
        </w:rPr>
        <w:sectPr w:rsidR="00B5080E" w:rsidSect="009003FC">
          <w:footnotePr>
            <w:numRestart w:val="eachPage"/>
          </w:footnotePr>
          <w:type w:val="oddPage"/>
          <w:pgSz w:w="11907" w:h="16840" w:code="9"/>
          <w:pgMar w:top="2835" w:right="2552" w:bottom="3232" w:left="2552" w:header="2268" w:footer="1106" w:gutter="0"/>
          <w:cols w:space="720"/>
          <w:titlePg/>
          <w:docGrid w:linePitch="360"/>
        </w:sectPr>
      </w:pPr>
    </w:p>
    <w:p w:rsidR="002002F4" w:rsidRDefault="002002F4" w:rsidP="002002F4">
      <w:pPr>
        <w:pStyle w:val="Heading2"/>
        <w:jc w:val="center"/>
      </w:pPr>
      <w:bookmarkStart w:id="66" w:name="_Toc413658847"/>
      <w:r>
        <w:rPr>
          <w:rtl/>
        </w:rPr>
        <w:t xml:space="preserve">فهرس </w:t>
      </w:r>
      <w:r>
        <w:rPr>
          <w:rFonts w:hint="cs"/>
          <w:rtl/>
        </w:rPr>
        <w:t>الآيات</w:t>
      </w:r>
      <w:bookmarkEnd w:id="66"/>
    </w:p>
    <w:p w:rsidR="0064415C" w:rsidRPr="00A70895" w:rsidRDefault="0064415C" w:rsidP="0064415C"/>
    <w:p w:rsidR="0064415C" w:rsidRPr="00FD3279" w:rsidRDefault="0064415C" w:rsidP="0064415C">
      <w:pPr>
        <w:tabs>
          <w:tab w:val="right" w:pos="6804"/>
        </w:tabs>
        <w:ind w:firstLine="0"/>
        <w:rPr>
          <w:noProof/>
          <w:sz w:val="26"/>
          <w:szCs w:val="28"/>
          <w:rtl/>
        </w:rPr>
      </w:pPr>
      <w:r w:rsidRPr="00111BA9">
        <w:rPr>
          <w:rFonts w:ascii="Mosawi" w:hAnsi="Mosawi"/>
          <w:noProof/>
          <w:sz w:val="26"/>
          <w:szCs w:val="28"/>
          <w:rtl/>
        </w:rPr>
        <w:t>(البقرة</w:t>
      </w:r>
      <w:r w:rsidRPr="00111BA9">
        <w:rPr>
          <w:rFonts w:ascii="Times New Roman" w:hAnsi="Times New Roman" w:cs="Times New Roman" w:hint="cs"/>
          <w:noProof/>
          <w:sz w:val="24"/>
          <w:szCs w:val="28"/>
          <w:rtl/>
        </w:rPr>
        <w:t>‌</w:t>
      </w:r>
      <w:r w:rsidRPr="00111BA9">
        <w:rPr>
          <w:rFonts w:ascii="Mosawi" w:hAnsi="Mosawi"/>
          <w:noProof/>
          <w:sz w:val="26"/>
          <w:szCs w:val="28"/>
          <w:rtl/>
        </w:rPr>
        <w:t xml:space="preserve"> /</w:t>
      </w:r>
      <w:r>
        <w:rPr>
          <w:rFonts w:ascii="Mosawi" w:hAnsi="Mosawi" w:hint="cs"/>
          <w:noProof/>
          <w:sz w:val="26"/>
          <w:szCs w:val="28"/>
          <w:rtl/>
        </w:rPr>
        <w:t xml:space="preserve"> 134</w:t>
      </w:r>
      <w:r w:rsidRPr="00111BA9">
        <w:rPr>
          <w:rFonts w:ascii="Mosawi" w:hAnsi="Mosawi"/>
          <w:noProof/>
          <w:sz w:val="26"/>
          <w:szCs w:val="28"/>
          <w:rtl/>
        </w:rPr>
        <w:t>)</w:t>
      </w:r>
      <w:r w:rsidRPr="00FD3279">
        <w:rPr>
          <w:noProof/>
          <w:sz w:val="26"/>
          <w:szCs w:val="28"/>
          <w:rtl/>
        </w:rPr>
        <w:t xml:space="preserve"> </w:t>
      </w:r>
      <w:r w:rsidRPr="00FD3279">
        <w:rPr>
          <w:rFonts w:ascii="Mosawi" w:hAnsi="Mosawi"/>
          <w:noProof/>
          <w:sz w:val="24"/>
          <w:szCs w:val="28"/>
          <w:rtl/>
        </w:rPr>
        <w:t>وَإِذْ</w:t>
      </w:r>
      <w:r w:rsidRPr="00FD3279">
        <w:rPr>
          <w:noProof/>
          <w:sz w:val="26"/>
          <w:szCs w:val="28"/>
          <w:rtl/>
        </w:rPr>
        <w:t xml:space="preserve"> </w:t>
      </w:r>
      <w:r w:rsidRPr="00FD3279">
        <w:rPr>
          <w:rFonts w:ascii="Mosawi" w:hAnsi="Mosawi"/>
          <w:noProof/>
          <w:sz w:val="24"/>
          <w:szCs w:val="28"/>
          <w:rtl/>
        </w:rPr>
        <w:t>ابْتَلَى</w:t>
      </w:r>
      <w:r w:rsidRPr="00FD3279">
        <w:rPr>
          <w:noProof/>
          <w:sz w:val="26"/>
          <w:szCs w:val="28"/>
          <w:rtl/>
        </w:rPr>
        <w:t xml:space="preserve"> </w:t>
      </w:r>
      <w:r w:rsidRPr="00FD3279">
        <w:rPr>
          <w:rFonts w:ascii="Mosawi" w:hAnsi="Mosawi"/>
          <w:noProof/>
          <w:sz w:val="24"/>
          <w:szCs w:val="28"/>
          <w:rtl/>
        </w:rPr>
        <w:t>إِبْرَاهِيمَ</w:t>
      </w:r>
      <w:r w:rsidRPr="00FD3279">
        <w:rPr>
          <w:noProof/>
          <w:sz w:val="26"/>
          <w:szCs w:val="28"/>
          <w:rtl/>
        </w:rPr>
        <w:t xml:space="preserve"> </w:t>
      </w:r>
      <w:r w:rsidRPr="00FD3279">
        <w:rPr>
          <w:rFonts w:ascii="Mosawi" w:hAnsi="Mosawi"/>
          <w:noProof/>
          <w:sz w:val="24"/>
          <w:szCs w:val="28"/>
          <w:rtl/>
        </w:rPr>
        <w:t>رَبُّهُ</w:t>
      </w:r>
      <w:r w:rsidRPr="00FD3279">
        <w:rPr>
          <w:noProof/>
          <w:sz w:val="26"/>
          <w:szCs w:val="28"/>
          <w:rtl/>
        </w:rPr>
        <w:t xml:space="preserve"> </w:t>
      </w:r>
      <w:r w:rsidRPr="00FD3279">
        <w:rPr>
          <w:rFonts w:ascii="Mosawi" w:hAnsi="Mosawi"/>
          <w:noProof/>
          <w:sz w:val="24"/>
          <w:szCs w:val="28"/>
          <w:rtl/>
        </w:rPr>
        <w:t>بِكَلِمَاتٍ</w:t>
      </w:r>
      <w:r w:rsidRPr="00FD3279">
        <w:rPr>
          <w:noProof/>
          <w:sz w:val="26"/>
          <w:szCs w:val="28"/>
          <w:rtl/>
        </w:rPr>
        <w:t xml:space="preserve"> </w:t>
      </w:r>
      <w:r w:rsidRPr="00FD3279">
        <w:rPr>
          <w:rFonts w:ascii="Mosawi" w:hAnsi="Mosawi"/>
          <w:noProof/>
          <w:sz w:val="24"/>
          <w:szCs w:val="28"/>
          <w:rtl/>
        </w:rPr>
        <w:t>فَأَتَمَّهُنَّ</w:t>
      </w:r>
      <w:r w:rsidRPr="00FD3279">
        <w:rPr>
          <w:noProof/>
          <w:sz w:val="26"/>
          <w:szCs w:val="28"/>
          <w:rtl/>
        </w:rPr>
        <w:t xml:space="preserve"> </w:t>
      </w:r>
      <w:r w:rsidRPr="00FD3279">
        <w:rPr>
          <w:rFonts w:ascii="Mosawi" w:hAnsi="Mosawi"/>
          <w:noProof/>
          <w:sz w:val="24"/>
          <w:szCs w:val="28"/>
          <w:rtl/>
        </w:rPr>
        <w:t>قَالَ</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93</w:t>
      </w:r>
      <w:r w:rsidRPr="00FD3279">
        <w:rPr>
          <w:noProof/>
          <w:sz w:val="26"/>
          <w:szCs w:val="28"/>
          <w:rtl/>
        </w:rPr>
        <w:t xml:space="preserve">، </w:t>
      </w:r>
      <w:r w:rsidRPr="00FD3279">
        <w:rPr>
          <w:noProof/>
          <w:sz w:val="26"/>
          <w:szCs w:val="28"/>
        </w:rPr>
        <w:t>94</w:t>
      </w:r>
      <w:r w:rsidRPr="00FD3279">
        <w:rPr>
          <w:noProof/>
          <w:sz w:val="26"/>
          <w:szCs w:val="28"/>
          <w:rtl/>
        </w:rPr>
        <w:t xml:space="preserve">، </w:t>
      </w:r>
      <w:r w:rsidRPr="00FD3279">
        <w:rPr>
          <w:noProof/>
          <w:sz w:val="26"/>
          <w:szCs w:val="28"/>
        </w:rPr>
        <w:t>409</w:t>
      </w:r>
    </w:p>
    <w:p w:rsidR="0064415C" w:rsidRPr="00FD3279" w:rsidRDefault="0064415C" w:rsidP="0064415C">
      <w:pPr>
        <w:tabs>
          <w:tab w:val="right" w:pos="6804"/>
        </w:tabs>
        <w:ind w:firstLine="0"/>
        <w:rPr>
          <w:noProof/>
          <w:sz w:val="26"/>
          <w:szCs w:val="28"/>
          <w:rtl/>
        </w:rPr>
      </w:pPr>
      <w:r w:rsidRPr="00FD3279">
        <w:rPr>
          <w:noProof/>
          <w:sz w:val="26"/>
          <w:szCs w:val="28"/>
          <w:rtl/>
        </w:rPr>
        <w:t>(البقرة /</w:t>
      </w:r>
      <w:r>
        <w:rPr>
          <w:rFonts w:hint="cs"/>
          <w:noProof/>
          <w:sz w:val="26"/>
          <w:szCs w:val="28"/>
          <w:rtl/>
        </w:rPr>
        <w:t xml:space="preserve"> 142</w:t>
      </w:r>
      <w:r w:rsidRPr="00FD3279">
        <w:rPr>
          <w:noProof/>
          <w:sz w:val="26"/>
          <w:szCs w:val="28"/>
          <w:rtl/>
        </w:rPr>
        <w:t>)</w:t>
      </w:r>
      <w:r>
        <w:rPr>
          <w:rFonts w:hint="cs"/>
          <w:noProof/>
          <w:sz w:val="26"/>
          <w:szCs w:val="28"/>
          <w:rtl/>
        </w:rPr>
        <w:t xml:space="preserve"> </w:t>
      </w:r>
      <w:r w:rsidRPr="00FD3279">
        <w:rPr>
          <w:noProof/>
          <w:sz w:val="26"/>
          <w:szCs w:val="28"/>
          <w:rtl/>
        </w:rPr>
        <w:t xml:space="preserve"> </w:t>
      </w:r>
      <w:r w:rsidRPr="00FD3279">
        <w:rPr>
          <w:rFonts w:ascii="Mosawi" w:hAnsi="Mosawi"/>
          <w:noProof/>
          <w:sz w:val="24"/>
          <w:szCs w:val="28"/>
          <w:rtl/>
        </w:rPr>
        <w:t>مَا</w:t>
      </w:r>
      <w:r w:rsidRPr="00FD3279">
        <w:rPr>
          <w:noProof/>
          <w:sz w:val="26"/>
          <w:szCs w:val="28"/>
          <w:rtl/>
        </w:rPr>
        <w:t xml:space="preserve"> </w:t>
      </w:r>
      <w:r w:rsidRPr="00FD3279">
        <w:rPr>
          <w:rFonts w:ascii="Mosawi" w:hAnsi="Mosawi"/>
          <w:noProof/>
          <w:sz w:val="24"/>
          <w:szCs w:val="28"/>
          <w:rtl/>
        </w:rPr>
        <w:t>وَلاَّهُمْ</w:t>
      </w:r>
      <w:r w:rsidRPr="00FD3279">
        <w:rPr>
          <w:noProof/>
          <w:sz w:val="26"/>
          <w:szCs w:val="28"/>
          <w:rtl/>
        </w:rPr>
        <w:t xml:space="preserve"> </w:t>
      </w:r>
      <w:r w:rsidRPr="00FD3279">
        <w:rPr>
          <w:rFonts w:ascii="Mosawi" w:hAnsi="Mosawi"/>
          <w:noProof/>
          <w:sz w:val="24"/>
          <w:szCs w:val="28"/>
          <w:rtl/>
        </w:rPr>
        <w:t>عَنْ</w:t>
      </w:r>
      <w:r w:rsidRPr="00FD3279">
        <w:rPr>
          <w:noProof/>
          <w:sz w:val="26"/>
          <w:szCs w:val="28"/>
          <w:rtl/>
        </w:rPr>
        <w:t xml:space="preserve"> </w:t>
      </w:r>
      <w:r w:rsidRPr="00FD3279">
        <w:rPr>
          <w:rFonts w:ascii="Mosawi" w:hAnsi="Mosawi"/>
          <w:noProof/>
          <w:sz w:val="24"/>
          <w:szCs w:val="28"/>
          <w:rtl/>
        </w:rPr>
        <w:t>قِبْلَتِهِمْ</w:t>
      </w:r>
      <w:r w:rsidRPr="00FD3279">
        <w:rPr>
          <w:noProof/>
          <w:sz w:val="26"/>
          <w:szCs w:val="28"/>
          <w:rtl/>
        </w:rPr>
        <w:t xml:space="preserve"> </w:t>
      </w:r>
      <w:r w:rsidRPr="00FD3279">
        <w:rPr>
          <w:rFonts w:ascii="Mosawi" w:hAnsi="Mosawi"/>
          <w:noProof/>
          <w:sz w:val="24"/>
          <w:szCs w:val="28"/>
          <w:rtl/>
        </w:rPr>
        <w:t>الَّتِي</w:t>
      </w:r>
      <w:r w:rsidRPr="00FD3279">
        <w:rPr>
          <w:noProof/>
          <w:sz w:val="26"/>
          <w:szCs w:val="28"/>
          <w:rtl/>
        </w:rPr>
        <w:t xml:space="preserve"> </w:t>
      </w:r>
      <w:r w:rsidRPr="00FD3279">
        <w:rPr>
          <w:rFonts w:ascii="Mosawi" w:hAnsi="Mosawi"/>
          <w:noProof/>
          <w:sz w:val="24"/>
          <w:szCs w:val="28"/>
          <w:rtl/>
        </w:rPr>
        <w:t>كَانُوا</w:t>
      </w:r>
      <w:r w:rsidRPr="00FD3279">
        <w:rPr>
          <w:noProof/>
          <w:sz w:val="26"/>
          <w:szCs w:val="28"/>
          <w:rtl/>
        </w:rPr>
        <w:t xml:space="preserve"> </w:t>
      </w:r>
      <w:r w:rsidRPr="00FD3279">
        <w:rPr>
          <w:rFonts w:ascii="Mosawi" w:hAnsi="Mosawi"/>
          <w:noProof/>
          <w:sz w:val="24"/>
          <w:szCs w:val="28"/>
          <w:rtl/>
        </w:rPr>
        <w:t>عَلَيْهَا</w:t>
      </w:r>
      <w:r>
        <w:rPr>
          <w:noProof/>
          <w:sz w:val="26"/>
          <w:szCs w:val="28"/>
          <w:rtl/>
        </w:rPr>
        <w:tab/>
      </w:r>
      <w:r w:rsidRPr="00FD3279">
        <w:rPr>
          <w:noProof/>
          <w:sz w:val="26"/>
          <w:szCs w:val="28"/>
          <w:rtl/>
        </w:rPr>
        <w:t xml:space="preserve"> </w:t>
      </w:r>
      <w:r w:rsidRPr="00FD3279">
        <w:rPr>
          <w:noProof/>
          <w:sz w:val="26"/>
          <w:szCs w:val="28"/>
        </w:rPr>
        <w:t>87</w:t>
      </w:r>
    </w:p>
    <w:p w:rsidR="0064415C" w:rsidRPr="00FD3279" w:rsidRDefault="0064415C" w:rsidP="0064415C">
      <w:pPr>
        <w:tabs>
          <w:tab w:val="right" w:pos="6804"/>
        </w:tabs>
        <w:ind w:firstLine="0"/>
        <w:rPr>
          <w:noProof/>
          <w:sz w:val="26"/>
          <w:szCs w:val="28"/>
          <w:rtl/>
        </w:rPr>
      </w:pPr>
      <w:r w:rsidRPr="00FD3279">
        <w:rPr>
          <w:noProof/>
          <w:sz w:val="26"/>
          <w:szCs w:val="28"/>
          <w:rtl/>
        </w:rPr>
        <w:t>(البقرة /</w:t>
      </w:r>
      <w:r>
        <w:rPr>
          <w:rFonts w:hint="cs"/>
          <w:noProof/>
          <w:sz w:val="26"/>
          <w:szCs w:val="28"/>
          <w:rtl/>
        </w:rPr>
        <w:t xml:space="preserve"> 148</w:t>
      </w:r>
      <w:r w:rsidRPr="00FD3279">
        <w:rPr>
          <w:noProof/>
          <w:sz w:val="26"/>
          <w:szCs w:val="28"/>
          <w:rtl/>
        </w:rPr>
        <w:t xml:space="preserve">) </w:t>
      </w:r>
      <w:r w:rsidRPr="00FD3279">
        <w:rPr>
          <w:rFonts w:ascii="Mosawi" w:hAnsi="Mosawi"/>
          <w:noProof/>
          <w:sz w:val="24"/>
          <w:szCs w:val="28"/>
          <w:rtl/>
        </w:rPr>
        <w:t>وَلِكُلٍّ</w:t>
      </w:r>
      <w:r w:rsidRPr="00FD3279">
        <w:rPr>
          <w:noProof/>
          <w:sz w:val="26"/>
          <w:szCs w:val="28"/>
          <w:rtl/>
        </w:rPr>
        <w:t xml:space="preserve"> </w:t>
      </w:r>
      <w:r w:rsidRPr="00FD3279">
        <w:rPr>
          <w:rFonts w:ascii="Mosawi" w:hAnsi="Mosawi"/>
          <w:noProof/>
          <w:sz w:val="24"/>
          <w:szCs w:val="28"/>
          <w:rtl/>
        </w:rPr>
        <w:t>وِجْهَةٌ</w:t>
      </w:r>
      <w:r w:rsidRPr="00FD3279">
        <w:rPr>
          <w:noProof/>
          <w:sz w:val="26"/>
          <w:szCs w:val="28"/>
          <w:rtl/>
        </w:rPr>
        <w:t xml:space="preserve"> </w:t>
      </w:r>
      <w:r w:rsidRPr="00FD3279">
        <w:rPr>
          <w:rFonts w:ascii="Mosawi" w:hAnsi="Mosawi"/>
          <w:noProof/>
          <w:sz w:val="24"/>
          <w:szCs w:val="28"/>
          <w:rtl/>
        </w:rPr>
        <w:t>هُوَ</w:t>
      </w:r>
      <w:r w:rsidRPr="00FD3279">
        <w:rPr>
          <w:noProof/>
          <w:sz w:val="26"/>
          <w:szCs w:val="28"/>
          <w:rtl/>
        </w:rPr>
        <w:t xml:space="preserve"> </w:t>
      </w:r>
      <w:r w:rsidRPr="00FD3279">
        <w:rPr>
          <w:rFonts w:ascii="Mosawi" w:hAnsi="Mosawi"/>
          <w:noProof/>
          <w:sz w:val="24"/>
          <w:szCs w:val="28"/>
          <w:rtl/>
        </w:rPr>
        <w:t>مُوَلِّيهَا</w:t>
      </w:r>
      <w:r>
        <w:rPr>
          <w:noProof/>
          <w:sz w:val="26"/>
          <w:szCs w:val="28"/>
          <w:rtl/>
        </w:rPr>
        <w:tab/>
      </w:r>
      <w:r w:rsidRPr="00FD3279">
        <w:rPr>
          <w:noProof/>
          <w:sz w:val="26"/>
          <w:szCs w:val="28"/>
          <w:rtl/>
        </w:rPr>
        <w:t xml:space="preserve"> </w:t>
      </w:r>
      <w:r w:rsidRPr="00FD3279">
        <w:rPr>
          <w:noProof/>
          <w:sz w:val="26"/>
          <w:szCs w:val="28"/>
        </w:rPr>
        <w:t>86</w:t>
      </w:r>
    </w:p>
    <w:p w:rsidR="0064415C" w:rsidRPr="00FD3279" w:rsidRDefault="0064415C" w:rsidP="0064415C">
      <w:pPr>
        <w:tabs>
          <w:tab w:val="right" w:pos="6804"/>
        </w:tabs>
        <w:ind w:firstLine="0"/>
        <w:rPr>
          <w:noProof/>
          <w:sz w:val="26"/>
          <w:szCs w:val="28"/>
        </w:rPr>
      </w:pPr>
      <w:r w:rsidRPr="00FD3279">
        <w:rPr>
          <w:noProof/>
          <w:sz w:val="26"/>
          <w:szCs w:val="28"/>
          <w:rtl/>
        </w:rPr>
        <w:t>(البقرة /</w:t>
      </w:r>
      <w:r>
        <w:rPr>
          <w:rFonts w:hint="cs"/>
          <w:noProof/>
          <w:sz w:val="26"/>
          <w:szCs w:val="28"/>
          <w:rtl/>
        </w:rPr>
        <w:t xml:space="preserve"> 237</w:t>
      </w:r>
      <w:r w:rsidRPr="00FD3279">
        <w:rPr>
          <w:noProof/>
          <w:sz w:val="26"/>
          <w:szCs w:val="28"/>
          <w:rtl/>
        </w:rPr>
        <w:t xml:space="preserve">) </w:t>
      </w:r>
      <w:r w:rsidRPr="00FD3279">
        <w:rPr>
          <w:rFonts w:ascii="Mosawi" w:hAnsi="Mosawi"/>
          <w:noProof/>
          <w:sz w:val="24"/>
          <w:szCs w:val="28"/>
          <w:rtl/>
        </w:rPr>
        <w:t>الَّذِي</w:t>
      </w:r>
      <w:r w:rsidRPr="00FD3279">
        <w:rPr>
          <w:noProof/>
          <w:sz w:val="26"/>
          <w:szCs w:val="28"/>
          <w:rtl/>
        </w:rPr>
        <w:t xml:space="preserve"> </w:t>
      </w:r>
      <w:r w:rsidRPr="00FD3279">
        <w:rPr>
          <w:rFonts w:ascii="Mosawi" w:hAnsi="Mosawi"/>
          <w:noProof/>
          <w:sz w:val="24"/>
          <w:szCs w:val="28"/>
          <w:rtl/>
        </w:rPr>
        <w:t>بِيَدِهِ</w:t>
      </w:r>
      <w:r w:rsidRPr="00FD3279">
        <w:rPr>
          <w:noProof/>
          <w:sz w:val="26"/>
          <w:szCs w:val="28"/>
          <w:rtl/>
        </w:rPr>
        <w:t xml:space="preserve"> </w:t>
      </w:r>
      <w:r w:rsidRPr="00FD3279">
        <w:rPr>
          <w:rFonts w:ascii="Mosawi" w:hAnsi="Mosawi"/>
          <w:noProof/>
          <w:sz w:val="24"/>
          <w:szCs w:val="28"/>
          <w:rtl/>
        </w:rPr>
        <w:t>عُقْدَةُ</w:t>
      </w:r>
      <w:r w:rsidRPr="00FD3279">
        <w:rPr>
          <w:noProof/>
          <w:sz w:val="26"/>
          <w:szCs w:val="28"/>
          <w:rtl/>
        </w:rPr>
        <w:t xml:space="preserve"> </w:t>
      </w:r>
      <w:r w:rsidRPr="00FD3279">
        <w:rPr>
          <w:rFonts w:ascii="Mosawi" w:hAnsi="Mosawi"/>
          <w:noProof/>
          <w:sz w:val="24"/>
          <w:szCs w:val="28"/>
          <w:rtl/>
        </w:rPr>
        <w:t>النِّكَاحِ</w:t>
      </w:r>
      <w:r>
        <w:rPr>
          <w:noProof/>
          <w:sz w:val="26"/>
          <w:szCs w:val="28"/>
          <w:rtl/>
        </w:rPr>
        <w:tab/>
      </w:r>
      <w:r w:rsidRPr="00FD3279">
        <w:rPr>
          <w:noProof/>
          <w:sz w:val="26"/>
          <w:szCs w:val="28"/>
          <w:rtl/>
        </w:rPr>
        <w:t xml:space="preserve"> </w:t>
      </w:r>
      <w:r w:rsidRPr="00FD3279">
        <w:rPr>
          <w:noProof/>
          <w:sz w:val="26"/>
          <w:szCs w:val="28"/>
        </w:rPr>
        <w:t>98</w:t>
      </w:r>
    </w:p>
    <w:p w:rsidR="0064415C" w:rsidRPr="00FD3279" w:rsidRDefault="0064415C" w:rsidP="0064415C">
      <w:pPr>
        <w:tabs>
          <w:tab w:val="right" w:pos="6804"/>
        </w:tabs>
        <w:ind w:firstLine="0"/>
        <w:rPr>
          <w:noProof/>
          <w:sz w:val="26"/>
          <w:szCs w:val="28"/>
        </w:rPr>
      </w:pPr>
      <w:r w:rsidRPr="00FD3279">
        <w:rPr>
          <w:noProof/>
          <w:sz w:val="26"/>
          <w:szCs w:val="28"/>
          <w:rtl/>
        </w:rPr>
        <w:t>(البقرة /</w:t>
      </w:r>
      <w:r>
        <w:rPr>
          <w:rFonts w:hint="cs"/>
          <w:noProof/>
          <w:sz w:val="26"/>
          <w:szCs w:val="28"/>
          <w:rtl/>
        </w:rPr>
        <w:t xml:space="preserve"> 247</w:t>
      </w:r>
      <w:r w:rsidRPr="00FD3279">
        <w:rPr>
          <w:noProof/>
          <w:sz w:val="26"/>
          <w:szCs w:val="28"/>
          <w:rtl/>
        </w:rPr>
        <w:t xml:space="preserve">) </w:t>
      </w:r>
      <w:r w:rsidRPr="00FD3279">
        <w:rPr>
          <w:rFonts w:ascii="Mosawi" w:hAnsi="Mosawi"/>
          <w:noProof/>
          <w:sz w:val="24"/>
          <w:szCs w:val="28"/>
          <w:rtl/>
        </w:rPr>
        <w:t>وَقَالَ</w:t>
      </w:r>
      <w:r w:rsidRPr="00FD3279">
        <w:rPr>
          <w:noProof/>
          <w:sz w:val="26"/>
          <w:szCs w:val="28"/>
          <w:rtl/>
        </w:rPr>
        <w:t xml:space="preserve"> </w:t>
      </w:r>
      <w:r w:rsidRPr="00FD3279">
        <w:rPr>
          <w:rFonts w:ascii="Mosawi" w:hAnsi="Mosawi"/>
          <w:noProof/>
          <w:sz w:val="24"/>
          <w:szCs w:val="28"/>
          <w:rtl/>
        </w:rPr>
        <w:t>لَهُمْ</w:t>
      </w:r>
      <w:r w:rsidRPr="00FD3279">
        <w:rPr>
          <w:noProof/>
          <w:sz w:val="26"/>
          <w:szCs w:val="28"/>
          <w:rtl/>
        </w:rPr>
        <w:t xml:space="preserve"> </w:t>
      </w:r>
      <w:r w:rsidRPr="00FD3279">
        <w:rPr>
          <w:rFonts w:ascii="Mosawi" w:hAnsi="Mosawi"/>
          <w:noProof/>
          <w:sz w:val="24"/>
          <w:szCs w:val="28"/>
          <w:rtl/>
        </w:rPr>
        <w:t>نَبِيُّهُمْ</w:t>
      </w:r>
      <w:r w:rsidRPr="00FD3279">
        <w:rPr>
          <w:noProof/>
          <w:sz w:val="26"/>
          <w:szCs w:val="28"/>
          <w:rtl/>
        </w:rPr>
        <w:t xml:space="preserve"> </w:t>
      </w:r>
      <w:r w:rsidRPr="00FD3279">
        <w:rPr>
          <w:rFonts w:ascii="Mosawi" w:hAnsi="Mosawi"/>
          <w:noProof/>
          <w:sz w:val="24"/>
          <w:szCs w:val="28"/>
          <w:rtl/>
        </w:rPr>
        <w:t>إِنَّ</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قَدْ</w:t>
      </w:r>
      <w:r w:rsidRPr="00FD3279">
        <w:rPr>
          <w:noProof/>
          <w:sz w:val="26"/>
          <w:szCs w:val="28"/>
          <w:rtl/>
        </w:rPr>
        <w:t xml:space="preserve"> </w:t>
      </w:r>
      <w:r w:rsidRPr="00FD3279">
        <w:rPr>
          <w:rFonts w:ascii="Mosawi" w:hAnsi="Mosawi"/>
          <w:noProof/>
          <w:sz w:val="24"/>
          <w:szCs w:val="28"/>
          <w:rtl/>
        </w:rPr>
        <w:t>بَعَثَ</w:t>
      </w:r>
      <w:r w:rsidRPr="00FD3279">
        <w:rPr>
          <w:noProof/>
          <w:sz w:val="26"/>
          <w:szCs w:val="28"/>
          <w:rtl/>
        </w:rPr>
        <w:t xml:space="preserve"> </w:t>
      </w:r>
      <w:r w:rsidRPr="00FD3279">
        <w:rPr>
          <w:rFonts w:ascii="Mosawi" w:hAnsi="Mosawi"/>
          <w:noProof/>
          <w:sz w:val="24"/>
          <w:szCs w:val="28"/>
          <w:rtl/>
        </w:rPr>
        <w:t>لَكُمْ</w:t>
      </w:r>
      <w:r w:rsidRPr="00FD3279">
        <w:rPr>
          <w:noProof/>
          <w:sz w:val="26"/>
          <w:szCs w:val="28"/>
          <w:rtl/>
        </w:rPr>
        <w:t xml:space="preserve"> </w:t>
      </w:r>
      <w:r w:rsidRPr="00FD3279">
        <w:rPr>
          <w:rFonts w:ascii="Mosawi" w:hAnsi="Mosawi"/>
          <w:noProof/>
          <w:sz w:val="24"/>
          <w:szCs w:val="28"/>
          <w:rtl/>
        </w:rPr>
        <w:t>طَالُوتَ</w:t>
      </w:r>
      <w:r w:rsidRPr="00FD3279">
        <w:rPr>
          <w:noProof/>
          <w:sz w:val="26"/>
          <w:szCs w:val="28"/>
          <w:rtl/>
        </w:rPr>
        <w:t xml:space="preserve"> </w:t>
      </w:r>
      <w:r w:rsidRPr="00FD3279">
        <w:rPr>
          <w:rFonts w:ascii="Mosawi" w:hAnsi="Mosawi"/>
          <w:noProof/>
          <w:sz w:val="24"/>
          <w:szCs w:val="28"/>
          <w:rtl/>
        </w:rPr>
        <w:t>مَلِكاً</w:t>
      </w:r>
      <w:r>
        <w:rPr>
          <w:noProof/>
          <w:sz w:val="26"/>
          <w:szCs w:val="28"/>
          <w:rtl/>
        </w:rPr>
        <w:tab/>
      </w:r>
      <w:r w:rsidRPr="00FD3279">
        <w:rPr>
          <w:noProof/>
          <w:sz w:val="26"/>
          <w:szCs w:val="28"/>
          <w:rtl/>
        </w:rPr>
        <w:t xml:space="preserve"> </w:t>
      </w:r>
      <w:r w:rsidRPr="00FD3279">
        <w:rPr>
          <w:noProof/>
          <w:sz w:val="26"/>
          <w:szCs w:val="28"/>
        </w:rPr>
        <w:t>94</w:t>
      </w:r>
    </w:p>
    <w:p w:rsidR="0064415C" w:rsidRDefault="0064415C" w:rsidP="0064415C">
      <w:pPr>
        <w:tabs>
          <w:tab w:val="right" w:pos="6804"/>
        </w:tabs>
        <w:ind w:firstLine="0"/>
        <w:rPr>
          <w:noProof/>
          <w:sz w:val="26"/>
          <w:szCs w:val="28"/>
          <w:rtl/>
        </w:rPr>
      </w:pPr>
      <w:r w:rsidRPr="00FD3279">
        <w:rPr>
          <w:noProof/>
          <w:sz w:val="26"/>
          <w:szCs w:val="28"/>
          <w:rtl/>
        </w:rPr>
        <w:t>(البقرة /</w:t>
      </w:r>
      <w:r>
        <w:rPr>
          <w:rFonts w:hint="cs"/>
          <w:noProof/>
          <w:sz w:val="26"/>
          <w:szCs w:val="28"/>
          <w:rtl/>
        </w:rPr>
        <w:t xml:space="preserve"> 257</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وَلِيُّ</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آمَنُوا</w:t>
      </w:r>
      <w:r w:rsidRPr="00FD3279">
        <w:rPr>
          <w:noProof/>
          <w:sz w:val="26"/>
          <w:szCs w:val="28"/>
          <w:rtl/>
        </w:rPr>
        <w:t xml:space="preserve"> </w:t>
      </w:r>
      <w:r w:rsidRPr="00FD3279">
        <w:rPr>
          <w:rFonts w:ascii="Mosawi" w:hAnsi="Mosawi"/>
          <w:noProof/>
          <w:sz w:val="24"/>
          <w:szCs w:val="28"/>
          <w:rtl/>
        </w:rPr>
        <w:t>يُخْ</w:t>
      </w:r>
      <w:r w:rsidRPr="00FD3279">
        <w:rPr>
          <w:noProof/>
          <w:sz w:val="26"/>
          <w:szCs w:val="28"/>
          <w:rtl/>
        </w:rPr>
        <w:t>رِجُهُمْ مِنْ الظُّلُمَاتِ إِلَى النُّورِ...</w:t>
      </w:r>
    </w:p>
    <w:p w:rsidR="0064415C" w:rsidRPr="00FD3279" w:rsidRDefault="0064415C" w:rsidP="0064415C">
      <w:pPr>
        <w:tabs>
          <w:tab w:val="right" w:pos="6804"/>
        </w:tabs>
        <w:ind w:firstLine="0"/>
        <w:rPr>
          <w:noProof/>
          <w:sz w:val="26"/>
          <w:szCs w:val="28"/>
        </w:rPr>
      </w:pPr>
      <w:r>
        <w:rPr>
          <w:noProof/>
          <w:sz w:val="26"/>
          <w:szCs w:val="28"/>
          <w:rtl/>
        </w:rPr>
        <w:tab/>
      </w:r>
      <w:r w:rsidRPr="00FD3279">
        <w:rPr>
          <w:noProof/>
          <w:sz w:val="26"/>
          <w:szCs w:val="28"/>
          <w:rtl/>
        </w:rPr>
        <w:t xml:space="preserve"> </w:t>
      </w:r>
      <w:r w:rsidRPr="00FD3279">
        <w:rPr>
          <w:noProof/>
          <w:sz w:val="26"/>
          <w:szCs w:val="28"/>
        </w:rPr>
        <w:t>44</w:t>
      </w:r>
      <w:r w:rsidRPr="00FD3279">
        <w:rPr>
          <w:noProof/>
          <w:sz w:val="26"/>
          <w:szCs w:val="28"/>
          <w:rtl/>
        </w:rPr>
        <w:t xml:space="preserve">، </w:t>
      </w:r>
      <w:r w:rsidRPr="00FD3279">
        <w:rPr>
          <w:noProof/>
          <w:sz w:val="26"/>
          <w:szCs w:val="28"/>
        </w:rPr>
        <w:t>45</w:t>
      </w:r>
      <w:r w:rsidRPr="00FD3279">
        <w:rPr>
          <w:noProof/>
          <w:sz w:val="26"/>
          <w:szCs w:val="28"/>
          <w:rtl/>
        </w:rPr>
        <w:t xml:space="preserve">، </w:t>
      </w:r>
      <w:r w:rsidRPr="00FD3279">
        <w:rPr>
          <w:noProof/>
          <w:sz w:val="26"/>
          <w:szCs w:val="28"/>
        </w:rPr>
        <w:t>89</w:t>
      </w:r>
      <w:r w:rsidRPr="00FD3279">
        <w:rPr>
          <w:noProof/>
          <w:sz w:val="26"/>
          <w:szCs w:val="28"/>
          <w:rtl/>
        </w:rPr>
        <w:t xml:space="preserve">، </w:t>
      </w:r>
      <w:r w:rsidRPr="00FD3279">
        <w:rPr>
          <w:noProof/>
          <w:sz w:val="26"/>
          <w:szCs w:val="28"/>
        </w:rPr>
        <w:t>101</w:t>
      </w:r>
    </w:p>
    <w:p w:rsidR="0064415C" w:rsidRPr="00FD3279" w:rsidRDefault="0064415C" w:rsidP="0064415C">
      <w:pPr>
        <w:tabs>
          <w:tab w:val="right" w:pos="6804"/>
        </w:tabs>
        <w:ind w:firstLine="0"/>
        <w:rPr>
          <w:noProof/>
          <w:sz w:val="26"/>
          <w:szCs w:val="28"/>
        </w:rPr>
      </w:pPr>
      <w:r w:rsidRPr="00FD3279">
        <w:rPr>
          <w:noProof/>
          <w:sz w:val="26"/>
          <w:szCs w:val="28"/>
          <w:rtl/>
        </w:rPr>
        <w:t>(البقرة /</w:t>
      </w:r>
      <w:r>
        <w:rPr>
          <w:rFonts w:hint="cs"/>
          <w:noProof/>
          <w:sz w:val="26"/>
          <w:szCs w:val="28"/>
          <w:rtl/>
        </w:rPr>
        <w:t xml:space="preserve"> 282</w:t>
      </w:r>
      <w:r w:rsidRPr="00FD3279">
        <w:rPr>
          <w:noProof/>
          <w:sz w:val="26"/>
          <w:szCs w:val="28"/>
          <w:rtl/>
        </w:rPr>
        <w:t xml:space="preserve">) </w:t>
      </w:r>
      <w:r w:rsidRPr="00FD3279">
        <w:rPr>
          <w:rFonts w:ascii="Mosawi" w:hAnsi="Mosawi"/>
          <w:noProof/>
          <w:sz w:val="24"/>
          <w:szCs w:val="28"/>
          <w:rtl/>
        </w:rPr>
        <w:t>يَا</w:t>
      </w:r>
      <w:r w:rsidRPr="00FD3279">
        <w:rPr>
          <w:noProof/>
          <w:sz w:val="26"/>
          <w:szCs w:val="28"/>
          <w:rtl/>
        </w:rPr>
        <w:t xml:space="preserve"> </w:t>
      </w:r>
      <w:r w:rsidRPr="00FD3279">
        <w:rPr>
          <w:rFonts w:ascii="Mosawi" w:hAnsi="Mosawi"/>
          <w:noProof/>
          <w:sz w:val="24"/>
          <w:szCs w:val="28"/>
          <w:rtl/>
        </w:rPr>
        <w:t>أَيُّهَا</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آمَنُوا</w:t>
      </w:r>
      <w:r w:rsidRPr="00FD3279">
        <w:rPr>
          <w:noProof/>
          <w:sz w:val="26"/>
          <w:szCs w:val="28"/>
          <w:rtl/>
        </w:rPr>
        <w:t xml:space="preserve"> </w:t>
      </w:r>
      <w:r w:rsidRPr="00FD3279">
        <w:rPr>
          <w:rFonts w:ascii="Mosawi" w:hAnsi="Mosawi"/>
          <w:noProof/>
          <w:sz w:val="24"/>
          <w:szCs w:val="28"/>
          <w:rtl/>
        </w:rPr>
        <w:t>إِذَا</w:t>
      </w:r>
      <w:r w:rsidRPr="00FD3279">
        <w:rPr>
          <w:noProof/>
          <w:sz w:val="26"/>
          <w:szCs w:val="28"/>
          <w:rtl/>
        </w:rPr>
        <w:t xml:space="preserve"> </w:t>
      </w:r>
      <w:r w:rsidRPr="00FD3279">
        <w:rPr>
          <w:rFonts w:ascii="Mosawi" w:hAnsi="Mosawi"/>
          <w:noProof/>
          <w:sz w:val="24"/>
          <w:szCs w:val="28"/>
          <w:rtl/>
        </w:rPr>
        <w:t>تَدَايَنتُمْ</w:t>
      </w:r>
      <w:r w:rsidRPr="00FD3279">
        <w:rPr>
          <w:noProof/>
          <w:sz w:val="26"/>
          <w:szCs w:val="28"/>
          <w:rtl/>
        </w:rPr>
        <w:t xml:space="preserve"> </w:t>
      </w:r>
      <w:r w:rsidRPr="00FD3279">
        <w:rPr>
          <w:rFonts w:ascii="Mosawi" w:hAnsi="Mosawi"/>
          <w:noProof/>
          <w:sz w:val="24"/>
          <w:szCs w:val="28"/>
          <w:rtl/>
        </w:rPr>
        <w:t>بِدَيْنٍ</w:t>
      </w:r>
      <w:r w:rsidRPr="00FD3279">
        <w:rPr>
          <w:noProof/>
          <w:sz w:val="26"/>
          <w:szCs w:val="28"/>
          <w:rtl/>
        </w:rPr>
        <w:t xml:space="preserve"> </w:t>
      </w:r>
      <w:r w:rsidRPr="00FD3279">
        <w:rPr>
          <w:rFonts w:ascii="Mosawi" w:hAnsi="Mosawi"/>
          <w:noProof/>
          <w:sz w:val="24"/>
          <w:szCs w:val="28"/>
          <w:rtl/>
        </w:rPr>
        <w:t>إِلَى</w:t>
      </w:r>
      <w:r w:rsidRPr="00FD3279">
        <w:rPr>
          <w:noProof/>
          <w:sz w:val="26"/>
          <w:szCs w:val="28"/>
          <w:rtl/>
        </w:rPr>
        <w:t xml:space="preserve"> </w:t>
      </w:r>
      <w:r w:rsidRPr="00FD3279">
        <w:rPr>
          <w:rFonts w:ascii="Mosawi" w:hAnsi="Mosawi"/>
          <w:noProof/>
          <w:sz w:val="24"/>
          <w:szCs w:val="28"/>
          <w:rtl/>
        </w:rPr>
        <w:t>أَجَلٍ</w:t>
      </w:r>
      <w:r w:rsidRPr="00FD3279">
        <w:rPr>
          <w:noProof/>
          <w:sz w:val="26"/>
          <w:szCs w:val="28"/>
          <w:rtl/>
        </w:rPr>
        <w:t xml:space="preserve"> </w:t>
      </w:r>
      <w:r w:rsidRPr="00FD3279">
        <w:rPr>
          <w:rFonts w:ascii="Mosawi" w:hAnsi="Mosawi"/>
          <w:noProof/>
          <w:sz w:val="24"/>
          <w:szCs w:val="28"/>
          <w:rtl/>
        </w:rPr>
        <w:t>مُسَمًّى</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97</w:t>
      </w:r>
    </w:p>
    <w:p w:rsidR="0064415C" w:rsidRPr="00FD3279" w:rsidRDefault="0064415C" w:rsidP="0064415C">
      <w:pPr>
        <w:tabs>
          <w:tab w:val="right" w:pos="6804"/>
        </w:tabs>
        <w:ind w:firstLine="0"/>
        <w:rPr>
          <w:noProof/>
          <w:sz w:val="26"/>
          <w:szCs w:val="28"/>
        </w:rPr>
      </w:pPr>
      <w:r w:rsidRPr="00FD3279">
        <w:rPr>
          <w:noProof/>
          <w:sz w:val="26"/>
          <w:szCs w:val="28"/>
          <w:rtl/>
        </w:rPr>
        <w:t>(آل عمران /</w:t>
      </w:r>
      <w:r>
        <w:rPr>
          <w:rFonts w:hint="cs"/>
          <w:noProof/>
          <w:sz w:val="26"/>
          <w:szCs w:val="28"/>
          <w:rtl/>
        </w:rPr>
        <w:t xml:space="preserve"> </w:t>
      </w:r>
      <w:r>
        <w:rPr>
          <w:noProof/>
          <w:sz w:val="26"/>
          <w:szCs w:val="28"/>
          <w:rtl/>
        </w:rPr>
        <w:t>28</w:t>
      </w:r>
      <w:r w:rsidRPr="00FD3279">
        <w:rPr>
          <w:noProof/>
          <w:sz w:val="26"/>
          <w:szCs w:val="28"/>
          <w:rtl/>
        </w:rPr>
        <w:t xml:space="preserve">) </w:t>
      </w:r>
      <w:r w:rsidRPr="00FD3279">
        <w:rPr>
          <w:rFonts w:ascii="Mosawi" w:hAnsi="Mosawi"/>
          <w:noProof/>
          <w:sz w:val="24"/>
          <w:szCs w:val="28"/>
          <w:rtl/>
        </w:rPr>
        <w:t>لاَ</w:t>
      </w:r>
      <w:r w:rsidRPr="00FD3279">
        <w:rPr>
          <w:noProof/>
          <w:sz w:val="26"/>
          <w:szCs w:val="28"/>
          <w:rtl/>
        </w:rPr>
        <w:t xml:space="preserve"> </w:t>
      </w:r>
      <w:r w:rsidRPr="00FD3279">
        <w:rPr>
          <w:rFonts w:ascii="Mosawi" w:hAnsi="Mosawi"/>
          <w:noProof/>
          <w:sz w:val="24"/>
          <w:szCs w:val="28"/>
          <w:rtl/>
        </w:rPr>
        <w:t>يَتَّخِذْ</w:t>
      </w:r>
      <w:r w:rsidRPr="00FD3279">
        <w:rPr>
          <w:noProof/>
          <w:sz w:val="26"/>
          <w:szCs w:val="28"/>
          <w:rtl/>
        </w:rPr>
        <w:t xml:space="preserve"> </w:t>
      </w:r>
      <w:r w:rsidRPr="00FD3279">
        <w:rPr>
          <w:rFonts w:ascii="Mosawi" w:hAnsi="Mosawi"/>
          <w:noProof/>
          <w:sz w:val="24"/>
          <w:szCs w:val="28"/>
          <w:rtl/>
        </w:rPr>
        <w:t>الْمُؤْمِنُونَ</w:t>
      </w:r>
      <w:r w:rsidRPr="00FD3279">
        <w:rPr>
          <w:noProof/>
          <w:sz w:val="26"/>
          <w:szCs w:val="28"/>
          <w:rtl/>
        </w:rPr>
        <w:t xml:space="preserve"> </w:t>
      </w:r>
      <w:r w:rsidRPr="00FD3279">
        <w:rPr>
          <w:rFonts w:ascii="Mosawi" w:hAnsi="Mosawi"/>
          <w:noProof/>
          <w:sz w:val="24"/>
          <w:szCs w:val="28"/>
          <w:rtl/>
        </w:rPr>
        <w:t>الْكَافِرِينَ</w:t>
      </w:r>
      <w:r w:rsidRPr="00FD3279">
        <w:rPr>
          <w:noProof/>
          <w:sz w:val="26"/>
          <w:szCs w:val="28"/>
          <w:rtl/>
        </w:rPr>
        <w:t xml:space="preserve"> </w:t>
      </w:r>
      <w:r w:rsidRPr="00FD3279">
        <w:rPr>
          <w:rFonts w:ascii="Mosawi" w:hAnsi="Mosawi"/>
          <w:noProof/>
          <w:sz w:val="24"/>
          <w:szCs w:val="28"/>
          <w:rtl/>
        </w:rPr>
        <w:t>أَوْلِيَاءَ</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دُونِ</w:t>
      </w:r>
      <w:r w:rsidRPr="00FD3279">
        <w:rPr>
          <w:noProof/>
          <w:sz w:val="26"/>
          <w:szCs w:val="28"/>
          <w:rtl/>
        </w:rPr>
        <w:t xml:space="preserve"> </w:t>
      </w:r>
      <w:r w:rsidRPr="00FD3279">
        <w:rPr>
          <w:rFonts w:ascii="Mosawi" w:hAnsi="Mosawi"/>
          <w:noProof/>
          <w:sz w:val="24"/>
          <w:szCs w:val="28"/>
          <w:rtl/>
        </w:rPr>
        <w:t>الْمُؤْمِ</w:t>
      </w:r>
      <w:r w:rsidRPr="00FD3279">
        <w:rPr>
          <w:noProof/>
          <w:sz w:val="26"/>
          <w:szCs w:val="28"/>
          <w:rtl/>
        </w:rPr>
        <w:t>نِينَ</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103</w:t>
      </w:r>
      <w:r w:rsidRPr="00FD3279">
        <w:rPr>
          <w:noProof/>
          <w:sz w:val="26"/>
          <w:szCs w:val="28"/>
          <w:rtl/>
        </w:rPr>
        <w:t xml:space="preserve">، </w:t>
      </w:r>
      <w:r w:rsidRPr="00FD3279">
        <w:rPr>
          <w:noProof/>
          <w:sz w:val="26"/>
          <w:szCs w:val="28"/>
        </w:rPr>
        <w:t>104</w:t>
      </w:r>
    </w:p>
    <w:p w:rsidR="0064415C" w:rsidRPr="00FD3279" w:rsidRDefault="0064415C" w:rsidP="008134A4">
      <w:pPr>
        <w:tabs>
          <w:tab w:val="right" w:pos="6804"/>
        </w:tabs>
        <w:ind w:firstLine="0"/>
        <w:rPr>
          <w:noProof/>
          <w:sz w:val="26"/>
          <w:szCs w:val="28"/>
          <w:rtl/>
        </w:rPr>
      </w:pPr>
      <w:r w:rsidRPr="00FD3279">
        <w:rPr>
          <w:noProof/>
          <w:sz w:val="26"/>
          <w:szCs w:val="28"/>
          <w:rtl/>
        </w:rPr>
        <w:t xml:space="preserve">(آل عمران </w:t>
      </w:r>
      <w:r w:rsidRPr="00FD3279">
        <w:rPr>
          <w:noProof/>
          <w:sz w:val="26"/>
          <w:szCs w:val="28"/>
        </w:rPr>
        <w:t>/</w:t>
      </w:r>
      <w:r w:rsidRPr="00FD3279">
        <w:rPr>
          <w:noProof/>
          <w:sz w:val="26"/>
          <w:szCs w:val="28"/>
          <w:rtl/>
        </w:rPr>
        <w:t xml:space="preserve"> </w:t>
      </w:r>
      <w:r>
        <w:rPr>
          <w:noProof/>
          <w:sz w:val="26"/>
          <w:szCs w:val="28"/>
          <w:rtl/>
          <w:lang w:bidi="fa-IR"/>
        </w:rPr>
        <w:t xml:space="preserve"> </w:t>
      </w:r>
      <w:r w:rsidR="008134A4">
        <w:rPr>
          <w:noProof/>
          <w:sz w:val="26"/>
          <w:szCs w:val="28"/>
          <w:rtl/>
        </w:rPr>
        <w:t>61</w:t>
      </w:r>
      <w:r w:rsidRPr="00FD3279">
        <w:rPr>
          <w:noProof/>
          <w:sz w:val="26"/>
          <w:szCs w:val="28"/>
          <w:rtl/>
        </w:rPr>
        <w:t xml:space="preserve">) </w:t>
      </w:r>
      <w:r w:rsidRPr="00FD3279">
        <w:rPr>
          <w:rFonts w:ascii="Mosawi" w:hAnsi="Mosawi"/>
          <w:noProof/>
          <w:sz w:val="24"/>
          <w:szCs w:val="28"/>
          <w:rtl/>
        </w:rPr>
        <w:t>فَمَنْ</w:t>
      </w:r>
      <w:r w:rsidRPr="00FD3279">
        <w:rPr>
          <w:noProof/>
          <w:sz w:val="26"/>
          <w:szCs w:val="28"/>
          <w:rtl/>
        </w:rPr>
        <w:t xml:space="preserve"> </w:t>
      </w:r>
      <w:r w:rsidRPr="00FD3279">
        <w:rPr>
          <w:rFonts w:ascii="Mosawi" w:hAnsi="Mosawi"/>
          <w:noProof/>
          <w:sz w:val="24"/>
          <w:szCs w:val="28"/>
          <w:rtl/>
        </w:rPr>
        <w:t>حَاجَّكَ</w:t>
      </w:r>
      <w:r w:rsidRPr="00FD3279">
        <w:rPr>
          <w:noProof/>
          <w:sz w:val="26"/>
          <w:szCs w:val="28"/>
          <w:rtl/>
        </w:rPr>
        <w:t xml:space="preserve"> </w:t>
      </w:r>
      <w:r w:rsidRPr="00FD3279">
        <w:rPr>
          <w:rFonts w:ascii="Mosawi" w:hAnsi="Mosawi"/>
          <w:noProof/>
          <w:sz w:val="24"/>
          <w:szCs w:val="28"/>
          <w:rtl/>
        </w:rPr>
        <w:t>فِيهِ</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بَعْدِ</w:t>
      </w:r>
      <w:r w:rsidRPr="00FD3279">
        <w:rPr>
          <w:noProof/>
          <w:sz w:val="26"/>
          <w:szCs w:val="28"/>
          <w:rtl/>
        </w:rPr>
        <w:t xml:space="preserve"> </w:t>
      </w:r>
      <w:r w:rsidRPr="00FD3279">
        <w:rPr>
          <w:rFonts w:ascii="Mosawi" w:hAnsi="Mosawi"/>
          <w:noProof/>
          <w:sz w:val="24"/>
          <w:szCs w:val="28"/>
          <w:rtl/>
        </w:rPr>
        <w:t>مَا</w:t>
      </w:r>
      <w:r w:rsidRPr="00FD3279">
        <w:rPr>
          <w:noProof/>
          <w:sz w:val="26"/>
          <w:szCs w:val="28"/>
          <w:rtl/>
        </w:rPr>
        <w:t xml:space="preserve"> </w:t>
      </w:r>
      <w:r w:rsidRPr="00FD3279">
        <w:rPr>
          <w:rFonts w:ascii="Mosawi" w:hAnsi="Mosawi"/>
          <w:noProof/>
          <w:sz w:val="24"/>
          <w:szCs w:val="28"/>
          <w:rtl/>
        </w:rPr>
        <w:t>جَاءَكَ</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الْعِلْمِ</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96</w:t>
      </w:r>
    </w:p>
    <w:p w:rsidR="0064415C" w:rsidRPr="00FD3279" w:rsidRDefault="0064415C" w:rsidP="0064415C">
      <w:pPr>
        <w:tabs>
          <w:tab w:val="right" w:pos="6804"/>
        </w:tabs>
        <w:ind w:firstLine="0"/>
        <w:rPr>
          <w:noProof/>
          <w:sz w:val="26"/>
          <w:szCs w:val="28"/>
        </w:rPr>
      </w:pPr>
      <w:r w:rsidRPr="00FD3279">
        <w:rPr>
          <w:noProof/>
          <w:sz w:val="26"/>
          <w:szCs w:val="28"/>
          <w:rtl/>
        </w:rPr>
        <w:t>(آل عمران /</w:t>
      </w:r>
      <w:r>
        <w:rPr>
          <w:noProof/>
          <w:sz w:val="26"/>
          <w:szCs w:val="28"/>
          <w:rtl/>
        </w:rPr>
        <w:t xml:space="preserve"> 132</w:t>
      </w:r>
      <w:r w:rsidRPr="00FD3279">
        <w:rPr>
          <w:noProof/>
          <w:sz w:val="26"/>
          <w:szCs w:val="28"/>
          <w:rtl/>
        </w:rPr>
        <w:t xml:space="preserve">) </w:t>
      </w:r>
      <w:r w:rsidRPr="00FD3279">
        <w:rPr>
          <w:rFonts w:ascii="Mosawi" w:hAnsi="Mosawi"/>
          <w:noProof/>
          <w:sz w:val="24"/>
          <w:szCs w:val="28"/>
          <w:rtl/>
        </w:rPr>
        <w:t>وَأَطِيعُوا</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وَالرَّسُولَ</w:t>
      </w:r>
      <w:r w:rsidRPr="00FD3279">
        <w:rPr>
          <w:noProof/>
          <w:sz w:val="26"/>
          <w:szCs w:val="28"/>
          <w:rtl/>
        </w:rPr>
        <w:t xml:space="preserve"> </w:t>
      </w:r>
      <w:r w:rsidRPr="00FD3279">
        <w:rPr>
          <w:rFonts w:ascii="Mosawi" w:hAnsi="Mosawi"/>
          <w:noProof/>
          <w:sz w:val="24"/>
          <w:szCs w:val="28"/>
          <w:rtl/>
        </w:rPr>
        <w:t>لَعَلَّكُمْ</w:t>
      </w:r>
      <w:r w:rsidRPr="00FD3279">
        <w:rPr>
          <w:noProof/>
          <w:sz w:val="26"/>
          <w:szCs w:val="28"/>
          <w:rtl/>
        </w:rPr>
        <w:t xml:space="preserve"> </w:t>
      </w:r>
      <w:r w:rsidRPr="00FD3279">
        <w:rPr>
          <w:rFonts w:ascii="Mosawi" w:hAnsi="Mosawi"/>
          <w:noProof/>
          <w:sz w:val="24"/>
          <w:szCs w:val="28"/>
          <w:rtl/>
        </w:rPr>
        <w:t>تُرْحَمُونَ</w:t>
      </w:r>
      <w:r>
        <w:rPr>
          <w:rFonts w:ascii="Mosawi" w:hAnsi="Mosawi"/>
          <w:noProof/>
          <w:sz w:val="24"/>
          <w:szCs w:val="28"/>
          <w:rtl/>
        </w:rPr>
        <w:tab/>
      </w:r>
      <w:r w:rsidRPr="00FD3279">
        <w:rPr>
          <w:noProof/>
          <w:sz w:val="26"/>
          <w:szCs w:val="28"/>
          <w:rtl/>
        </w:rPr>
        <w:t xml:space="preserve"> </w:t>
      </w:r>
      <w:r w:rsidRPr="00FD3279">
        <w:rPr>
          <w:noProof/>
          <w:sz w:val="26"/>
          <w:szCs w:val="28"/>
        </w:rPr>
        <w:t>107</w:t>
      </w:r>
    </w:p>
    <w:p w:rsidR="0064415C" w:rsidRDefault="0064415C" w:rsidP="0064415C">
      <w:pPr>
        <w:tabs>
          <w:tab w:val="right" w:pos="6804"/>
        </w:tabs>
        <w:ind w:firstLine="0"/>
        <w:rPr>
          <w:noProof/>
          <w:sz w:val="26"/>
          <w:szCs w:val="28"/>
          <w:rtl/>
        </w:rPr>
      </w:pPr>
      <w:r w:rsidRPr="00FD3279">
        <w:rPr>
          <w:noProof/>
          <w:sz w:val="26"/>
          <w:szCs w:val="28"/>
          <w:rtl/>
        </w:rPr>
        <w:t>(آل عمران /</w:t>
      </w:r>
      <w:r>
        <w:rPr>
          <w:noProof/>
          <w:sz w:val="26"/>
          <w:szCs w:val="28"/>
          <w:rtl/>
        </w:rPr>
        <w:t xml:space="preserve"> 164</w:t>
      </w:r>
      <w:r w:rsidRPr="00FD3279">
        <w:rPr>
          <w:noProof/>
          <w:sz w:val="26"/>
          <w:szCs w:val="28"/>
          <w:rtl/>
        </w:rPr>
        <w:t xml:space="preserve">) </w:t>
      </w:r>
      <w:r w:rsidRPr="00FD3279">
        <w:rPr>
          <w:rFonts w:ascii="Mosawi" w:hAnsi="Mosawi"/>
          <w:noProof/>
          <w:sz w:val="24"/>
          <w:szCs w:val="28"/>
          <w:rtl/>
        </w:rPr>
        <w:t>لَقَدْ</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عَلَى</w:t>
      </w:r>
      <w:r w:rsidRPr="00FD3279">
        <w:rPr>
          <w:noProof/>
          <w:sz w:val="26"/>
          <w:szCs w:val="28"/>
          <w:rtl/>
        </w:rPr>
        <w:t xml:space="preserve"> </w:t>
      </w:r>
      <w:r w:rsidRPr="00FD3279">
        <w:rPr>
          <w:rFonts w:ascii="Mosawi" w:hAnsi="Mosawi"/>
          <w:noProof/>
          <w:sz w:val="24"/>
          <w:szCs w:val="28"/>
          <w:rtl/>
        </w:rPr>
        <w:t>الْمُؤْمِنِينَ</w:t>
      </w:r>
      <w:r w:rsidRPr="00FD3279">
        <w:rPr>
          <w:noProof/>
          <w:sz w:val="26"/>
          <w:szCs w:val="28"/>
          <w:rtl/>
        </w:rPr>
        <w:t xml:space="preserve"> </w:t>
      </w:r>
      <w:r w:rsidRPr="00FD3279">
        <w:rPr>
          <w:rFonts w:ascii="Mosawi" w:hAnsi="Mosawi"/>
          <w:noProof/>
          <w:sz w:val="24"/>
          <w:szCs w:val="28"/>
          <w:rtl/>
        </w:rPr>
        <w:t>إِذْ</w:t>
      </w:r>
      <w:r w:rsidRPr="00FD3279">
        <w:rPr>
          <w:noProof/>
          <w:sz w:val="26"/>
          <w:szCs w:val="28"/>
          <w:rtl/>
        </w:rPr>
        <w:t xml:space="preserve"> </w:t>
      </w:r>
      <w:r w:rsidRPr="00FD3279">
        <w:rPr>
          <w:rFonts w:ascii="Mosawi" w:hAnsi="Mosawi"/>
          <w:noProof/>
          <w:sz w:val="24"/>
          <w:szCs w:val="28"/>
          <w:rtl/>
        </w:rPr>
        <w:t>بَعَثَ</w:t>
      </w:r>
      <w:r w:rsidRPr="00FD3279">
        <w:rPr>
          <w:noProof/>
          <w:sz w:val="26"/>
          <w:szCs w:val="28"/>
          <w:rtl/>
        </w:rPr>
        <w:t xml:space="preserve"> </w:t>
      </w:r>
      <w:r w:rsidRPr="00FD3279">
        <w:rPr>
          <w:rFonts w:ascii="Mosawi" w:hAnsi="Mosawi"/>
          <w:noProof/>
          <w:sz w:val="24"/>
          <w:szCs w:val="28"/>
          <w:rtl/>
        </w:rPr>
        <w:t>فِيهِمْ</w:t>
      </w:r>
      <w:r w:rsidRPr="00FD3279">
        <w:rPr>
          <w:noProof/>
          <w:sz w:val="26"/>
          <w:szCs w:val="28"/>
          <w:rtl/>
        </w:rPr>
        <w:t xml:space="preserve"> رَسُولاً مِنْ أَنْفُسِهِمْ</w:t>
      </w:r>
      <w:r w:rsidRPr="00FD3279">
        <w:rPr>
          <w:noProof/>
          <w:sz w:val="26"/>
          <w:szCs w:val="28"/>
        </w:rPr>
        <w:t>...</w:t>
      </w:r>
      <w:r w:rsidRPr="00FD3279">
        <w:rPr>
          <w:noProof/>
          <w:sz w:val="26"/>
          <w:szCs w:val="28"/>
          <w:rtl/>
        </w:rPr>
        <w:t xml:space="preserve"> </w:t>
      </w:r>
    </w:p>
    <w:p w:rsidR="0064415C" w:rsidRPr="00FD3279" w:rsidRDefault="0064415C" w:rsidP="0064415C">
      <w:pPr>
        <w:tabs>
          <w:tab w:val="right" w:pos="6804"/>
        </w:tabs>
        <w:ind w:firstLine="0"/>
        <w:rPr>
          <w:noProof/>
          <w:sz w:val="26"/>
          <w:szCs w:val="28"/>
        </w:rPr>
      </w:pPr>
      <w:r>
        <w:rPr>
          <w:noProof/>
          <w:sz w:val="26"/>
          <w:szCs w:val="28"/>
          <w:rtl/>
        </w:rPr>
        <w:tab/>
      </w:r>
      <w:r w:rsidRPr="00FD3279">
        <w:rPr>
          <w:noProof/>
          <w:sz w:val="26"/>
          <w:szCs w:val="28"/>
          <w:rtl/>
        </w:rPr>
        <w:t xml:space="preserve"> </w:t>
      </w:r>
      <w:r w:rsidRPr="00FD3279">
        <w:rPr>
          <w:noProof/>
          <w:sz w:val="26"/>
          <w:szCs w:val="28"/>
        </w:rPr>
        <w:t>92</w:t>
      </w:r>
      <w:r w:rsidRPr="00FD3279">
        <w:rPr>
          <w:noProof/>
          <w:sz w:val="26"/>
          <w:szCs w:val="28"/>
          <w:rtl/>
        </w:rPr>
        <w:t xml:space="preserve">، </w:t>
      </w:r>
      <w:r w:rsidRPr="00FD3279">
        <w:rPr>
          <w:noProof/>
          <w:sz w:val="26"/>
          <w:szCs w:val="28"/>
        </w:rPr>
        <w:t>107</w:t>
      </w:r>
    </w:p>
    <w:p w:rsidR="0064415C" w:rsidRPr="00FD3279" w:rsidRDefault="0064415C" w:rsidP="0064415C">
      <w:pPr>
        <w:tabs>
          <w:tab w:val="right" w:pos="6804"/>
        </w:tabs>
        <w:ind w:firstLine="0"/>
        <w:rPr>
          <w:noProof/>
          <w:sz w:val="26"/>
          <w:szCs w:val="28"/>
        </w:rPr>
      </w:pPr>
      <w:r w:rsidRPr="00FD3279">
        <w:rPr>
          <w:noProof/>
          <w:sz w:val="26"/>
          <w:szCs w:val="28"/>
          <w:rtl/>
        </w:rPr>
        <w:t xml:space="preserve"> (آل عمران /</w:t>
      </w:r>
      <w:r>
        <w:rPr>
          <w:noProof/>
          <w:sz w:val="26"/>
          <w:szCs w:val="28"/>
          <w:rtl/>
        </w:rPr>
        <w:t xml:space="preserve"> 175</w:t>
      </w:r>
      <w:r w:rsidRPr="00FD3279">
        <w:rPr>
          <w:noProof/>
          <w:sz w:val="26"/>
          <w:szCs w:val="28"/>
          <w:rtl/>
        </w:rPr>
        <w:t xml:space="preserve">) </w:t>
      </w:r>
      <w:r w:rsidRPr="00FD3279">
        <w:rPr>
          <w:rFonts w:ascii="Mosawi" w:hAnsi="Mosawi"/>
          <w:noProof/>
          <w:sz w:val="24"/>
          <w:szCs w:val="28"/>
          <w:rtl/>
        </w:rPr>
        <w:t>إِنَّمَا</w:t>
      </w:r>
      <w:r w:rsidRPr="00FD3279">
        <w:rPr>
          <w:noProof/>
          <w:sz w:val="26"/>
          <w:szCs w:val="28"/>
          <w:rtl/>
        </w:rPr>
        <w:t xml:space="preserve"> </w:t>
      </w:r>
      <w:r w:rsidRPr="00FD3279">
        <w:rPr>
          <w:rFonts w:ascii="Mosawi" w:hAnsi="Mosawi"/>
          <w:noProof/>
          <w:sz w:val="24"/>
          <w:szCs w:val="28"/>
          <w:rtl/>
        </w:rPr>
        <w:t>ذَلِكُمْ</w:t>
      </w:r>
      <w:r w:rsidRPr="00FD3279">
        <w:rPr>
          <w:noProof/>
          <w:sz w:val="26"/>
          <w:szCs w:val="28"/>
          <w:rtl/>
        </w:rPr>
        <w:t xml:space="preserve"> </w:t>
      </w:r>
      <w:r w:rsidRPr="00FD3279">
        <w:rPr>
          <w:rFonts w:ascii="Mosawi" w:hAnsi="Mosawi"/>
          <w:noProof/>
          <w:sz w:val="24"/>
          <w:szCs w:val="28"/>
          <w:rtl/>
        </w:rPr>
        <w:t>الشَّيْطَانُ</w:t>
      </w:r>
      <w:r w:rsidRPr="00FD3279">
        <w:rPr>
          <w:noProof/>
          <w:sz w:val="26"/>
          <w:szCs w:val="28"/>
          <w:rtl/>
        </w:rPr>
        <w:t xml:space="preserve"> </w:t>
      </w:r>
      <w:r w:rsidRPr="00FD3279">
        <w:rPr>
          <w:rFonts w:ascii="Mosawi" w:hAnsi="Mosawi"/>
          <w:noProof/>
          <w:sz w:val="24"/>
          <w:szCs w:val="28"/>
          <w:rtl/>
        </w:rPr>
        <w:t>يُخَوِّفُ</w:t>
      </w:r>
      <w:r w:rsidRPr="00FD3279">
        <w:rPr>
          <w:noProof/>
          <w:sz w:val="26"/>
          <w:szCs w:val="28"/>
          <w:rtl/>
        </w:rPr>
        <w:t xml:space="preserve"> </w:t>
      </w:r>
      <w:r w:rsidRPr="00FD3279">
        <w:rPr>
          <w:rFonts w:ascii="Mosawi" w:hAnsi="Mosawi"/>
          <w:noProof/>
          <w:sz w:val="24"/>
          <w:szCs w:val="28"/>
          <w:rtl/>
        </w:rPr>
        <w:t>أَوْلِيَاءَهُ</w:t>
      </w:r>
      <w:r>
        <w:rPr>
          <w:rFonts w:ascii="Mosawi" w:hAnsi="Mosawi"/>
          <w:noProof/>
          <w:sz w:val="24"/>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(النساء /</w:t>
      </w:r>
      <w:r>
        <w:rPr>
          <w:noProof/>
          <w:sz w:val="26"/>
          <w:szCs w:val="28"/>
          <w:rtl/>
        </w:rPr>
        <w:t xml:space="preserve"> 33</w:t>
      </w:r>
      <w:r w:rsidRPr="00FD3279">
        <w:rPr>
          <w:noProof/>
          <w:sz w:val="26"/>
          <w:szCs w:val="28"/>
          <w:rtl/>
        </w:rPr>
        <w:t xml:space="preserve">) </w:t>
      </w:r>
      <w:r w:rsidRPr="00FD3279">
        <w:rPr>
          <w:rFonts w:ascii="Mosawi" w:hAnsi="Mosawi"/>
          <w:noProof/>
          <w:sz w:val="24"/>
          <w:szCs w:val="28"/>
          <w:rtl/>
        </w:rPr>
        <w:t>وَلِكُلٍّ</w:t>
      </w:r>
      <w:r w:rsidRPr="00FD3279">
        <w:rPr>
          <w:noProof/>
          <w:sz w:val="26"/>
          <w:szCs w:val="28"/>
          <w:rtl/>
        </w:rPr>
        <w:t xml:space="preserve"> </w:t>
      </w:r>
      <w:r w:rsidRPr="00FD3279">
        <w:rPr>
          <w:rFonts w:ascii="Mosawi" w:hAnsi="Mosawi"/>
          <w:noProof/>
          <w:sz w:val="24"/>
          <w:szCs w:val="28"/>
          <w:rtl/>
        </w:rPr>
        <w:t>جَعَلْنَا</w:t>
      </w:r>
      <w:r w:rsidRPr="00FD3279">
        <w:rPr>
          <w:noProof/>
          <w:sz w:val="26"/>
          <w:szCs w:val="28"/>
          <w:rtl/>
        </w:rPr>
        <w:t xml:space="preserve"> </w:t>
      </w:r>
      <w:r w:rsidRPr="00FD3279">
        <w:rPr>
          <w:rFonts w:ascii="Mosawi" w:hAnsi="Mosawi"/>
          <w:noProof/>
          <w:sz w:val="24"/>
          <w:szCs w:val="28"/>
          <w:rtl/>
        </w:rPr>
        <w:t>مَوَالِيَ</w:t>
      </w:r>
      <w:r w:rsidRPr="00FD3279">
        <w:rPr>
          <w:noProof/>
          <w:sz w:val="26"/>
          <w:szCs w:val="28"/>
          <w:rtl/>
        </w:rPr>
        <w:t xml:space="preserve"> </w:t>
      </w:r>
      <w:r w:rsidRPr="00FD3279">
        <w:rPr>
          <w:rFonts w:ascii="Mosawi" w:hAnsi="Mosawi"/>
          <w:noProof/>
          <w:sz w:val="24"/>
          <w:szCs w:val="28"/>
          <w:rtl/>
        </w:rPr>
        <w:t>مِمَّا</w:t>
      </w:r>
      <w:r w:rsidRPr="00FD3279">
        <w:rPr>
          <w:noProof/>
          <w:sz w:val="26"/>
          <w:szCs w:val="28"/>
          <w:rtl/>
        </w:rPr>
        <w:t xml:space="preserve"> </w:t>
      </w:r>
      <w:r w:rsidRPr="00FD3279">
        <w:rPr>
          <w:rFonts w:ascii="Mosawi" w:hAnsi="Mosawi"/>
          <w:noProof/>
          <w:sz w:val="24"/>
          <w:szCs w:val="28"/>
          <w:rtl/>
        </w:rPr>
        <w:t>تَرَكَ</w:t>
      </w:r>
      <w:r w:rsidRPr="00FD3279">
        <w:rPr>
          <w:noProof/>
          <w:sz w:val="26"/>
          <w:szCs w:val="28"/>
          <w:rtl/>
        </w:rPr>
        <w:t xml:space="preserve"> </w:t>
      </w:r>
      <w:r w:rsidRPr="00FD3279">
        <w:rPr>
          <w:rFonts w:ascii="Mosawi" w:hAnsi="Mosawi"/>
          <w:noProof/>
          <w:sz w:val="24"/>
          <w:szCs w:val="28"/>
          <w:rtl/>
        </w:rPr>
        <w:t>الْوَالِدَانِ</w:t>
      </w:r>
      <w:r w:rsidRPr="00FD3279">
        <w:rPr>
          <w:noProof/>
          <w:sz w:val="26"/>
          <w:szCs w:val="28"/>
          <w:rtl/>
        </w:rPr>
        <w:t xml:space="preserve"> </w:t>
      </w:r>
      <w:r w:rsidRPr="00FD3279">
        <w:rPr>
          <w:rFonts w:ascii="Mosawi" w:hAnsi="Mosawi"/>
          <w:noProof/>
          <w:sz w:val="24"/>
          <w:szCs w:val="28"/>
          <w:rtl/>
        </w:rPr>
        <w:t>وَالأَقْرَبُونَ</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98</w:t>
      </w:r>
    </w:p>
    <w:p w:rsidR="0064415C" w:rsidRPr="00FD3279" w:rsidRDefault="0064415C" w:rsidP="0064415C">
      <w:pPr>
        <w:tabs>
          <w:tab w:val="right" w:pos="6804"/>
        </w:tabs>
        <w:ind w:firstLine="0"/>
        <w:rPr>
          <w:noProof/>
          <w:sz w:val="26"/>
          <w:szCs w:val="28"/>
        </w:rPr>
      </w:pPr>
      <w:r w:rsidRPr="00FD3279">
        <w:rPr>
          <w:noProof/>
          <w:sz w:val="26"/>
          <w:szCs w:val="28"/>
          <w:rtl/>
        </w:rPr>
        <w:t>(النساء /</w:t>
      </w:r>
      <w:r>
        <w:rPr>
          <w:noProof/>
          <w:sz w:val="26"/>
          <w:szCs w:val="28"/>
          <w:rtl/>
        </w:rPr>
        <w:t>45</w:t>
      </w:r>
      <w:r w:rsidRPr="00FD3279">
        <w:rPr>
          <w:noProof/>
          <w:sz w:val="26"/>
          <w:szCs w:val="28"/>
          <w:rtl/>
        </w:rPr>
        <w:t>) وَكَفَى بِاللهِ وَلِيّاً وَكَفَى بِاللهِ نَصِيراً</w:t>
      </w:r>
      <w:r>
        <w:rPr>
          <w:noProof/>
          <w:sz w:val="26"/>
          <w:szCs w:val="28"/>
          <w:rtl/>
        </w:rPr>
        <w:tab/>
      </w:r>
      <w:r w:rsidRPr="00FD3279">
        <w:rPr>
          <w:noProof/>
          <w:sz w:val="26"/>
          <w:szCs w:val="28"/>
          <w:rtl/>
        </w:rPr>
        <w:t xml:space="preserve"> </w:t>
      </w:r>
      <w:r w:rsidRPr="00FD3279">
        <w:rPr>
          <w:noProof/>
          <w:sz w:val="26"/>
          <w:szCs w:val="28"/>
        </w:rPr>
        <w:t>90</w:t>
      </w:r>
    </w:p>
    <w:p w:rsidR="0064415C" w:rsidRPr="00FD3279" w:rsidRDefault="0064415C" w:rsidP="0064415C">
      <w:pPr>
        <w:tabs>
          <w:tab w:val="right" w:pos="6804"/>
        </w:tabs>
        <w:ind w:firstLine="0"/>
        <w:rPr>
          <w:noProof/>
          <w:sz w:val="26"/>
          <w:szCs w:val="28"/>
        </w:rPr>
      </w:pPr>
      <w:r w:rsidRPr="00FD3279">
        <w:rPr>
          <w:noProof/>
          <w:sz w:val="26"/>
          <w:szCs w:val="28"/>
          <w:rtl/>
        </w:rPr>
        <w:t>(النساء /</w:t>
      </w:r>
      <w:r>
        <w:rPr>
          <w:noProof/>
          <w:sz w:val="26"/>
          <w:szCs w:val="28"/>
          <w:rtl/>
        </w:rPr>
        <w:t xml:space="preserve"> 58 - 60</w:t>
      </w:r>
      <w:r w:rsidRPr="00FD3279">
        <w:rPr>
          <w:noProof/>
          <w:sz w:val="26"/>
          <w:szCs w:val="28"/>
          <w:rtl/>
        </w:rPr>
        <w:t xml:space="preserve">) </w:t>
      </w:r>
      <w:r w:rsidRPr="00FD3279">
        <w:rPr>
          <w:rFonts w:ascii="Mosawi" w:hAnsi="Mosawi"/>
          <w:noProof/>
          <w:sz w:val="24"/>
          <w:szCs w:val="28"/>
          <w:rtl/>
        </w:rPr>
        <w:t>إِنَّ</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يَأْمُرُكُمْ</w:t>
      </w:r>
      <w:r w:rsidRPr="00FD3279">
        <w:rPr>
          <w:noProof/>
          <w:sz w:val="26"/>
          <w:szCs w:val="28"/>
          <w:rtl/>
        </w:rPr>
        <w:t xml:space="preserve"> </w:t>
      </w:r>
      <w:r w:rsidRPr="00FD3279">
        <w:rPr>
          <w:rFonts w:ascii="Mosawi" w:hAnsi="Mosawi"/>
          <w:noProof/>
          <w:sz w:val="24"/>
          <w:szCs w:val="28"/>
          <w:rtl/>
        </w:rPr>
        <w:t>أَنْ</w:t>
      </w:r>
      <w:r w:rsidRPr="00FD3279">
        <w:rPr>
          <w:noProof/>
          <w:sz w:val="26"/>
          <w:szCs w:val="28"/>
          <w:rtl/>
        </w:rPr>
        <w:t xml:space="preserve"> </w:t>
      </w:r>
      <w:r w:rsidRPr="00FD3279">
        <w:rPr>
          <w:rFonts w:ascii="Mosawi" w:hAnsi="Mosawi"/>
          <w:noProof/>
          <w:sz w:val="24"/>
          <w:szCs w:val="28"/>
          <w:rtl/>
        </w:rPr>
        <w:t>تُؤَدُّوا</w:t>
      </w:r>
      <w:r w:rsidRPr="00FD3279">
        <w:rPr>
          <w:noProof/>
          <w:sz w:val="26"/>
          <w:szCs w:val="28"/>
          <w:rtl/>
        </w:rPr>
        <w:t xml:space="preserve"> </w:t>
      </w:r>
      <w:r w:rsidRPr="00FD3279">
        <w:rPr>
          <w:rFonts w:ascii="Mosawi" w:hAnsi="Mosawi"/>
          <w:noProof/>
          <w:sz w:val="24"/>
          <w:szCs w:val="28"/>
          <w:rtl/>
        </w:rPr>
        <w:t>الأَمَانَاتِ</w:t>
      </w:r>
      <w:r w:rsidRPr="00FD3279">
        <w:rPr>
          <w:noProof/>
          <w:sz w:val="26"/>
          <w:szCs w:val="28"/>
          <w:rtl/>
        </w:rPr>
        <w:t xml:space="preserve"> </w:t>
      </w:r>
      <w:r w:rsidRPr="00FD3279">
        <w:rPr>
          <w:rFonts w:ascii="Mosawi" w:hAnsi="Mosawi"/>
          <w:noProof/>
          <w:sz w:val="24"/>
          <w:szCs w:val="28"/>
          <w:rtl/>
        </w:rPr>
        <w:t>إِلَى</w:t>
      </w:r>
      <w:r w:rsidRPr="00FD3279">
        <w:rPr>
          <w:noProof/>
          <w:sz w:val="26"/>
          <w:szCs w:val="28"/>
          <w:rtl/>
        </w:rPr>
        <w:t xml:space="preserve"> </w:t>
      </w:r>
      <w:r w:rsidRPr="00FD3279">
        <w:rPr>
          <w:rFonts w:ascii="Mosawi" w:hAnsi="Mosawi"/>
          <w:noProof/>
          <w:sz w:val="24"/>
          <w:szCs w:val="28"/>
          <w:rtl/>
        </w:rPr>
        <w:t>أَهْلِهَا</w:t>
      </w:r>
      <w:r w:rsidRPr="00FD3279">
        <w:rPr>
          <w:noProof/>
          <w:sz w:val="26"/>
          <w:szCs w:val="28"/>
          <w:rtl/>
        </w:rPr>
        <w:t xml:space="preserve"> </w:t>
      </w:r>
      <w:r w:rsidRPr="00FD3279">
        <w:rPr>
          <w:rFonts w:ascii="Mosawi" w:hAnsi="Mosawi"/>
          <w:noProof/>
          <w:sz w:val="24"/>
          <w:szCs w:val="28"/>
          <w:rtl/>
        </w:rPr>
        <w:t>وَإِذَا</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397</w:t>
      </w:r>
    </w:p>
    <w:p w:rsidR="0064415C" w:rsidRDefault="0064415C" w:rsidP="0064415C">
      <w:pPr>
        <w:tabs>
          <w:tab w:val="right" w:pos="6804"/>
        </w:tabs>
        <w:ind w:firstLine="0"/>
        <w:rPr>
          <w:rFonts w:ascii="Mosawi" w:hAnsi="Mosawi"/>
          <w:noProof/>
          <w:sz w:val="24"/>
          <w:szCs w:val="28"/>
          <w:rtl/>
        </w:rPr>
      </w:pPr>
      <w:r w:rsidRPr="00FD3279">
        <w:rPr>
          <w:noProof/>
          <w:sz w:val="26"/>
          <w:szCs w:val="28"/>
          <w:rtl/>
        </w:rPr>
        <w:t xml:space="preserve"> (النساء /</w:t>
      </w:r>
      <w:r>
        <w:rPr>
          <w:rFonts w:hint="cs"/>
          <w:noProof/>
          <w:sz w:val="26"/>
          <w:szCs w:val="28"/>
          <w:rtl/>
        </w:rPr>
        <w:t xml:space="preserve"> 59</w:t>
      </w:r>
      <w:r w:rsidRPr="00FD3279">
        <w:rPr>
          <w:noProof/>
          <w:sz w:val="26"/>
          <w:szCs w:val="28"/>
          <w:rtl/>
        </w:rPr>
        <w:t xml:space="preserve">) </w:t>
      </w:r>
      <w:r w:rsidRPr="00FD3279">
        <w:rPr>
          <w:rFonts w:ascii="Mosawi" w:hAnsi="Mosawi"/>
          <w:noProof/>
          <w:sz w:val="24"/>
          <w:szCs w:val="28"/>
          <w:rtl/>
        </w:rPr>
        <w:t>يَا</w:t>
      </w:r>
      <w:r w:rsidRPr="00FD3279">
        <w:rPr>
          <w:noProof/>
          <w:sz w:val="26"/>
          <w:szCs w:val="28"/>
          <w:rtl/>
        </w:rPr>
        <w:t xml:space="preserve"> </w:t>
      </w:r>
      <w:r w:rsidRPr="00FD3279">
        <w:rPr>
          <w:rFonts w:ascii="Mosawi" w:hAnsi="Mosawi"/>
          <w:noProof/>
          <w:sz w:val="24"/>
          <w:szCs w:val="28"/>
          <w:rtl/>
        </w:rPr>
        <w:t>أَيُّهَا</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آمَنُوا</w:t>
      </w:r>
      <w:r w:rsidRPr="00FD3279">
        <w:rPr>
          <w:noProof/>
          <w:sz w:val="26"/>
          <w:szCs w:val="28"/>
          <w:rtl/>
        </w:rPr>
        <w:t xml:space="preserve"> </w:t>
      </w:r>
      <w:r w:rsidRPr="00FD3279">
        <w:rPr>
          <w:rFonts w:ascii="Mosawi" w:hAnsi="Mosawi"/>
          <w:noProof/>
          <w:sz w:val="24"/>
          <w:szCs w:val="28"/>
          <w:rtl/>
        </w:rPr>
        <w:t>أَطِيعُوا</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وَأَطِيعُوا</w:t>
      </w:r>
      <w:r w:rsidRPr="00FD3279">
        <w:rPr>
          <w:noProof/>
          <w:sz w:val="26"/>
          <w:szCs w:val="28"/>
          <w:rtl/>
        </w:rPr>
        <w:t xml:space="preserve"> </w:t>
      </w:r>
      <w:r w:rsidRPr="00FD3279">
        <w:rPr>
          <w:rFonts w:ascii="Mosawi" w:hAnsi="Mosawi"/>
          <w:noProof/>
          <w:sz w:val="24"/>
          <w:szCs w:val="28"/>
          <w:rtl/>
        </w:rPr>
        <w:t>الرَّسُولَ</w:t>
      </w:r>
      <w:r w:rsidRPr="00FD3279">
        <w:rPr>
          <w:noProof/>
          <w:sz w:val="26"/>
          <w:szCs w:val="28"/>
          <w:rtl/>
        </w:rPr>
        <w:t xml:space="preserve"> </w:t>
      </w:r>
      <w:r w:rsidRPr="00FD3279">
        <w:rPr>
          <w:rFonts w:ascii="Mosawi" w:hAnsi="Mosawi"/>
          <w:noProof/>
          <w:sz w:val="24"/>
          <w:szCs w:val="28"/>
          <w:rtl/>
        </w:rPr>
        <w:t>وَأُوْلِي</w:t>
      </w:r>
      <w:r w:rsidRPr="00FD3279">
        <w:rPr>
          <w:noProof/>
          <w:sz w:val="26"/>
          <w:szCs w:val="28"/>
          <w:rtl/>
        </w:rPr>
        <w:t xml:space="preserve"> </w:t>
      </w:r>
      <w:r w:rsidRPr="00FD3279">
        <w:rPr>
          <w:rFonts w:ascii="Mosawi" w:hAnsi="Mosawi"/>
          <w:noProof/>
          <w:sz w:val="24"/>
          <w:szCs w:val="28"/>
          <w:rtl/>
        </w:rPr>
        <w:t>الأَمْرِ</w:t>
      </w:r>
      <w:r w:rsidRPr="00FD3279">
        <w:rPr>
          <w:noProof/>
          <w:sz w:val="26"/>
          <w:szCs w:val="28"/>
          <w:rtl/>
        </w:rPr>
        <w:t xml:space="preserve"> </w:t>
      </w:r>
      <w:r w:rsidRPr="00FD3279">
        <w:rPr>
          <w:rFonts w:ascii="Mosawi" w:hAnsi="Mosawi"/>
          <w:noProof/>
          <w:sz w:val="24"/>
          <w:szCs w:val="28"/>
          <w:rtl/>
        </w:rPr>
        <w:t>مِنْكُمْ</w:t>
      </w:r>
    </w:p>
    <w:p w:rsidR="0064415C" w:rsidRPr="00FD3279" w:rsidRDefault="0064415C" w:rsidP="0064415C">
      <w:pPr>
        <w:tabs>
          <w:tab w:val="right" w:pos="6804"/>
        </w:tabs>
        <w:ind w:firstLine="0"/>
        <w:rPr>
          <w:noProof/>
          <w:sz w:val="26"/>
          <w:szCs w:val="28"/>
        </w:rPr>
      </w:pPr>
      <w:r>
        <w:rPr>
          <w:noProof/>
          <w:sz w:val="26"/>
          <w:szCs w:val="28"/>
          <w:rtl/>
        </w:rPr>
        <w:tab/>
      </w:r>
      <w:r w:rsidRPr="00FD3279">
        <w:rPr>
          <w:noProof/>
          <w:sz w:val="26"/>
          <w:szCs w:val="28"/>
          <w:rtl/>
        </w:rPr>
        <w:t xml:space="preserve"> </w:t>
      </w:r>
      <w:r w:rsidRPr="00FD3279">
        <w:rPr>
          <w:noProof/>
          <w:sz w:val="26"/>
          <w:szCs w:val="28"/>
        </w:rPr>
        <w:t>93</w:t>
      </w:r>
      <w:r w:rsidRPr="00FD3279">
        <w:rPr>
          <w:noProof/>
          <w:sz w:val="26"/>
          <w:szCs w:val="28"/>
          <w:rtl/>
        </w:rPr>
        <w:t xml:space="preserve">، </w:t>
      </w:r>
      <w:r w:rsidRPr="00FD3279">
        <w:rPr>
          <w:noProof/>
          <w:sz w:val="26"/>
          <w:szCs w:val="28"/>
        </w:rPr>
        <w:t>96</w:t>
      </w:r>
      <w:r w:rsidRPr="00FD3279">
        <w:rPr>
          <w:noProof/>
          <w:sz w:val="26"/>
          <w:szCs w:val="28"/>
          <w:rtl/>
        </w:rPr>
        <w:t xml:space="preserve">، </w:t>
      </w:r>
      <w:r w:rsidRPr="00FD3279">
        <w:rPr>
          <w:noProof/>
          <w:sz w:val="26"/>
          <w:szCs w:val="28"/>
        </w:rPr>
        <w:t>401</w:t>
      </w:r>
    </w:p>
    <w:p w:rsidR="0064415C" w:rsidRPr="00D0309B" w:rsidRDefault="0064415C" w:rsidP="0064415C">
      <w:pPr>
        <w:tabs>
          <w:tab w:val="right" w:pos="6804"/>
        </w:tabs>
        <w:ind w:firstLine="0"/>
        <w:rPr>
          <w:noProof/>
          <w:sz w:val="26"/>
          <w:szCs w:val="26"/>
        </w:rPr>
      </w:pPr>
      <w:r w:rsidRPr="00D0309B">
        <w:rPr>
          <w:noProof/>
          <w:sz w:val="26"/>
          <w:szCs w:val="26"/>
          <w:rtl/>
        </w:rPr>
        <w:t xml:space="preserve"> (النساء /</w:t>
      </w:r>
      <w:r w:rsidRPr="00D0309B">
        <w:rPr>
          <w:rFonts w:hint="cs"/>
          <w:noProof/>
          <w:sz w:val="26"/>
          <w:szCs w:val="26"/>
          <w:rtl/>
        </w:rPr>
        <w:t xml:space="preserve"> 60</w:t>
      </w:r>
      <w:r w:rsidRPr="00D0309B">
        <w:rPr>
          <w:noProof/>
          <w:sz w:val="26"/>
          <w:szCs w:val="26"/>
          <w:rtl/>
        </w:rPr>
        <w:t xml:space="preserve">) </w:t>
      </w:r>
      <w:r w:rsidRPr="00D0309B">
        <w:rPr>
          <w:rFonts w:ascii="Mosawi" w:hAnsi="Mosawi"/>
          <w:noProof/>
          <w:sz w:val="26"/>
          <w:szCs w:val="26"/>
          <w:rtl/>
        </w:rPr>
        <w:t>يُرِيدُونَ</w:t>
      </w:r>
      <w:r w:rsidRPr="00D0309B">
        <w:rPr>
          <w:noProof/>
          <w:sz w:val="26"/>
          <w:szCs w:val="26"/>
          <w:rtl/>
        </w:rPr>
        <w:t xml:space="preserve"> </w:t>
      </w:r>
      <w:r w:rsidRPr="00D0309B">
        <w:rPr>
          <w:rFonts w:ascii="Mosawi" w:hAnsi="Mosawi"/>
          <w:noProof/>
          <w:sz w:val="26"/>
          <w:szCs w:val="26"/>
          <w:rtl/>
        </w:rPr>
        <w:t>أَنْ</w:t>
      </w:r>
      <w:r w:rsidRPr="00D0309B">
        <w:rPr>
          <w:noProof/>
          <w:sz w:val="26"/>
          <w:szCs w:val="26"/>
          <w:rtl/>
        </w:rPr>
        <w:t xml:space="preserve"> </w:t>
      </w:r>
      <w:r w:rsidRPr="00D0309B">
        <w:rPr>
          <w:rFonts w:ascii="Mosawi" w:hAnsi="Mosawi"/>
          <w:noProof/>
          <w:sz w:val="26"/>
          <w:szCs w:val="26"/>
          <w:rtl/>
        </w:rPr>
        <w:t>يَتَحَاكَمُوا</w:t>
      </w:r>
      <w:r w:rsidRPr="00D0309B">
        <w:rPr>
          <w:noProof/>
          <w:sz w:val="26"/>
          <w:szCs w:val="26"/>
          <w:rtl/>
        </w:rPr>
        <w:t xml:space="preserve"> </w:t>
      </w:r>
      <w:r w:rsidRPr="00D0309B">
        <w:rPr>
          <w:rFonts w:ascii="Mosawi" w:hAnsi="Mosawi"/>
          <w:noProof/>
          <w:sz w:val="26"/>
          <w:szCs w:val="26"/>
          <w:rtl/>
        </w:rPr>
        <w:t>إِلَى</w:t>
      </w:r>
      <w:r w:rsidRPr="00D0309B">
        <w:rPr>
          <w:noProof/>
          <w:sz w:val="26"/>
          <w:szCs w:val="26"/>
          <w:rtl/>
        </w:rPr>
        <w:t xml:space="preserve"> </w:t>
      </w:r>
      <w:r w:rsidRPr="00D0309B">
        <w:rPr>
          <w:rFonts w:ascii="Mosawi" w:hAnsi="Mosawi"/>
          <w:noProof/>
          <w:sz w:val="26"/>
          <w:szCs w:val="26"/>
          <w:rtl/>
        </w:rPr>
        <w:t>الطَّاغُوتِ</w:t>
      </w:r>
      <w:r w:rsidRPr="00D0309B">
        <w:rPr>
          <w:noProof/>
          <w:sz w:val="26"/>
          <w:szCs w:val="26"/>
          <w:rtl/>
        </w:rPr>
        <w:t xml:space="preserve"> </w:t>
      </w:r>
      <w:r w:rsidRPr="00D0309B">
        <w:rPr>
          <w:rFonts w:ascii="Mosawi" w:hAnsi="Mosawi"/>
          <w:noProof/>
          <w:sz w:val="26"/>
          <w:szCs w:val="26"/>
          <w:rtl/>
        </w:rPr>
        <w:t>وَقَدْ</w:t>
      </w:r>
      <w:r w:rsidRPr="00D0309B">
        <w:rPr>
          <w:noProof/>
          <w:sz w:val="26"/>
          <w:szCs w:val="26"/>
          <w:rtl/>
        </w:rPr>
        <w:t xml:space="preserve"> </w:t>
      </w:r>
      <w:r w:rsidRPr="00D0309B">
        <w:rPr>
          <w:rFonts w:ascii="Mosawi" w:hAnsi="Mosawi"/>
          <w:noProof/>
          <w:sz w:val="26"/>
          <w:szCs w:val="26"/>
          <w:rtl/>
        </w:rPr>
        <w:t>أُمِرُوا</w:t>
      </w:r>
      <w:r w:rsidRPr="00D0309B">
        <w:rPr>
          <w:noProof/>
          <w:sz w:val="26"/>
          <w:szCs w:val="26"/>
          <w:rtl/>
        </w:rPr>
        <w:t xml:space="preserve"> </w:t>
      </w:r>
      <w:r w:rsidRPr="00D0309B">
        <w:rPr>
          <w:rFonts w:ascii="Mosawi" w:hAnsi="Mosawi"/>
          <w:noProof/>
          <w:sz w:val="26"/>
          <w:szCs w:val="26"/>
          <w:rtl/>
        </w:rPr>
        <w:t>أَنْ</w:t>
      </w:r>
      <w:r w:rsidRPr="00D0309B">
        <w:rPr>
          <w:noProof/>
          <w:sz w:val="26"/>
          <w:szCs w:val="26"/>
          <w:rtl/>
        </w:rPr>
        <w:t xml:space="preserve"> </w:t>
      </w:r>
      <w:r w:rsidRPr="00D0309B">
        <w:rPr>
          <w:rFonts w:ascii="Mosawi" w:hAnsi="Mosawi"/>
          <w:noProof/>
          <w:sz w:val="26"/>
          <w:szCs w:val="26"/>
          <w:rtl/>
        </w:rPr>
        <w:t>يَكْفُرُوا</w:t>
      </w:r>
      <w:r w:rsidRPr="00D0309B">
        <w:rPr>
          <w:noProof/>
          <w:sz w:val="26"/>
          <w:szCs w:val="26"/>
          <w:rtl/>
        </w:rPr>
        <w:t xml:space="preserve"> </w:t>
      </w:r>
      <w:r w:rsidRPr="00D0309B">
        <w:rPr>
          <w:rFonts w:ascii="Mosawi" w:hAnsi="Mosawi"/>
          <w:noProof/>
          <w:sz w:val="26"/>
          <w:szCs w:val="26"/>
          <w:rtl/>
        </w:rPr>
        <w:t>بِهِ</w:t>
      </w:r>
      <w:r w:rsidRPr="00D0309B">
        <w:rPr>
          <w:rFonts w:ascii="Mosawi" w:hAnsi="Mosawi" w:hint="cs"/>
          <w:noProof/>
          <w:sz w:val="26"/>
          <w:szCs w:val="26"/>
          <w:rtl/>
        </w:rPr>
        <w:t xml:space="preserve"> </w:t>
      </w:r>
      <w:r w:rsidRPr="00D0309B">
        <w:rPr>
          <w:noProof/>
          <w:sz w:val="26"/>
          <w:szCs w:val="26"/>
          <w:rtl/>
        </w:rPr>
        <w:tab/>
        <w:t xml:space="preserve"> </w:t>
      </w:r>
      <w:r w:rsidRPr="00D0309B">
        <w:rPr>
          <w:noProof/>
          <w:sz w:val="26"/>
          <w:szCs w:val="26"/>
        </w:rPr>
        <w:t>344</w:t>
      </w:r>
      <w:r w:rsidRPr="00D0309B">
        <w:rPr>
          <w:noProof/>
          <w:sz w:val="26"/>
          <w:szCs w:val="26"/>
          <w:rtl/>
        </w:rPr>
        <w:t xml:space="preserve">، </w:t>
      </w:r>
      <w:r w:rsidRPr="00D0309B">
        <w:rPr>
          <w:noProof/>
          <w:sz w:val="26"/>
          <w:szCs w:val="26"/>
        </w:rPr>
        <w:t>351</w:t>
      </w:r>
    </w:p>
    <w:p w:rsidR="0064415C" w:rsidRPr="00FD3279" w:rsidRDefault="0064415C" w:rsidP="0064415C">
      <w:pPr>
        <w:tabs>
          <w:tab w:val="right" w:pos="6804"/>
        </w:tabs>
        <w:ind w:firstLine="0"/>
        <w:rPr>
          <w:noProof/>
          <w:sz w:val="26"/>
          <w:szCs w:val="28"/>
        </w:rPr>
      </w:pPr>
      <w:r w:rsidRPr="00FD3279">
        <w:rPr>
          <w:noProof/>
          <w:sz w:val="26"/>
          <w:szCs w:val="28"/>
          <w:rtl/>
        </w:rPr>
        <w:t xml:space="preserve"> (النساء /</w:t>
      </w:r>
      <w:r>
        <w:rPr>
          <w:rFonts w:hint="cs"/>
          <w:noProof/>
          <w:sz w:val="26"/>
          <w:szCs w:val="28"/>
          <w:rtl/>
        </w:rPr>
        <w:t xml:space="preserve"> 65</w:t>
      </w:r>
      <w:r w:rsidRPr="00FD3279">
        <w:rPr>
          <w:noProof/>
          <w:sz w:val="26"/>
          <w:szCs w:val="28"/>
          <w:rtl/>
        </w:rPr>
        <w:t>) فَلاَ وَرَبِّكَ لاَ يُؤْمِنُونَ حَتَّى يُحَكِّمُوكَ فِيمَا شَجَرَ بَيْنَهُمْ</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93</w:t>
      </w:r>
      <w:r w:rsidRPr="00FD3279">
        <w:rPr>
          <w:noProof/>
          <w:sz w:val="26"/>
          <w:szCs w:val="28"/>
          <w:rtl/>
        </w:rPr>
        <w:t xml:space="preserve">، </w:t>
      </w:r>
      <w:r w:rsidRPr="00FD3279">
        <w:rPr>
          <w:noProof/>
          <w:sz w:val="26"/>
          <w:szCs w:val="28"/>
        </w:rPr>
        <w:t>406</w:t>
      </w:r>
      <w:r w:rsidRPr="00FD3279">
        <w:rPr>
          <w:noProof/>
          <w:sz w:val="26"/>
          <w:szCs w:val="28"/>
          <w:rtl/>
        </w:rPr>
        <w:t xml:space="preserve">، </w:t>
      </w:r>
      <w:r w:rsidRPr="00FD3279">
        <w:rPr>
          <w:noProof/>
          <w:sz w:val="26"/>
          <w:szCs w:val="28"/>
        </w:rPr>
        <w:t>407</w:t>
      </w:r>
    </w:p>
    <w:p w:rsidR="0064415C" w:rsidRPr="00FD3279" w:rsidRDefault="0064415C" w:rsidP="0064415C">
      <w:pPr>
        <w:tabs>
          <w:tab w:val="right" w:pos="6804"/>
        </w:tabs>
        <w:ind w:left="284" w:hanging="284"/>
        <w:rPr>
          <w:noProof/>
          <w:sz w:val="26"/>
          <w:szCs w:val="28"/>
        </w:rPr>
      </w:pPr>
      <w:r w:rsidRPr="00FD3279">
        <w:rPr>
          <w:noProof/>
          <w:sz w:val="26"/>
          <w:szCs w:val="28"/>
          <w:rtl/>
        </w:rPr>
        <w:t xml:space="preserve">(النساء / </w:t>
      </w:r>
      <w:r>
        <w:rPr>
          <w:rFonts w:hint="cs"/>
          <w:noProof/>
          <w:sz w:val="26"/>
          <w:szCs w:val="28"/>
          <w:rtl/>
        </w:rPr>
        <w:t>83</w:t>
      </w:r>
      <w:r w:rsidRPr="00FD3279">
        <w:rPr>
          <w:noProof/>
          <w:sz w:val="26"/>
          <w:szCs w:val="28"/>
          <w:rtl/>
        </w:rPr>
        <w:t xml:space="preserve">) </w:t>
      </w:r>
      <w:r w:rsidRPr="00FD3279">
        <w:rPr>
          <w:rFonts w:ascii="Mosawi" w:hAnsi="Mosawi"/>
          <w:noProof/>
          <w:sz w:val="24"/>
          <w:szCs w:val="28"/>
          <w:rtl/>
        </w:rPr>
        <w:t>وَإِذَا</w:t>
      </w:r>
      <w:r w:rsidRPr="00FD3279">
        <w:rPr>
          <w:noProof/>
          <w:sz w:val="26"/>
          <w:szCs w:val="28"/>
          <w:rtl/>
        </w:rPr>
        <w:t xml:space="preserve"> </w:t>
      </w:r>
      <w:r w:rsidRPr="00FD3279">
        <w:rPr>
          <w:rFonts w:ascii="Mosawi" w:hAnsi="Mosawi"/>
          <w:noProof/>
          <w:sz w:val="24"/>
          <w:szCs w:val="28"/>
          <w:rtl/>
        </w:rPr>
        <w:t>جَاءَهُمْ</w:t>
      </w:r>
      <w:r w:rsidRPr="00FD3279">
        <w:rPr>
          <w:noProof/>
          <w:sz w:val="26"/>
          <w:szCs w:val="28"/>
          <w:rtl/>
        </w:rPr>
        <w:t xml:space="preserve"> </w:t>
      </w:r>
      <w:r w:rsidRPr="00FD3279">
        <w:rPr>
          <w:rFonts w:ascii="Mosawi" w:hAnsi="Mosawi"/>
          <w:noProof/>
          <w:sz w:val="24"/>
          <w:szCs w:val="28"/>
          <w:rtl/>
        </w:rPr>
        <w:t>أَمْر</w:t>
      </w:r>
      <w:r w:rsidRPr="00FD3279">
        <w:rPr>
          <w:noProof/>
          <w:sz w:val="26"/>
          <w:szCs w:val="28"/>
          <w:rtl/>
        </w:rPr>
        <w:t>ٌ مِنَ الأَمْنِ أَوْ الْخَوْفِ أَذَاعُوا بِهِ وَلَوْ رَدُّوهُ إِلَى الرَّسُولِ</w:t>
      </w:r>
      <w:r w:rsidRPr="00FD3279">
        <w:rPr>
          <w:noProof/>
          <w:sz w:val="26"/>
          <w:szCs w:val="28"/>
        </w:rPr>
        <w:t>...</w:t>
      </w:r>
      <w:r w:rsidRPr="00FD3279">
        <w:rPr>
          <w:noProof/>
          <w:sz w:val="26"/>
          <w:szCs w:val="28"/>
          <w:rtl/>
        </w:rPr>
        <w:t xml:space="preserve"> </w:t>
      </w:r>
      <w:r>
        <w:rPr>
          <w:noProof/>
          <w:sz w:val="26"/>
          <w:szCs w:val="28"/>
          <w:rtl/>
          <w:lang w:bidi="fa-IR"/>
        </w:rPr>
        <w:tab/>
      </w:r>
      <w:r w:rsidRPr="00FD3279">
        <w:rPr>
          <w:noProof/>
          <w:sz w:val="26"/>
          <w:szCs w:val="28"/>
          <w:rtl/>
        </w:rPr>
        <w:t xml:space="preserve"> </w:t>
      </w:r>
      <w:r w:rsidRPr="00FD3279">
        <w:rPr>
          <w:noProof/>
          <w:sz w:val="26"/>
          <w:szCs w:val="28"/>
        </w:rPr>
        <w:t>97</w:t>
      </w:r>
      <w:r w:rsidRPr="00FD3279">
        <w:rPr>
          <w:noProof/>
          <w:sz w:val="26"/>
          <w:szCs w:val="28"/>
          <w:rtl/>
        </w:rPr>
        <w:t xml:space="preserve">، </w:t>
      </w:r>
      <w:r w:rsidRPr="00FD3279">
        <w:rPr>
          <w:noProof/>
          <w:sz w:val="26"/>
          <w:szCs w:val="28"/>
        </w:rPr>
        <w:t>398</w:t>
      </w:r>
      <w:r w:rsidRPr="00FD3279">
        <w:rPr>
          <w:noProof/>
          <w:sz w:val="26"/>
          <w:szCs w:val="28"/>
          <w:rtl/>
        </w:rPr>
        <w:t xml:space="preserve">، </w:t>
      </w:r>
      <w:r w:rsidRPr="00FD3279">
        <w:rPr>
          <w:noProof/>
          <w:sz w:val="26"/>
          <w:szCs w:val="28"/>
        </w:rPr>
        <w:t>401</w:t>
      </w:r>
      <w:r w:rsidRPr="00FD3279">
        <w:rPr>
          <w:noProof/>
          <w:sz w:val="26"/>
          <w:szCs w:val="28"/>
          <w:rtl/>
        </w:rPr>
        <w:t xml:space="preserve">، </w:t>
      </w:r>
      <w:r w:rsidRPr="00FD3279">
        <w:rPr>
          <w:noProof/>
          <w:sz w:val="26"/>
          <w:szCs w:val="28"/>
        </w:rPr>
        <w:t>402</w:t>
      </w:r>
    </w:p>
    <w:p w:rsidR="0064415C" w:rsidRPr="00FD3279" w:rsidRDefault="0064415C" w:rsidP="0064415C">
      <w:pPr>
        <w:tabs>
          <w:tab w:val="right" w:pos="6804"/>
        </w:tabs>
        <w:ind w:firstLine="0"/>
        <w:rPr>
          <w:noProof/>
          <w:sz w:val="26"/>
          <w:szCs w:val="28"/>
        </w:rPr>
      </w:pPr>
      <w:r w:rsidRPr="00FD3279">
        <w:rPr>
          <w:noProof/>
          <w:sz w:val="26"/>
          <w:szCs w:val="28"/>
          <w:rtl/>
        </w:rPr>
        <w:t xml:space="preserve"> (النساء /</w:t>
      </w:r>
      <w:r>
        <w:rPr>
          <w:rFonts w:hint="cs"/>
          <w:noProof/>
          <w:sz w:val="26"/>
          <w:szCs w:val="28"/>
          <w:rtl/>
        </w:rPr>
        <w:t xml:space="preserve"> 105</w:t>
      </w:r>
      <w:r w:rsidRPr="00FD3279">
        <w:rPr>
          <w:noProof/>
          <w:sz w:val="26"/>
          <w:szCs w:val="28"/>
          <w:rtl/>
        </w:rPr>
        <w:t xml:space="preserve">) </w:t>
      </w:r>
      <w:r w:rsidRPr="00FD3279">
        <w:rPr>
          <w:rFonts w:ascii="Mosawi" w:hAnsi="Mosawi"/>
          <w:noProof/>
          <w:sz w:val="24"/>
          <w:szCs w:val="28"/>
          <w:rtl/>
        </w:rPr>
        <w:t>إِنَّا</w:t>
      </w:r>
      <w:r w:rsidRPr="00FD3279">
        <w:rPr>
          <w:noProof/>
          <w:sz w:val="26"/>
          <w:szCs w:val="28"/>
          <w:rtl/>
        </w:rPr>
        <w:t xml:space="preserve"> </w:t>
      </w:r>
      <w:r w:rsidRPr="00FD3279">
        <w:rPr>
          <w:rFonts w:ascii="Mosawi" w:hAnsi="Mosawi"/>
          <w:noProof/>
          <w:sz w:val="24"/>
          <w:szCs w:val="28"/>
          <w:rtl/>
        </w:rPr>
        <w:t>أَنزَلْنَا</w:t>
      </w:r>
      <w:r w:rsidRPr="00FD3279">
        <w:rPr>
          <w:noProof/>
          <w:sz w:val="26"/>
          <w:szCs w:val="28"/>
          <w:rtl/>
        </w:rPr>
        <w:t xml:space="preserve"> </w:t>
      </w:r>
      <w:r w:rsidRPr="00FD3279">
        <w:rPr>
          <w:rFonts w:ascii="Mosawi" w:hAnsi="Mosawi"/>
          <w:noProof/>
          <w:sz w:val="24"/>
          <w:szCs w:val="28"/>
          <w:rtl/>
        </w:rPr>
        <w:t>إِلَيْكَ</w:t>
      </w:r>
      <w:r w:rsidRPr="00FD3279">
        <w:rPr>
          <w:noProof/>
          <w:sz w:val="26"/>
          <w:szCs w:val="28"/>
          <w:rtl/>
        </w:rPr>
        <w:t xml:space="preserve"> </w:t>
      </w:r>
      <w:r w:rsidRPr="00FD3279">
        <w:rPr>
          <w:rFonts w:ascii="Mosawi" w:hAnsi="Mosawi"/>
          <w:noProof/>
          <w:sz w:val="24"/>
          <w:szCs w:val="28"/>
          <w:rtl/>
        </w:rPr>
        <w:t>الْكِتَابَ</w:t>
      </w:r>
      <w:r w:rsidRPr="00FD3279">
        <w:rPr>
          <w:noProof/>
          <w:sz w:val="26"/>
          <w:szCs w:val="28"/>
          <w:rtl/>
        </w:rPr>
        <w:t xml:space="preserve"> </w:t>
      </w:r>
      <w:r w:rsidRPr="00FD3279">
        <w:rPr>
          <w:rFonts w:ascii="Mosawi" w:hAnsi="Mosawi"/>
          <w:noProof/>
          <w:sz w:val="24"/>
          <w:szCs w:val="28"/>
          <w:rtl/>
        </w:rPr>
        <w:t>بِالْحَقِّ</w:t>
      </w:r>
      <w:r w:rsidRPr="00FD3279">
        <w:rPr>
          <w:noProof/>
          <w:sz w:val="26"/>
          <w:szCs w:val="28"/>
          <w:rtl/>
        </w:rPr>
        <w:t xml:space="preserve"> </w:t>
      </w:r>
      <w:r w:rsidRPr="00FD3279">
        <w:rPr>
          <w:rFonts w:ascii="Mosawi" w:hAnsi="Mosawi"/>
          <w:noProof/>
          <w:sz w:val="24"/>
          <w:szCs w:val="28"/>
          <w:rtl/>
        </w:rPr>
        <w:t>لِتَحْكُمَ</w:t>
      </w:r>
      <w:r w:rsidRPr="00FD3279">
        <w:rPr>
          <w:noProof/>
          <w:sz w:val="26"/>
          <w:szCs w:val="28"/>
          <w:rtl/>
        </w:rPr>
        <w:t xml:space="preserve"> </w:t>
      </w:r>
      <w:r w:rsidRPr="00FD3279">
        <w:rPr>
          <w:rFonts w:ascii="Mosawi" w:hAnsi="Mosawi"/>
          <w:noProof/>
          <w:sz w:val="24"/>
          <w:szCs w:val="28"/>
          <w:rtl/>
        </w:rPr>
        <w:t>بَيْنَ</w:t>
      </w:r>
      <w:r w:rsidRPr="00FD3279">
        <w:rPr>
          <w:noProof/>
          <w:sz w:val="26"/>
          <w:szCs w:val="28"/>
          <w:rtl/>
        </w:rPr>
        <w:t xml:space="preserve"> </w:t>
      </w:r>
      <w:r w:rsidRPr="00FD3279">
        <w:rPr>
          <w:rFonts w:ascii="Mosawi" w:hAnsi="Mosawi"/>
          <w:noProof/>
          <w:sz w:val="24"/>
          <w:szCs w:val="28"/>
          <w:rtl/>
        </w:rPr>
        <w:t>النَّاسِ</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407</w:t>
      </w:r>
    </w:p>
    <w:p w:rsidR="0064415C" w:rsidRPr="00FD3279" w:rsidRDefault="0064415C" w:rsidP="0064415C">
      <w:pPr>
        <w:tabs>
          <w:tab w:val="right" w:pos="6804"/>
        </w:tabs>
        <w:ind w:firstLine="0"/>
        <w:rPr>
          <w:noProof/>
          <w:sz w:val="26"/>
          <w:szCs w:val="28"/>
        </w:rPr>
      </w:pPr>
      <w:r w:rsidRPr="00FD3279">
        <w:rPr>
          <w:noProof/>
          <w:sz w:val="26"/>
          <w:szCs w:val="28"/>
          <w:rtl/>
        </w:rPr>
        <w:t>(النساء /</w:t>
      </w:r>
      <w:r>
        <w:rPr>
          <w:rFonts w:hint="cs"/>
          <w:noProof/>
          <w:sz w:val="26"/>
          <w:szCs w:val="28"/>
          <w:rtl/>
        </w:rPr>
        <w:t xml:space="preserve"> 106</w:t>
      </w:r>
      <w:r w:rsidRPr="00FD3279">
        <w:rPr>
          <w:noProof/>
          <w:sz w:val="26"/>
          <w:szCs w:val="28"/>
          <w:rtl/>
        </w:rPr>
        <w:t xml:space="preserve">) </w:t>
      </w:r>
      <w:r w:rsidRPr="00FD3279">
        <w:rPr>
          <w:rFonts w:ascii="Mosawi" w:hAnsi="Mosawi"/>
          <w:noProof/>
          <w:sz w:val="24"/>
          <w:szCs w:val="28"/>
          <w:rtl/>
        </w:rPr>
        <w:t>إِنَّا</w:t>
      </w:r>
      <w:r w:rsidRPr="00FD3279">
        <w:rPr>
          <w:noProof/>
          <w:sz w:val="26"/>
          <w:szCs w:val="28"/>
          <w:rtl/>
        </w:rPr>
        <w:t xml:space="preserve"> </w:t>
      </w:r>
      <w:r w:rsidRPr="00FD3279">
        <w:rPr>
          <w:rFonts w:ascii="Mosawi" w:hAnsi="Mosawi"/>
          <w:noProof/>
          <w:sz w:val="24"/>
          <w:szCs w:val="28"/>
          <w:rtl/>
        </w:rPr>
        <w:t>أَنزَلْنَا</w:t>
      </w:r>
      <w:r w:rsidRPr="00FD3279">
        <w:rPr>
          <w:noProof/>
          <w:sz w:val="26"/>
          <w:szCs w:val="28"/>
          <w:rtl/>
        </w:rPr>
        <w:t xml:space="preserve"> </w:t>
      </w:r>
      <w:r w:rsidRPr="00FD3279">
        <w:rPr>
          <w:rFonts w:ascii="Mosawi" w:hAnsi="Mosawi"/>
          <w:noProof/>
          <w:sz w:val="24"/>
          <w:szCs w:val="28"/>
          <w:rtl/>
        </w:rPr>
        <w:t>إِلَيْكَ</w:t>
      </w:r>
      <w:r w:rsidRPr="00FD3279">
        <w:rPr>
          <w:noProof/>
          <w:sz w:val="26"/>
          <w:szCs w:val="28"/>
          <w:rtl/>
        </w:rPr>
        <w:t xml:space="preserve"> </w:t>
      </w:r>
      <w:r w:rsidRPr="00FD3279">
        <w:rPr>
          <w:rFonts w:ascii="Mosawi" w:hAnsi="Mosawi"/>
          <w:noProof/>
          <w:sz w:val="24"/>
          <w:szCs w:val="28"/>
          <w:rtl/>
        </w:rPr>
        <w:t>الْكِتَابَ</w:t>
      </w:r>
      <w:r w:rsidRPr="00FD3279">
        <w:rPr>
          <w:noProof/>
          <w:sz w:val="26"/>
          <w:szCs w:val="28"/>
          <w:rtl/>
        </w:rPr>
        <w:t xml:space="preserve"> </w:t>
      </w:r>
      <w:r w:rsidRPr="00FD3279">
        <w:rPr>
          <w:rFonts w:ascii="Mosawi" w:hAnsi="Mosawi"/>
          <w:noProof/>
          <w:sz w:val="24"/>
          <w:szCs w:val="28"/>
          <w:rtl/>
        </w:rPr>
        <w:t>ب</w:t>
      </w:r>
      <w:r w:rsidRPr="00FD3279">
        <w:rPr>
          <w:noProof/>
          <w:sz w:val="26"/>
          <w:szCs w:val="28"/>
          <w:rtl/>
        </w:rPr>
        <w:t>ِالْحَقِّ لِتَحْكُمَ</w:t>
      </w:r>
      <w:r>
        <w:rPr>
          <w:noProof/>
          <w:sz w:val="26"/>
          <w:szCs w:val="28"/>
          <w:rtl/>
        </w:rPr>
        <w:tab/>
      </w:r>
      <w:r w:rsidRPr="00FD3279">
        <w:rPr>
          <w:noProof/>
          <w:sz w:val="26"/>
          <w:szCs w:val="28"/>
          <w:rtl/>
        </w:rPr>
        <w:t xml:space="preserve"> </w:t>
      </w:r>
      <w:r w:rsidRPr="00FD3279">
        <w:rPr>
          <w:noProof/>
          <w:sz w:val="26"/>
          <w:szCs w:val="28"/>
        </w:rPr>
        <w:t>93</w:t>
      </w:r>
    </w:p>
    <w:p w:rsidR="0064415C" w:rsidRPr="00FD3279" w:rsidRDefault="0064415C" w:rsidP="0064415C">
      <w:pPr>
        <w:tabs>
          <w:tab w:val="right" w:pos="6804"/>
        </w:tabs>
        <w:ind w:firstLine="0"/>
        <w:rPr>
          <w:noProof/>
          <w:sz w:val="26"/>
          <w:szCs w:val="28"/>
        </w:rPr>
      </w:pPr>
      <w:r w:rsidRPr="00FD3279">
        <w:rPr>
          <w:noProof/>
          <w:sz w:val="26"/>
          <w:szCs w:val="28"/>
          <w:rtl/>
        </w:rPr>
        <w:t>(النساء /</w:t>
      </w:r>
      <w:r>
        <w:rPr>
          <w:rFonts w:hint="cs"/>
          <w:noProof/>
          <w:sz w:val="26"/>
          <w:szCs w:val="28"/>
          <w:rtl/>
        </w:rPr>
        <w:t xml:space="preserve"> 119</w:t>
      </w:r>
      <w:r w:rsidRPr="00FD3279">
        <w:rPr>
          <w:noProof/>
          <w:sz w:val="26"/>
          <w:szCs w:val="28"/>
          <w:rtl/>
        </w:rPr>
        <w:t xml:space="preserve">) </w:t>
      </w:r>
      <w:r w:rsidRPr="00FD3279">
        <w:rPr>
          <w:rFonts w:ascii="Mosawi" w:hAnsi="Mosawi"/>
          <w:noProof/>
          <w:sz w:val="24"/>
          <w:szCs w:val="28"/>
          <w:rtl/>
        </w:rPr>
        <w:t>وَمَنْ</w:t>
      </w:r>
      <w:r w:rsidRPr="00FD3279">
        <w:rPr>
          <w:noProof/>
          <w:sz w:val="26"/>
          <w:szCs w:val="28"/>
          <w:rtl/>
        </w:rPr>
        <w:t xml:space="preserve"> </w:t>
      </w:r>
      <w:r w:rsidRPr="00FD3279">
        <w:rPr>
          <w:rFonts w:ascii="Mosawi" w:hAnsi="Mosawi"/>
          <w:noProof/>
          <w:sz w:val="24"/>
          <w:szCs w:val="28"/>
          <w:rtl/>
        </w:rPr>
        <w:t>يَتَّخِذْ</w:t>
      </w:r>
      <w:r w:rsidRPr="00FD3279">
        <w:rPr>
          <w:noProof/>
          <w:sz w:val="26"/>
          <w:szCs w:val="28"/>
          <w:rtl/>
        </w:rPr>
        <w:t xml:space="preserve"> </w:t>
      </w:r>
      <w:r w:rsidRPr="00FD3279">
        <w:rPr>
          <w:rFonts w:ascii="Mosawi" w:hAnsi="Mosawi"/>
          <w:noProof/>
          <w:sz w:val="24"/>
          <w:szCs w:val="28"/>
          <w:rtl/>
        </w:rPr>
        <w:t>الشَّيْطَانَ</w:t>
      </w:r>
      <w:r w:rsidRPr="00FD3279">
        <w:rPr>
          <w:noProof/>
          <w:sz w:val="26"/>
          <w:szCs w:val="28"/>
          <w:rtl/>
        </w:rPr>
        <w:t xml:space="preserve"> </w:t>
      </w:r>
      <w:r w:rsidRPr="00FD3279">
        <w:rPr>
          <w:rFonts w:ascii="Mosawi" w:hAnsi="Mosawi"/>
          <w:noProof/>
          <w:sz w:val="24"/>
          <w:szCs w:val="28"/>
          <w:rtl/>
        </w:rPr>
        <w:t>وَلِيّاً</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دُونِ</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فَقَدْ</w:t>
      </w:r>
      <w:r w:rsidRPr="00FD3279">
        <w:rPr>
          <w:noProof/>
          <w:sz w:val="26"/>
          <w:szCs w:val="28"/>
          <w:rtl/>
        </w:rPr>
        <w:t xml:space="preserve"> </w:t>
      </w:r>
      <w:r w:rsidRPr="00FD3279">
        <w:rPr>
          <w:rFonts w:ascii="Mosawi" w:hAnsi="Mosawi"/>
          <w:noProof/>
          <w:sz w:val="24"/>
          <w:szCs w:val="28"/>
          <w:rtl/>
        </w:rPr>
        <w:t>خَسِرَ</w:t>
      </w:r>
      <w:r w:rsidRPr="00FD3279">
        <w:rPr>
          <w:noProof/>
          <w:sz w:val="26"/>
          <w:szCs w:val="28"/>
          <w:rtl/>
        </w:rPr>
        <w:t xml:space="preserve"> </w:t>
      </w:r>
      <w:r w:rsidRPr="00FD3279">
        <w:rPr>
          <w:rFonts w:ascii="Mosawi" w:hAnsi="Mosawi"/>
          <w:noProof/>
          <w:sz w:val="24"/>
          <w:szCs w:val="28"/>
          <w:rtl/>
        </w:rPr>
        <w:t>خُسْرَاناً</w:t>
      </w:r>
      <w:r w:rsidRPr="00FD3279">
        <w:rPr>
          <w:noProof/>
          <w:sz w:val="26"/>
          <w:szCs w:val="28"/>
          <w:rtl/>
        </w:rPr>
        <w:t xml:space="preserve"> </w:t>
      </w:r>
      <w:r w:rsidRPr="00FD3279">
        <w:rPr>
          <w:rFonts w:ascii="Mosawi" w:hAnsi="Mosawi"/>
          <w:noProof/>
          <w:sz w:val="24"/>
          <w:szCs w:val="28"/>
          <w:rtl/>
        </w:rPr>
        <w:t>مُبِيناً</w:t>
      </w:r>
      <w:r>
        <w:rPr>
          <w:rFonts w:ascii="Mosawi" w:hAnsi="Mosawi"/>
          <w:noProof/>
          <w:sz w:val="24"/>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(النساء /</w:t>
      </w:r>
      <w:r>
        <w:rPr>
          <w:rFonts w:hint="cs"/>
          <w:noProof/>
          <w:sz w:val="26"/>
          <w:szCs w:val="28"/>
          <w:rtl/>
        </w:rPr>
        <w:t xml:space="preserve"> 141</w:t>
      </w:r>
      <w:r w:rsidRPr="00FD3279">
        <w:rPr>
          <w:noProof/>
          <w:sz w:val="26"/>
          <w:szCs w:val="28"/>
          <w:rtl/>
        </w:rPr>
        <w:t xml:space="preserve">) </w:t>
      </w:r>
      <w:r w:rsidRPr="00FD3279">
        <w:rPr>
          <w:rFonts w:ascii="Mosawi" w:hAnsi="Mosawi"/>
          <w:noProof/>
          <w:sz w:val="24"/>
          <w:szCs w:val="28"/>
          <w:rtl/>
        </w:rPr>
        <w:t>وَلَنْ</w:t>
      </w:r>
      <w:r w:rsidRPr="00FD3279">
        <w:rPr>
          <w:noProof/>
          <w:sz w:val="26"/>
          <w:szCs w:val="28"/>
          <w:rtl/>
        </w:rPr>
        <w:t xml:space="preserve"> </w:t>
      </w:r>
      <w:r w:rsidRPr="00FD3279">
        <w:rPr>
          <w:rFonts w:ascii="Mosawi" w:hAnsi="Mosawi"/>
          <w:noProof/>
          <w:sz w:val="24"/>
          <w:szCs w:val="28"/>
          <w:rtl/>
        </w:rPr>
        <w:t>يَجْعَلَ</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لِلْكَافِرِينَ</w:t>
      </w:r>
      <w:r w:rsidRPr="00FD3279">
        <w:rPr>
          <w:noProof/>
          <w:sz w:val="26"/>
          <w:szCs w:val="28"/>
          <w:rtl/>
        </w:rPr>
        <w:t xml:space="preserve"> </w:t>
      </w:r>
      <w:r w:rsidRPr="00FD3279">
        <w:rPr>
          <w:rFonts w:ascii="Mosawi" w:hAnsi="Mosawi"/>
          <w:noProof/>
          <w:sz w:val="24"/>
          <w:szCs w:val="28"/>
          <w:rtl/>
        </w:rPr>
        <w:t>عَلَى</w:t>
      </w:r>
      <w:r w:rsidRPr="00FD3279">
        <w:rPr>
          <w:noProof/>
          <w:sz w:val="26"/>
          <w:szCs w:val="28"/>
          <w:rtl/>
        </w:rPr>
        <w:t xml:space="preserve"> </w:t>
      </w:r>
      <w:r w:rsidRPr="00FD3279">
        <w:rPr>
          <w:rFonts w:ascii="Mosawi" w:hAnsi="Mosawi"/>
          <w:noProof/>
          <w:sz w:val="24"/>
          <w:szCs w:val="28"/>
          <w:rtl/>
        </w:rPr>
        <w:t>الْمُؤْمِنِينَ</w:t>
      </w:r>
      <w:r w:rsidRPr="00FD3279">
        <w:rPr>
          <w:noProof/>
          <w:sz w:val="26"/>
          <w:szCs w:val="28"/>
          <w:rtl/>
        </w:rPr>
        <w:t xml:space="preserve"> </w:t>
      </w:r>
      <w:r w:rsidRPr="00FD3279">
        <w:rPr>
          <w:rFonts w:ascii="Mosawi" w:hAnsi="Mosawi"/>
          <w:noProof/>
          <w:sz w:val="24"/>
          <w:szCs w:val="28"/>
          <w:rtl/>
        </w:rPr>
        <w:t>سَبِيلاً</w:t>
      </w:r>
      <w:r>
        <w:rPr>
          <w:rFonts w:ascii="Mosawi" w:hAnsi="Mosawi"/>
          <w:noProof/>
          <w:sz w:val="24"/>
          <w:szCs w:val="28"/>
          <w:rtl/>
        </w:rPr>
        <w:tab/>
      </w:r>
      <w:r w:rsidRPr="00FD3279">
        <w:rPr>
          <w:noProof/>
          <w:sz w:val="26"/>
          <w:szCs w:val="28"/>
          <w:rtl/>
        </w:rPr>
        <w:t xml:space="preserve"> </w:t>
      </w:r>
      <w:r w:rsidRPr="00FD3279">
        <w:rPr>
          <w:noProof/>
          <w:sz w:val="26"/>
          <w:szCs w:val="28"/>
        </w:rPr>
        <w:t>104</w:t>
      </w:r>
    </w:p>
    <w:p w:rsidR="0064415C" w:rsidRPr="00FD3279" w:rsidRDefault="0064415C" w:rsidP="0064415C">
      <w:pPr>
        <w:tabs>
          <w:tab w:val="right" w:pos="6804"/>
        </w:tabs>
        <w:ind w:firstLine="0"/>
        <w:rPr>
          <w:noProof/>
          <w:sz w:val="26"/>
          <w:szCs w:val="28"/>
        </w:rPr>
      </w:pPr>
      <w:r w:rsidRPr="00FD3279">
        <w:rPr>
          <w:noProof/>
          <w:sz w:val="26"/>
          <w:szCs w:val="28"/>
          <w:rtl/>
        </w:rPr>
        <w:t xml:space="preserve">(النساء / </w:t>
      </w:r>
      <w:r>
        <w:rPr>
          <w:rFonts w:hint="cs"/>
          <w:noProof/>
          <w:sz w:val="26"/>
          <w:szCs w:val="28"/>
          <w:rtl/>
        </w:rPr>
        <w:t>150</w:t>
      </w:r>
      <w:r w:rsidRPr="00FD3279">
        <w:rPr>
          <w:noProof/>
          <w:sz w:val="26"/>
          <w:szCs w:val="28"/>
          <w:rtl/>
        </w:rPr>
        <w:t xml:space="preserve">) </w:t>
      </w:r>
      <w:r w:rsidRPr="00FD3279">
        <w:rPr>
          <w:rFonts w:ascii="Mosawi" w:hAnsi="Mosawi"/>
          <w:noProof/>
          <w:sz w:val="24"/>
          <w:szCs w:val="28"/>
          <w:rtl/>
        </w:rPr>
        <w:t>وَيَقُولُونَ</w:t>
      </w:r>
      <w:r w:rsidRPr="00FD3279">
        <w:rPr>
          <w:noProof/>
          <w:sz w:val="26"/>
          <w:szCs w:val="28"/>
          <w:rtl/>
        </w:rPr>
        <w:t xml:space="preserve"> </w:t>
      </w:r>
      <w:r w:rsidRPr="00FD3279">
        <w:rPr>
          <w:rFonts w:ascii="Mosawi" w:hAnsi="Mosawi"/>
          <w:noProof/>
          <w:sz w:val="24"/>
          <w:szCs w:val="28"/>
          <w:rtl/>
        </w:rPr>
        <w:t>نُؤْمِنُ</w:t>
      </w:r>
      <w:r w:rsidRPr="00FD3279">
        <w:rPr>
          <w:noProof/>
          <w:sz w:val="26"/>
          <w:szCs w:val="28"/>
          <w:rtl/>
        </w:rPr>
        <w:t xml:space="preserve"> </w:t>
      </w:r>
      <w:r w:rsidRPr="00FD3279">
        <w:rPr>
          <w:rFonts w:ascii="Mosawi" w:hAnsi="Mosawi"/>
          <w:noProof/>
          <w:sz w:val="24"/>
          <w:szCs w:val="28"/>
          <w:rtl/>
        </w:rPr>
        <w:t>بِبَعْضٍ</w:t>
      </w:r>
      <w:r w:rsidRPr="00FD3279">
        <w:rPr>
          <w:noProof/>
          <w:sz w:val="26"/>
          <w:szCs w:val="28"/>
          <w:rtl/>
        </w:rPr>
        <w:t xml:space="preserve"> </w:t>
      </w:r>
      <w:r w:rsidRPr="00FD3279">
        <w:rPr>
          <w:rFonts w:ascii="Mosawi" w:hAnsi="Mosawi"/>
          <w:noProof/>
          <w:sz w:val="24"/>
          <w:szCs w:val="28"/>
          <w:rtl/>
        </w:rPr>
        <w:t>وَنَكْفُرُ</w:t>
      </w:r>
      <w:r w:rsidRPr="00FD3279">
        <w:rPr>
          <w:noProof/>
          <w:sz w:val="26"/>
          <w:szCs w:val="28"/>
          <w:rtl/>
        </w:rPr>
        <w:t xml:space="preserve"> </w:t>
      </w:r>
      <w:r w:rsidRPr="00FD3279">
        <w:rPr>
          <w:rFonts w:ascii="Mosawi" w:hAnsi="Mosawi"/>
          <w:noProof/>
          <w:sz w:val="24"/>
          <w:szCs w:val="28"/>
          <w:rtl/>
        </w:rPr>
        <w:t>بِبَعْضٍ</w:t>
      </w:r>
      <w:r>
        <w:rPr>
          <w:rFonts w:ascii="Mosawi" w:hAnsi="Mosawi"/>
          <w:noProof/>
          <w:sz w:val="24"/>
          <w:szCs w:val="28"/>
          <w:rtl/>
        </w:rPr>
        <w:tab/>
      </w:r>
      <w:r w:rsidRPr="00FD3279">
        <w:rPr>
          <w:noProof/>
          <w:sz w:val="26"/>
          <w:szCs w:val="28"/>
          <w:rtl/>
        </w:rPr>
        <w:t xml:space="preserve"> </w:t>
      </w:r>
      <w:r w:rsidRPr="00FD3279">
        <w:rPr>
          <w:noProof/>
          <w:sz w:val="26"/>
          <w:szCs w:val="28"/>
        </w:rPr>
        <w:t>250</w:t>
      </w:r>
    </w:p>
    <w:p w:rsidR="0064415C" w:rsidRPr="00FD3279" w:rsidRDefault="0064415C" w:rsidP="0064415C">
      <w:pPr>
        <w:tabs>
          <w:tab w:val="right" w:pos="6804"/>
        </w:tabs>
        <w:ind w:firstLine="0"/>
        <w:rPr>
          <w:noProof/>
          <w:sz w:val="26"/>
          <w:szCs w:val="28"/>
        </w:rPr>
      </w:pPr>
      <w:r w:rsidRPr="00FD3279">
        <w:rPr>
          <w:noProof/>
          <w:sz w:val="26"/>
          <w:szCs w:val="28"/>
          <w:rtl/>
        </w:rPr>
        <w:t>(المائدة /</w:t>
      </w:r>
      <w:r>
        <w:rPr>
          <w:rFonts w:hint="cs"/>
          <w:noProof/>
          <w:sz w:val="26"/>
          <w:szCs w:val="28"/>
          <w:rtl/>
        </w:rPr>
        <w:t xml:space="preserve"> 3</w:t>
      </w:r>
      <w:r w:rsidRPr="00FD3279">
        <w:rPr>
          <w:noProof/>
          <w:sz w:val="26"/>
          <w:szCs w:val="28"/>
          <w:rtl/>
        </w:rPr>
        <w:t xml:space="preserve">) </w:t>
      </w:r>
      <w:r w:rsidRPr="00FD3279">
        <w:rPr>
          <w:rFonts w:ascii="Mosawi" w:hAnsi="Mosawi"/>
          <w:noProof/>
          <w:sz w:val="24"/>
          <w:szCs w:val="28"/>
          <w:rtl/>
        </w:rPr>
        <w:t>الْيَوْمَ</w:t>
      </w:r>
      <w:r w:rsidRPr="00FD3279">
        <w:rPr>
          <w:noProof/>
          <w:sz w:val="26"/>
          <w:szCs w:val="28"/>
          <w:rtl/>
        </w:rPr>
        <w:t xml:space="preserve"> </w:t>
      </w:r>
      <w:r w:rsidRPr="00FD3279">
        <w:rPr>
          <w:rFonts w:ascii="Mosawi" w:hAnsi="Mosawi"/>
          <w:noProof/>
          <w:sz w:val="24"/>
          <w:szCs w:val="28"/>
          <w:rtl/>
        </w:rPr>
        <w:t>أَكْمَلْتُ</w:t>
      </w:r>
      <w:r w:rsidRPr="00FD3279">
        <w:rPr>
          <w:noProof/>
          <w:sz w:val="26"/>
          <w:szCs w:val="28"/>
          <w:rtl/>
        </w:rPr>
        <w:t xml:space="preserve"> </w:t>
      </w:r>
      <w:r w:rsidRPr="00FD3279">
        <w:rPr>
          <w:rFonts w:ascii="Mosawi" w:hAnsi="Mosawi"/>
          <w:noProof/>
          <w:sz w:val="24"/>
          <w:szCs w:val="28"/>
          <w:rtl/>
        </w:rPr>
        <w:t>لَكُمْ</w:t>
      </w:r>
      <w:r w:rsidRPr="00FD3279">
        <w:rPr>
          <w:noProof/>
          <w:sz w:val="26"/>
          <w:szCs w:val="28"/>
          <w:rtl/>
        </w:rPr>
        <w:t xml:space="preserve"> </w:t>
      </w:r>
      <w:r w:rsidRPr="00FD3279">
        <w:rPr>
          <w:rFonts w:ascii="Mosawi" w:hAnsi="Mosawi"/>
          <w:noProof/>
          <w:sz w:val="24"/>
          <w:szCs w:val="28"/>
          <w:rtl/>
        </w:rPr>
        <w:t>دِينَكُمْ</w:t>
      </w:r>
      <w:r w:rsidRPr="00FD3279">
        <w:rPr>
          <w:noProof/>
          <w:sz w:val="26"/>
          <w:szCs w:val="28"/>
          <w:rtl/>
        </w:rPr>
        <w:t xml:space="preserve"> </w:t>
      </w:r>
      <w:r w:rsidRPr="00FD3279">
        <w:rPr>
          <w:rFonts w:ascii="Mosawi" w:hAnsi="Mosawi"/>
          <w:noProof/>
          <w:sz w:val="24"/>
          <w:szCs w:val="28"/>
          <w:rtl/>
        </w:rPr>
        <w:t>وَأَتْمَمْتُ</w:t>
      </w:r>
      <w:r w:rsidRPr="00FD3279">
        <w:rPr>
          <w:noProof/>
          <w:sz w:val="26"/>
          <w:szCs w:val="28"/>
          <w:rtl/>
        </w:rPr>
        <w:t xml:space="preserve"> </w:t>
      </w:r>
      <w:r w:rsidRPr="00FD3279">
        <w:rPr>
          <w:rFonts w:ascii="Mosawi" w:hAnsi="Mosawi"/>
          <w:noProof/>
          <w:sz w:val="24"/>
          <w:szCs w:val="28"/>
          <w:rtl/>
        </w:rPr>
        <w:t>عَلَيْكُمْ</w:t>
      </w:r>
      <w:r w:rsidRPr="00FD3279">
        <w:rPr>
          <w:noProof/>
          <w:sz w:val="26"/>
          <w:szCs w:val="28"/>
          <w:rtl/>
        </w:rPr>
        <w:t xml:space="preserve"> </w:t>
      </w:r>
      <w:r w:rsidRPr="00FD3279">
        <w:rPr>
          <w:rFonts w:ascii="Mosawi" w:hAnsi="Mosawi"/>
          <w:noProof/>
          <w:sz w:val="24"/>
          <w:szCs w:val="28"/>
          <w:rtl/>
        </w:rPr>
        <w:t>نِعْمَتِي</w:t>
      </w:r>
      <w:r>
        <w:rPr>
          <w:noProof/>
          <w:sz w:val="26"/>
          <w:szCs w:val="28"/>
          <w:rtl/>
        </w:rPr>
        <w:tab/>
      </w:r>
      <w:r w:rsidRPr="00FD3279">
        <w:rPr>
          <w:noProof/>
          <w:sz w:val="26"/>
          <w:szCs w:val="28"/>
          <w:rtl/>
        </w:rPr>
        <w:t xml:space="preserve"> </w:t>
      </w:r>
      <w:r w:rsidRPr="00FD3279">
        <w:rPr>
          <w:noProof/>
          <w:sz w:val="26"/>
          <w:szCs w:val="28"/>
        </w:rPr>
        <w:t>59</w:t>
      </w:r>
      <w:r w:rsidRPr="00FD3279">
        <w:rPr>
          <w:noProof/>
          <w:sz w:val="26"/>
          <w:szCs w:val="28"/>
          <w:rtl/>
        </w:rPr>
        <w:t xml:space="preserve">، </w:t>
      </w:r>
      <w:r w:rsidRPr="00FD3279">
        <w:rPr>
          <w:noProof/>
          <w:sz w:val="26"/>
          <w:szCs w:val="28"/>
        </w:rPr>
        <w:t>108</w:t>
      </w:r>
    </w:p>
    <w:p w:rsidR="0064415C" w:rsidRPr="00FD3279" w:rsidRDefault="0064415C" w:rsidP="0064415C">
      <w:pPr>
        <w:tabs>
          <w:tab w:val="right" w:pos="6804"/>
        </w:tabs>
        <w:ind w:firstLine="0"/>
        <w:rPr>
          <w:noProof/>
          <w:sz w:val="26"/>
          <w:szCs w:val="28"/>
        </w:rPr>
      </w:pPr>
      <w:r w:rsidRPr="00FD3279">
        <w:rPr>
          <w:noProof/>
          <w:sz w:val="26"/>
          <w:szCs w:val="28"/>
          <w:rtl/>
        </w:rPr>
        <w:t>(المائدة /</w:t>
      </w:r>
      <w:r>
        <w:rPr>
          <w:rFonts w:hint="cs"/>
          <w:noProof/>
          <w:sz w:val="26"/>
          <w:szCs w:val="28"/>
          <w:rtl/>
        </w:rPr>
        <w:t xml:space="preserve"> 38</w:t>
      </w:r>
      <w:r w:rsidRPr="00FD3279">
        <w:rPr>
          <w:noProof/>
          <w:sz w:val="26"/>
          <w:szCs w:val="28"/>
          <w:rtl/>
        </w:rPr>
        <w:t xml:space="preserve">) </w:t>
      </w:r>
      <w:r w:rsidRPr="00FD3279">
        <w:rPr>
          <w:rFonts w:ascii="Mosawi" w:hAnsi="Mosawi"/>
          <w:noProof/>
          <w:sz w:val="24"/>
          <w:szCs w:val="28"/>
          <w:rtl/>
        </w:rPr>
        <w:t>وَالسَّارِقُ</w:t>
      </w:r>
      <w:r w:rsidRPr="00FD3279">
        <w:rPr>
          <w:noProof/>
          <w:sz w:val="26"/>
          <w:szCs w:val="28"/>
          <w:rtl/>
        </w:rPr>
        <w:t xml:space="preserve"> </w:t>
      </w:r>
      <w:r w:rsidRPr="00FD3279">
        <w:rPr>
          <w:rFonts w:ascii="Mosawi" w:hAnsi="Mosawi"/>
          <w:noProof/>
          <w:sz w:val="24"/>
          <w:szCs w:val="28"/>
          <w:rtl/>
        </w:rPr>
        <w:t>وَالسَّارِقَةُ</w:t>
      </w:r>
      <w:r w:rsidRPr="00FD3279">
        <w:rPr>
          <w:noProof/>
          <w:sz w:val="26"/>
          <w:szCs w:val="28"/>
          <w:rtl/>
        </w:rPr>
        <w:t xml:space="preserve"> </w:t>
      </w:r>
      <w:r w:rsidRPr="00FD3279">
        <w:rPr>
          <w:rFonts w:ascii="Mosawi" w:hAnsi="Mosawi"/>
          <w:noProof/>
          <w:sz w:val="24"/>
          <w:szCs w:val="28"/>
          <w:rtl/>
        </w:rPr>
        <w:t>فَاقْطَعُوا</w:t>
      </w:r>
      <w:r w:rsidRPr="00FD3279">
        <w:rPr>
          <w:noProof/>
          <w:sz w:val="26"/>
          <w:szCs w:val="28"/>
          <w:rtl/>
        </w:rPr>
        <w:t xml:space="preserve"> </w:t>
      </w:r>
      <w:r w:rsidRPr="00FD3279">
        <w:rPr>
          <w:rFonts w:ascii="Mosawi" w:hAnsi="Mosawi"/>
          <w:noProof/>
          <w:sz w:val="24"/>
          <w:szCs w:val="28"/>
          <w:rtl/>
        </w:rPr>
        <w:t>أَيْدِيَهُمَا</w:t>
      </w:r>
      <w:r>
        <w:rPr>
          <w:rFonts w:ascii="Mosawi" w:hAnsi="Mosawi"/>
          <w:noProof/>
          <w:sz w:val="24"/>
          <w:szCs w:val="28"/>
          <w:rtl/>
        </w:rPr>
        <w:tab/>
      </w:r>
      <w:r w:rsidRPr="00FD3279">
        <w:rPr>
          <w:noProof/>
          <w:sz w:val="26"/>
          <w:szCs w:val="28"/>
          <w:rtl/>
        </w:rPr>
        <w:t xml:space="preserve"> </w:t>
      </w:r>
      <w:r w:rsidRPr="00FD3279">
        <w:rPr>
          <w:noProof/>
          <w:sz w:val="26"/>
          <w:szCs w:val="28"/>
        </w:rPr>
        <w:t>411</w:t>
      </w:r>
    </w:p>
    <w:p w:rsidR="0064415C" w:rsidRPr="00FD3279" w:rsidRDefault="0064415C" w:rsidP="0064415C">
      <w:pPr>
        <w:tabs>
          <w:tab w:val="right" w:pos="6804"/>
        </w:tabs>
        <w:ind w:firstLine="0"/>
        <w:rPr>
          <w:noProof/>
          <w:sz w:val="26"/>
          <w:szCs w:val="28"/>
        </w:rPr>
      </w:pPr>
      <w:r w:rsidRPr="00FD3279">
        <w:rPr>
          <w:noProof/>
          <w:sz w:val="26"/>
          <w:szCs w:val="28"/>
          <w:rtl/>
        </w:rPr>
        <w:t>(المائدة /</w:t>
      </w:r>
      <w:r>
        <w:rPr>
          <w:rFonts w:hint="cs"/>
          <w:noProof/>
          <w:sz w:val="26"/>
          <w:szCs w:val="28"/>
          <w:rtl/>
        </w:rPr>
        <w:t xml:space="preserve"> 51</w:t>
      </w:r>
      <w:r w:rsidRPr="00FD3279">
        <w:rPr>
          <w:noProof/>
          <w:sz w:val="26"/>
          <w:szCs w:val="28"/>
          <w:rtl/>
        </w:rPr>
        <w:t xml:space="preserve">) </w:t>
      </w:r>
      <w:r w:rsidRPr="00FD3279">
        <w:rPr>
          <w:rFonts w:ascii="Mosawi" w:hAnsi="Mosawi"/>
          <w:noProof/>
          <w:sz w:val="24"/>
          <w:szCs w:val="28"/>
          <w:rtl/>
        </w:rPr>
        <w:t>ي</w:t>
      </w:r>
      <w:r w:rsidRPr="00FD3279">
        <w:rPr>
          <w:noProof/>
          <w:sz w:val="26"/>
          <w:szCs w:val="28"/>
          <w:rtl/>
        </w:rPr>
        <w:t>َا أَيُّهَا الَّذِينَ آمَنُوا لاَ تَتَّخِذُوا الْيَهُودَ وَالنَّصَارَى أَوْلِيَاءَ</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103</w:t>
      </w:r>
      <w:r w:rsidRPr="00FD3279">
        <w:rPr>
          <w:noProof/>
          <w:sz w:val="26"/>
          <w:szCs w:val="28"/>
          <w:rtl/>
        </w:rPr>
        <w:t xml:space="preserve">، </w:t>
      </w:r>
      <w:r w:rsidRPr="00FD3279">
        <w:rPr>
          <w:noProof/>
          <w:sz w:val="26"/>
          <w:szCs w:val="28"/>
        </w:rPr>
        <w:t>104</w:t>
      </w:r>
    </w:p>
    <w:p w:rsidR="0064415C" w:rsidRPr="00FD3279" w:rsidRDefault="0064415C" w:rsidP="0064415C">
      <w:pPr>
        <w:tabs>
          <w:tab w:val="right" w:pos="6804"/>
        </w:tabs>
        <w:ind w:firstLine="0"/>
        <w:rPr>
          <w:noProof/>
          <w:sz w:val="26"/>
          <w:szCs w:val="28"/>
          <w:rtl/>
        </w:rPr>
      </w:pPr>
      <w:r w:rsidRPr="00FD3279">
        <w:rPr>
          <w:noProof/>
          <w:sz w:val="26"/>
          <w:szCs w:val="28"/>
          <w:rtl/>
        </w:rPr>
        <w:t>(المائدة /</w:t>
      </w:r>
      <w:r>
        <w:rPr>
          <w:rFonts w:hint="cs"/>
          <w:noProof/>
          <w:sz w:val="26"/>
          <w:szCs w:val="28"/>
          <w:rtl/>
        </w:rPr>
        <w:t xml:space="preserve"> 55</w:t>
      </w:r>
      <w:r w:rsidRPr="00FD3279">
        <w:rPr>
          <w:noProof/>
          <w:sz w:val="26"/>
          <w:szCs w:val="28"/>
          <w:rtl/>
        </w:rPr>
        <w:t>) إِنَّمَا وَلِيُّكُمْ اللهُ وَرَسُولُهُ وَالَّذِينَ آمَنُوا</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92</w:t>
      </w:r>
      <w:r w:rsidRPr="00FD3279">
        <w:rPr>
          <w:noProof/>
          <w:sz w:val="26"/>
          <w:szCs w:val="28"/>
          <w:rtl/>
        </w:rPr>
        <w:t xml:space="preserve">، </w:t>
      </w:r>
      <w:r w:rsidRPr="00FD3279">
        <w:rPr>
          <w:noProof/>
          <w:sz w:val="26"/>
          <w:szCs w:val="28"/>
        </w:rPr>
        <w:t>111</w:t>
      </w:r>
      <w:r w:rsidRPr="00FD3279">
        <w:rPr>
          <w:noProof/>
          <w:sz w:val="26"/>
          <w:szCs w:val="28"/>
          <w:rtl/>
        </w:rPr>
        <w:t xml:space="preserve">، </w:t>
      </w:r>
      <w:r w:rsidRPr="00FD3279">
        <w:rPr>
          <w:noProof/>
          <w:sz w:val="26"/>
          <w:szCs w:val="28"/>
        </w:rPr>
        <w:t>112</w:t>
      </w:r>
      <w:r w:rsidRPr="00FD3279">
        <w:rPr>
          <w:noProof/>
          <w:sz w:val="26"/>
          <w:szCs w:val="28"/>
          <w:rtl/>
        </w:rPr>
        <w:t xml:space="preserve">، </w:t>
      </w:r>
      <w:r w:rsidRPr="00FD3279">
        <w:rPr>
          <w:noProof/>
          <w:sz w:val="26"/>
          <w:szCs w:val="28"/>
        </w:rPr>
        <w:t>408</w:t>
      </w:r>
    </w:p>
    <w:p w:rsidR="0064415C" w:rsidRPr="00FD3279" w:rsidRDefault="0064415C" w:rsidP="0064415C">
      <w:pPr>
        <w:tabs>
          <w:tab w:val="right" w:pos="6804"/>
        </w:tabs>
        <w:ind w:firstLine="0"/>
        <w:rPr>
          <w:noProof/>
          <w:sz w:val="26"/>
          <w:szCs w:val="28"/>
        </w:rPr>
      </w:pPr>
      <w:r w:rsidRPr="00FD3279">
        <w:rPr>
          <w:noProof/>
          <w:sz w:val="26"/>
          <w:szCs w:val="28"/>
          <w:rtl/>
        </w:rPr>
        <w:t>(المائدة  /</w:t>
      </w:r>
      <w:r>
        <w:rPr>
          <w:rFonts w:hint="cs"/>
          <w:noProof/>
          <w:sz w:val="26"/>
          <w:szCs w:val="28"/>
          <w:rtl/>
        </w:rPr>
        <w:t xml:space="preserve"> 55 - 56</w:t>
      </w:r>
      <w:r w:rsidRPr="00FD3279">
        <w:rPr>
          <w:noProof/>
          <w:sz w:val="26"/>
          <w:szCs w:val="28"/>
          <w:rtl/>
        </w:rPr>
        <w:t>) إِنَّمَا وَلِيُّكُمْ اللهُ وَرَسُولُهُ وَالَّذِينَ آمَنُوا الَّذِي</w:t>
      </w:r>
      <w:r>
        <w:rPr>
          <w:noProof/>
          <w:sz w:val="26"/>
          <w:szCs w:val="28"/>
          <w:rtl/>
        </w:rPr>
        <w:tab/>
      </w:r>
      <w:r w:rsidRPr="00FD3279">
        <w:rPr>
          <w:noProof/>
          <w:sz w:val="26"/>
          <w:szCs w:val="28"/>
          <w:rtl/>
        </w:rPr>
        <w:t xml:space="preserve"> </w:t>
      </w:r>
      <w:r w:rsidRPr="00FD3279">
        <w:rPr>
          <w:noProof/>
          <w:sz w:val="26"/>
          <w:szCs w:val="28"/>
        </w:rPr>
        <w:t>94</w:t>
      </w:r>
    </w:p>
    <w:p w:rsidR="0064415C" w:rsidRPr="00FD3279" w:rsidRDefault="0064415C" w:rsidP="0064415C">
      <w:pPr>
        <w:tabs>
          <w:tab w:val="right" w:pos="6804"/>
        </w:tabs>
        <w:ind w:firstLine="0"/>
        <w:rPr>
          <w:noProof/>
          <w:sz w:val="26"/>
          <w:szCs w:val="28"/>
        </w:rPr>
      </w:pPr>
      <w:r w:rsidRPr="00FD3279">
        <w:rPr>
          <w:noProof/>
          <w:sz w:val="26"/>
          <w:szCs w:val="28"/>
          <w:rtl/>
        </w:rPr>
        <w:t>(المائدة /</w:t>
      </w:r>
      <w:r>
        <w:rPr>
          <w:rFonts w:hint="cs"/>
          <w:noProof/>
          <w:sz w:val="26"/>
          <w:szCs w:val="28"/>
          <w:rtl/>
        </w:rPr>
        <w:t xml:space="preserve"> 57</w:t>
      </w:r>
      <w:r w:rsidRPr="00FD3279">
        <w:rPr>
          <w:noProof/>
          <w:sz w:val="26"/>
          <w:szCs w:val="28"/>
          <w:rtl/>
        </w:rPr>
        <w:t xml:space="preserve">) </w:t>
      </w:r>
      <w:r w:rsidRPr="00FD3279">
        <w:rPr>
          <w:rFonts w:ascii="Mosawi" w:hAnsi="Mosawi"/>
          <w:noProof/>
          <w:sz w:val="24"/>
          <w:szCs w:val="28"/>
          <w:rtl/>
        </w:rPr>
        <w:t>يَا</w:t>
      </w:r>
      <w:r w:rsidRPr="00FD3279">
        <w:rPr>
          <w:noProof/>
          <w:sz w:val="26"/>
          <w:szCs w:val="28"/>
          <w:rtl/>
        </w:rPr>
        <w:t xml:space="preserve"> </w:t>
      </w:r>
      <w:r w:rsidRPr="00FD3279">
        <w:rPr>
          <w:rFonts w:ascii="Mosawi" w:hAnsi="Mosawi"/>
          <w:noProof/>
          <w:sz w:val="24"/>
          <w:szCs w:val="28"/>
          <w:rtl/>
        </w:rPr>
        <w:t>أَيُّهَا</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آمَنُوا</w:t>
      </w:r>
      <w:r w:rsidRPr="00FD3279">
        <w:rPr>
          <w:noProof/>
          <w:sz w:val="26"/>
          <w:szCs w:val="28"/>
          <w:rtl/>
        </w:rPr>
        <w:t xml:space="preserve"> </w:t>
      </w:r>
      <w:r w:rsidRPr="00FD3279">
        <w:rPr>
          <w:rFonts w:ascii="Mosawi" w:hAnsi="Mosawi"/>
          <w:noProof/>
          <w:sz w:val="24"/>
          <w:szCs w:val="28"/>
          <w:rtl/>
        </w:rPr>
        <w:t>لاَ</w:t>
      </w:r>
      <w:r w:rsidRPr="00FD3279">
        <w:rPr>
          <w:noProof/>
          <w:sz w:val="26"/>
          <w:szCs w:val="28"/>
          <w:rtl/>
        </w:rPr>
        <w:t xml:space="preserve"> </w:t>
      </w:r>
      <w:r w:rsidRPr="00FD3279">
        <w:rPr>
          <w:rFonts w:ascii="Mosawi" w:hAnsi="Mosawi"/>
          <w:noProof/>
          <w:sz w:val="24"/>
          <w:szCs w:val="28"/>
          <w:rtl/>
        </w:rPr>
        <w:t>تَتَّخِذُوا</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اتَّخَذُوا</w:t>
      </w:r>
      <w:r w:rsidRPr="00FD3279">
        <w:rPr>
          <w:noProof/>
          <w:sz w:val="26"/>
          <w:szCs w:val="28"/>
          <w:rtl/>
        </w:rPr>
        <w:t xml:space="preserve"> </w:t>
      </w:r>
      <w:r w:rsidRPr="00FD3279">
        <w:rPr>
          <w:rFonts w:ascii="Mosawi" w:hAnsi="Mosawi"/>
          <w:noProof/>
          <w:sz w:val="24"/>
          <w:szCs w:val="28"/>
          <w:rtl/>
        </w:rPr>
        <w:t>دِينَكُمْ</w:t>
      </w:r>
      <w:r w:rsidRPr="00FD3279">
        <w:rPr>
          <w:noProof/>
          <w:sz w:val="26"/>
          <w:szCs w:val="28"/>
          <w:rtl/>
        </w:rPr>
        <w:t xml:space="preserve"> </w:t>
      </w:r>
      <w:r w:rsidRPr="00FD3279">
        <w:rPr>
          <w:rFonts w:ascii="Mosawi" w:hAnsi="Mosawi"/>
          <w:noProof/>
          <w:sz w:val="24"/>
          <w:szCs w:val="28"/>
          <w:rtl/>
        </w:rPr>
        <w:t>هُزُواً</w:t>
      </w:r>
      <w:r w:rsidRPr="00FD3279">
        <w:rPr>
          <w:noProof/>
          <w:sz w:val="26"/>
          <w:szCs w:val="28"/>
          <w:rtl/>
        </w:rPr>
        <w:t xml:space="preserve"> </w:t>
      </w:r>
      <w:r w:rsidRPr="00FD3279">
        <w:rPr>
          <w:rFonts w:ascii="Mosawi" w:hAnsi="Mosawi"/>
          <w:noProof/>
          <w:sz w:val="24"/>
          <w:szCs w:val="28"/>
          <w:rtl/>
        </w:rPr>
        <w:t>وَلَعِباً</w:t>
      </w:r>
      <w:r>
        <w:rPr>
          <w:rFonts w:ascii="Mosawi" w:hAnsi="Mosawi"/>
          <w:noProof/>
          <w:sz w:val="24"/>
          <w:szCs w:val="28"/>
          <w:rtl/>
        </w:rPr>
        <w:tab/>
      </w:r>
      <w:r w:rsidRPr="00FD3279">
        <w:rPr>
          <w:noProof/>
          <w:sz w:val="26"/>
          <w:szCs w:val="28"/>
          <w:rtl/>
        </w:rPr>
        <w:t xml:space="preserve"> </w:t>
      </w:r>
      <w:r w:rsidRPr="00FD3279">
        <w:rPr>
          <w:noProof/>
          <w:sz w:val="26"/>
          <w:szCs w:val="28"/>
        </w:rPr>
        <w:t>103</w:t>
      </w:r>
    </w:p>
    <w:p w:rsidR="0064415C" w:rsidRPr="00FD3279" w:rsidRDefault="0064415C" w:rsidP="0064415C">
      <w:pPr>
        <w:tabs>
          <w:tab w:val="right" w:pos="6804"/>
        </w:tabs>
        <w:ind w:firstLine="0"/>
        <w:rPr>
          <w:noProof/>
          <w:sz w:val="26"/>
          <w:szCs w:val="28"/>
        </w:rPr>
      </w:pPr>
      <w:r w:rsidRPr="00FD3279">
        <w:rPr>
          <w:noProof/>
          <w:sz w:val="26"/>
          <w:szCs w:val="28"/>
          <w:rtl/>
        </w:rPr>
        <w:t>(المائدة /</w:t>
      </w:r>
      <w:r>
        <w:rPr>
          <w:rFonts w:hint="cs"/>
          <w:noProof/>
          <w:sz w:val="26"/>
          <w:szCs w:val="28"/>
          <w:rtl/>
        </w:rPr>
        <w:t xml:space="preserve"> 63</w:t>
      </w:r>
      <w:r w:rsidRPr="00FD3279">
        <w:rPr>
          <w:noProof/>
          <w:sz w:val="26"/>
          <w:szCs w:val="28"/>
          <w:rtl/>
        </w:rPr>
        <w:t xml:space="preserve">) </w:t>
      </w:r>
      <w:r w:rsidRPr="00FD3279">
        <w:rPr>
          <w:rFonts w:ascii="Mosawi" w:hAnsi="Mosawi"/>
          <w:noProof/>
          <w:sz w:val="24"/>
          <w:szCs w:val="28"/>
          <w:rtl/>
        </w:rPr>
        <w:t>لَوْلاَ</w:t>
      </w:r>
      <w:r w:rsidRPr="00FD3279">
        <w:rPr>
          <w:noProof/>
          <w:sz w:val="26"/>
          <w:szCs w:val="28"/>
          <w:rtl/>
        </w:rPr>
        <w:t xml:space="preserve"> </w:t>
      </w:r>
      <w:r w:rsidRPr="00FD3279">
        <w:rPr>
          <w:rFonts w:ascii="Mosawi" w:hAnsi="Mosawi"/>
          <w:noProof/>
          <w:sz w:val="24"/>
          <w:szCs w:val="28"/>
          <w:rtl/>
        </w:rPr>
        <w:t>يَنْهَاهُمْ</w:t>
      </w:r>
      <w:r w:rsidRPr="00FD3279">
        <w:rPr>
          <w:noProof/>
          <w:sz w:val="26"/>
          <w:szCs w:val="28"/>
          <w:rtl/>
        </w:rPr>
        <w:t xml:space="preserve"> </w:t>
      </w:r>
      <w:r w:rsidRPr="00FD3279">
        <w:rPr>
          <w:rFonts w:ascii="Mosawi" w:hAnsi="Mosawi"/>
          <w:noProof/>
          <w:sz w:val="24"/>
          <w:szCs w:val="28"/>
          <w:rtl/>
        </w:rPr>
        <w:t>الرَّبَّانِيُّونَ</w:t>
      </w:r>
      <w:r w:rsidRPr="00FD3279">
        <w:rPr>
          <w:noProof/>
          <w:sz w:val="26"/>
          <w:szCs w:val="28"/>
          <w:rtl/>
        </w:rPr>
        <w:t xml:space="preserve"> </w:t>
      </w:r>
      <w:r w:rsidRPr="00FD3279">
        <w:rPr>
          <w:rFonts w:ascii="Mosawi" w:hAnsi="Mosawi"/>
          <w:noProof/>
          <w:sz w:val="24"/>
          <w:szCs w:val="28"/>
          <w:rtl/>
        </w:rPr>
        <w:t>وَالأَحْبَارُ</w:t>
      </w:r>
      <w:r>
        <w:rPr>
          <w:rFonts w:ascii="Mosawi" w:hAnsi="Mosawi"/>
          <w:noProof/>
          <w:sz w:val="24"/>
          <w:szCs w:val="28"/>
          <w:rtl/>
        </w:rPr>
        <w:tab/>
      </w:r>
      <w:r w:rsidRPr="00FD3279">
        <w:rPr>
          <w:noProof/>
          <w:sz w:val="26"/>
          <w:szCs w:val="28"/>
          <w:rtl/>
        </w:rPr>
        <w:t xml:space="preserve"> </w:t>
      </w:r>
      <w:r w:rsidRPr="00FD3279">
        <w:rPr>
          <w:noProof/>
          <w:sz w:val="26"/>
          <w:szCs w:val="28"/>
        </w:rPr>
        <w:t>339</w:t>
      </w:r>
    </w:p>
    <w:p w:rsidR="0064415C" w:rsidRPr="00D0309B" w:rsidRDefault="0064415C" w:rsidP="0064415C">
      <w:pPr>
        <w:tabs>
          <w:tab w:val="right" w:pos="6804"/>
        </w:tabs>
        <w:ind w:firstLine="0"/>
        <w:rPr>
          <w:noProof/>
          <w:sz w:val="26"/>
          <w:szCs w:val="26"/>
        </w:rPr>
      </w:pPr>
      <w:r w:rsidRPr="00D0309B">
        <w:rPr>
          <w:noProof/>
          <w:sz w:val="26"/>
          <w:szCs w:val="26"/>
          <w:rtl/>
        </w:rPr>
        <w:t>(المائدة /</w:t>
      </w:r>
      <w:r w:rsidRPr="00D0309B">
        <w:rPr>
          <w:rFonts w:hint="cs"/>
          <w:noProof/>
          <w:sz w:val="26"/>
          <w:szCs w:val="26"/>
          <w:rtl/>
        </w:rPr>
        <w:t xml:space="preserve"> 68</w:t>
      </w:r>
      <w:r w:rsidRPr="00D0309B">
        <w:rPr>
          <w:noProof/>
          <w:sz w:val="26"/>
          <w:szCs w:val="26"/>
          <w:rtl/>
        </w:rPr>
        <w:t xml:space="preserve">) </w:t>
      </w:r>
      <w:r w:rsidRPr="00D0309B">
        <w:rPr>
          <w:rFonts w:ascii="Mosawi" w:hAnsi="Mosawi"/>
          <w:noProof/>
          <w:sz w:val="26"/>
          <w:szCs w:val="26"/>
          <w:rtl/>
        </w:rPr>
        <w:t>لَسْتُمْ</w:t>
      </w:r>
      <w:r w:rsidRPr="00D0309B">
        <w:rPr>
          <w:noProof/>
          <w:sz w:val="26"/>
          <w:szCs w:val="26"/>
          <w:rtl/>
        </w:rPr>
        <w:t xml:space="preserve"> </w:t>
      </w:r>
      <w:r w:rsidRPr="00D0309B">
        <w:rPr>
          <w:rFonts w:ascii="Mosawi" w:hAnsi="Mosawi"/>
          <w:noProof/>
          <w:sz w:val="26"/>
          <w:szCs w:val="26"/>
          <w:rtl/>
        </w:rPr>
        <w:t>عَلَى</w:t>
      </w:r>
      <w:r w:rsidRPr="00D0309B">
        <w:rPr>
          <w:noProof/>
          <w:sz w:val="26"/>
          <w:szCs w:val="26"/>
          <w:rtl/>
        </w:rPr>
        <w:t xml:space="preserve"> </w:t>
      </w:r>
      <w:r w:rsidRPr="00D0309B">
        <w:rPr>
          <w:rFonts w:ascii="Mosawi" w:hAnsi="Mosawi"/>
          <w:noProof/>
          <w:sz w:val="26"/>
          <w:szCs w:val="26"/>
          <w:rtl/>
        </w:rPr>
        <w:t>شَيْءٍ</w:t>
      </w:r>
      <w:r w:rsidRPr="00D0309B">
        <w:rPr>
          <w:noProof/>
          <w:sz w:val="26"/>
          <w:szCs w:val="26"/>
          <w:rtl/>
        </w:rPr>
        <w:t xml:space="preserve"> </w:t>
      </w:r>
      <w:r w:rsidRPr="00D0309B">
        <w:rPr>
          <w:rFonts w:ascii="Mosawi" w:hAnsi="Mosawi"/>
          <w:noProof/>
          <w:sz w:val="26"/>
          <w:szCs w:val="26"/>
          <w:rtl/>
        </w:rPr>
        <w:t>حَتَّى</w:t>
      </w:r>
      <w:r w:rsidRPr="00D0309B">
        <w:rPr>
          <w:noProof/>
          <w:sz w:val="26"/>
          <w:szCs w:val="26"/>
          <w:rtl/>
        </w:rPr>
        <w:t xml:space="preserve"> </w:t>
      </w:r>
      <w:r w:rsidRPr="00D0309B">
        <w:rPr>
          <w:rFonts w:ascii="Mosawi" w:hAnsi="Mosawi"/>
          <w:noProof/>
          <w:sz w:val="26"/>
          <w:szCs w:val="26"/>
          <w:rtl/>
        </w:rPr>
        <w:t>تُقِيمُوا</w:t>
      </w:r>
      <w:r w:rsidRPr="00D0309B">
        <w:rPr>
          <w:noProof/>
          <w:sz w:val="26"/>
          <w:szCs w:val="26"/>
          <w:rtl/>
        </w:rPr>
        <w:t xml:space="preserve"> </w:t>
      </w:r>
      <w:r w:rsidRPr="00D0309B">
        <w:rPr>
          <w:rFonts w:ascii="Mosawi" w:hAnsi="Mosawi"/>
          <w:noProof/>
          <w:sz w:val="26"/>
          <w:szCs w:val="26"/>
          <w:rtl/>
        </w:rPr>
        <w:t>التَّوْرَاةَ</w:t>
      </w:r>
      <w:r w:rsidRPr="00D0309B">
        <w:rPr>
          <w:noProof/>
          <w:sz w:val="26"/>
          <w:szCs w:val="26"/>
          <w:rtl/>
        </w:rPr>
        <w:t xml:space="preserve"> </w:t>
      </w:r>
      <w:r w:rsidRPr="00D0309B">
        <w:rPr>
          <w:rFonts w:ascii="Mosawi" w:hAnsi="Mosawi"/>
          <w:noProof/>
          <w:sz w:val="26"/>
          <w:szCs w:val="26"/>
          <w:rtl/>
        </w:rPr>
        <w:t>وَالإِنجِيلَ</w:t>
      </w:r>
      <w:r w:rsidRPr="00D0309B">
        <w:rPr>
          <w:noProof/>
          <w:sz w:val="26"/>
          <w:szCs w:val="26"/>
          <w:rtl/>
        </w:rPr>
        <w:t xml:space="preserve"> </w:t>
      </w:r>
      <w:r w:rsidRPr="00D0309B">
        <w:rPr>
          <w:rFonts w:ascii="Mosawi" w:hAnsi="Mosawi"/>
          <w:noProof/>
          <w:sz w:val="26"/>
          <w:szCs w:val="26"/>
          <w:rtl/>
        </w:rPr>
        <w:t>وَمَا</w:t>
      </w:r>
      <w:r w:rsidRPr="00D0309B">
        <w:rPr>
          <w:noProof/>
          <w:sz w:val="26"/>
          <w:szCs w:val="26"/>
          <w:rtl/>
        </w:rPr>
        <w:t xml:space="preserve"> </w:t>
      </w:r>
      <w:r w:rsidRPr="00D0309B">
        <w:rPr>
          <w:rFonts w:ascii="Mosawi" w:hAnsi="Mosawi"/>
          <w:noProof/>
          <w:sz w:val="26"/>
          <w:szCs w:val="26"/>
          <w:rtl/>
        </w:rPr>
        <w:t>أُنزِلَ</w:t>
      </w:r>
      <w:r w:rsidRPr="00D0309B">
        <w:rPr>
          <w:noProof/>
          <w:sz w:val="26"/>
          <w:szCs w:val="26"/>
          <w:rtl/>
        </w:rPr>
        <w:t xml:space="preserve"> </w:t>
      </w:r>
      <w:r w:rsidRPr="00D0309B">
        <w:rPr>
          <w:rFonts w:ascii="Mosawi" w:hAnsi="Mosawi"/>
          <w:noProof/>
          <w:sz w:val="26"/>
          <w:szCs w:val="26"/>
          <w:rtl/>
        </w:rPr>
        <w:t>إِلَيْكُمْ</w:t>
      </w:r>
      <w:r w:rsidRPr="00D0309B">
        <w:rPr>
          <w:noProof/>
          <w:sz w:val="26"/>
          <w:szCs w:val="26"/>
          <w:rtl/>
        </w:rPr>
        <w:t xml:space="preserve"> </w:t>
      </w:r>
      <w:r w:rsidRPr="00D0309B">
        <w:rPr>
          <w:rFonts w:ascii="Mosawi" w:hAnsi="Mosawi"/>
          <w:noProof/>
          <w:sz w:val="26"/>
          <w:szCs w:val="26"/>
          <w:rtl/>
        </w:rPr>
        <w:t>مِنْ</w:t>
      </w:r>
      <w:r w:rsidRPr="00D0309B">
        <w:rPr>
          <w:noProof/>
          <w:sz w:val="26"/>
          <w:szCs w:val="26"/>
          <w:rtl/>
        </w:rPr>
        <w:t xml:space="preserve"> </w:t>
      </w:r>
      <w:r w:rsidRPr="00D0309B">
        <w:rPr>
          <w:rFonts w:ascii="Mosawi" w:hAnsi="Mosawi"/>
          <w:noProof/>
          <w:sz w:val="26"/>
          <w:szCs w:val="26"/>
          <w:rtl/>
        </w:rPr>
        <w:t>رَبِّكُمْ</w:t>
      </w:r>
      <w:r w:rsidRPr="00D0309B">
        <w:rPr>
          <w:rFonts w:ascii="Mosawi" w:hAnsi="Mosawi"/>
          <w:noProof/>
          <w:sz w:val="26"/>
          <w:szCs w:val="26"/>
          <w:rtl/>
        </w:rPr>
        <w:tab/>
      </w:r>
      <w:r w:rsidRPr="00D0309B">
        <w:rPr>
          <w:noProof/>
          <w:sz w:val="26"/>
          <w:szCs w:val="26"/>
          <w:rtl/>
        </w:rPr>
        <w:t xml:space="preserve"> </w:t>
      </w:r>
      <w:r w:rsidRPr="00D0309B">
        <w:rPr>
          <w:noProof/>
          <w:sz w:val="26"/>
          <w:szCs w:val="26"/>
        </w:rPr>
        <w:t>104</w:t>
      </w:r>
    </w:p>
    <w:p w:rsidR="0064415C" w:rsidRPr="00FD3279" w:rsidRDefault="0064415C" w:rsidP="0064415C">
      <w:pPr>
        <w:tabs>
          <w:tab w:val="right" w:pos="6804"/>
        </w:tabs>
        <w:ind w:firstLine="0"/>
        <w:rPr>
          <w:noProof/>
          <w:sz w:val="26"/>
          <w:szCs w:val="28"/>
        </w:rPr>
      </w:pPr>
      <w:r w:rsidRPr="00FD3279">
        <w:rPr>
          <w:noProof/>
          <w:sz w:val="26"/>
          <w:szCs w:val="28"/>
          <w:rtl/>
        </w:rPr>
        <w:t>(الأنعام /</w:t>
      </w:r>
      <w:r>
        <w:rPr>
          <w:rFonts w:hint="cs"/>
          <w:noProof/>
          <w:sz w:val="26"/>
          <w:szCs w:val="28"/>
          <w:rtl/>
        </w:rPr>
        <w:t xml:space="preserve"> 121</w:t>
      </w:r>
      <w:r w:rsidRPr="00FD3279">
        <w:rPr>
          <w:noProof/>
          <w:sz w:val="26"/>
          <w:szCs w:val="28"/>
          <w:rtl/>
        </w:rPr>
        <w:t xml:space="preserve">) </w:t>
      </w:r>
      <w:r w:rsidRPr="00FD3279">
        <w:rPr>
          <w:rFonts w:ascii="Mosawi" w:hAnsi="Mosawi"/>
          <w:noProof/>
          <w:sz w:val="24"/>
          <w:szCs w:val="28"/>
          <w:rtl/>
        </w:rPr>
        <w:t>وَإِنَّ</w:t>
      </w:r>
      <w:r w:rsidRPr="00FD3279">
        <w:rPr>
          <w:noProof/>
          <w:sz w:val="26"/>
          <w:szCs w:val="28"/>
          <w:rtl/>
        </w:rPr>
        <w:t xml:space="preserve"> </w:t>
      </w:r>
      <w:r w:rsidRPr="00FD3279">
        <w:rPr>
          <w:rFonts w:ascii="Mosawi" w:hAnsi="Mosawi"/>
          <w:noProof/>
          <w:sz w:val="24"/>
          <w:szCs w:val="28"/>
          <w:rtl/>
        </w:rPr>
        <w:t>الشَّيَاطِينَ</w:t>
      </w:r>
      <w:r w:rsidRPr="00FD3279">
        <w:rPr>
          <w:noProof/>
          <w:sz w:val="26"/>
          <w:szCs w:val="28"/>
          <w:rtl/>
        </w:rPr>
        <w:t xml:space="preserve"> </w:t>
      </w:r>
      <w:r w:rsidRPr="00FD3279">
        <w:rPr>
          <w:rFonts w:ascii="Mosawi" w:hAnsi="Mosawi"/>
          <w:noProof/>
          <w:sz w:val="24"/>
          <w:szCs w:val="28"/>
          <w:rtl/>
        </w:rPr>
        <w:t>لَيُوحُونَ</w:t>
      </w:r>
      <w:r w:rsidRPr="00FD3279">
        <w:rPr>
          <w:noProof/>
          <w:sz w:val="26"/>
          <w:szCs w:val="28"/>
          <w:rtl/>
        </w:rPr>
        <w:t xml:space="preserve"> </w:t>
      </w:r>
      <w:r w:rsidRPr="00FD3279">
        <w:rPr>
          <w:rFonts w:ascii="Mosawi" w:hAnsi="Mosawi"/>
          <w:noProof/>
          <w:sz w:val="24"/>
          <w:szCs w:val="28"/>
          <w:rtl/>
        </w:rPr>
        <w:t>إِلَى</w:t>
      </w:r>
      <w:r w:rsidRPr="00FD3279">
        <w:rPr>
          <w:noProof/>
          <w:sz w:val="26"/>
          <w:szCs w:val="28"/>
          <w:rtl/>
        </w:rPr>
        <w:t xml:space="preserve"> </w:t>
      </w:r>
      <w:r w:rsidRPr="00FD3279">
        <w:rPr>
          <w:rFonts w:ascii="Mosawi" w:hAnsi="Mosawi"/>
          <w:noProof/>
          <w:sz w:val="24"/>
          <w:szCs w:val="28"/>
          <w:rtl/>
        </w:rPr>
        <w:t>أَوْلِيَائِهِمْ</w:t>
      </w:r>
      <w:r w:rsidRPr="00FD3279">
        <w:rPr>
          <w:noProof/>
          <w:sz w:val="26"/>
          <w:szCs w:val="28"/>
          <w:rtl/>
        </w:rPr>
        <w:t xml:space="preserve"> </w:t>
      </w:r>
      <w:r w:rsidRPr="00FD3279">
        <w:rPr>
          <w:rFonts w:ascii="Mosawi" w:hAnsi="Mosawi"/>
          <w:noProof/>
          <w:sz w:val="24"/>
          <w:szCs w:val="28"/>
          <w:rtl/>
        </w:rPr>
        <w:t>لِيُجَادِلُوكُمْ</w:t>
      </w:r>
      <w:r>
        <w:rPr>
          <w:rFonts w:ascii="Mosawi" w:hAnsi="Mosawi"/>
          <w:noProof/>
          <w:sz w:val="24"/>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(الأعراف /</w:t>
      </w:r>
      <w:r>
        <w:rPr>
          <w:rFonts w:hint="cs"/>
          <w:noProof/>
          <w:sz w:val="26"/>
          <w:szCs w:val="28"/>
          <w:rtl/>
        </w:rPr>
        <w:t>27</w:t>
      </w:r>
      <w:r w:rsidRPr="00FD3279">
        <w:rPr>
          <w:noProof/>
          <w:sz w:val="26"/>
          <w:szCs w:val="28"/>
          <w:rtl/>
        </w:rPr>
        <w:t xml:space="preserve">) </w:t>
      </w:r>
      <w:r w:rsidRPr="00FD3279">
        <w:rPr>
          <w:rFonts w:ascii="Mosawi" w:hAnsi="Mosawi"/>
          <w:noProof/>
          <w:sz w:val="24"/>
          <w:szCs w:val="28"/>
          <w:rtl/>
        </w:rPr>
        <w:t>إِنَّا</w:t>
      </w:r>
      <w:r w:rsidRPr="00FD3279">
        <w:rPr>
          <w:noProof/>
          <w:sz w:val="26"/>
          <w:szCs w:val="28"/>
          <w:rtl/>
        </w:rPr>
        <w:t xml:space="preserve"> </w:t>
      </w:r>
      <w:r w:rsidRPr="00FD3279">
        <w:rPr>
          <w:rFonts w:ascii="Mosawi" w:hAnsi="Mosawi"/>
          <w:noProof/>
          <w:sz w:val="24"/>
          <w:szCs w:val="28"/>
          <w:rtl/>
        </w:rPr>
        <w:t>جَعَلْنَا</w:t>
      </w:r>
      <w:r w:rsidRPr="00FD3279">
        <w:rPr>
          <w:noProof/>
          <w:sz w:val="26"/>
          <w:szCs w:val="28"/>
          <w:rtl/>
        </w:rPr>
        <w:t xml:space="preserve"> </w:t>
      </w:r>
      <w:r w:rsidRPr="00FD3279">
        <w:rPr>
          <w:rFonts w:ascii="Mosawi" w:hAnsi="Mosawi"/>
          <w:noProof/>
          <w:sz w:val="24"/>
          <w:szCs w:val="28"/>
          <w:rtl/>
        </w:rPr>
        <w:t>الشَّي</w:t>
      </w:r>
      <w:r w:rsidRPr="00FD3279">
        <w:rPr>
          <w:noProof/>
          <w:sz w:val="26"/>
          <w:szCs w:val="28"/>
          <w:rtl/>
        </w:rPr>
        <w:t>َاطِينَ أَوْلِيَاءَ لِلَّذِينَ لاَ يُؤْمِنُونَ</w:t>
      </w:r>
      <w:r>
        <w:rPr>
          <w:noProof/>
          <w:sz w:val="26"/>
          <w:szCs w:val="28"/>
          <w:rtl/>
        </w:rPr>
        <w:tab/>
      </w:r>
      <w:r w:rsidRPr="00FD3279">
        <w:rPr>
          <w:noProof/>
          <w:sz w:val="26"/>
          <w:szCs w:val="28"/>
          <w:rtl/>
        </w:rPr>
        <w:t xml:space="preserve"> </w:t>
      </w:r>
      <w:r w:rsidRPr="00FD3279">
        <w:rPr>
          <w:noProof/>
          <w:sz w:val="26"/>
          <w:szCs w:val="28"/>
        </w:rPr>
        <w:t>101</w:t>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tl/>
        </w:rPr>
      </w:pPr>
      <w:r w:rsidRPr="00FD3279">
        <w:rPr>
          <w:noProof/>
          <w:sz w:val="26"/>
          <w:szCs w:val="28"/>
          <w:rtl/>
        </w:rPr>
        <w:t>(الأنفال /</w:t>
      </w:r>
      <w:r>
        <w:rPr>
          <w:rFonts w:hint="cs"/>
          <w:noProof/>
          <w:sz w:val="26"/>
          <w:szCs w:val="28"/>
          <w:rtl/>
        </w:rPr>
        <w:t xml:space="preserve"> 34</w:t>
      </w:r>
      <w:r w:rsidRPr="00FD3279">
        <w:rPr>
          <w:noProof/>
          <w:sz w:val="26"/>
          <w:szCs w:val="28"/>
          <w:rtl/>
        </w:rPr>
        <w:t xml:space="preserve">) </w:t>
      </w:r>
      <w:r w:rsidRPr="00FD3279">
        <w:rPr>
          <w:rFonts w:ascii="Mosawi" w:hAnsi="Mosawi"/>
          <w:noProof/>
          <w:sz w:val="24"/>
          <w:szCs w:val="28"/>
          <w:rtl/>
        </w:rPr>
        <w:t>إِنْ</w:t>
      </w:r>
      <w:r w:rsidRPr="00FD3279">
        <w:rPr>
          <w:noProof/>
          <w:sz w:val="26"/>
          <w:szCs w:val="28"/>
          <w:rtl/>
        </w:rPr>
        <w:t xml:space="preserve"> </w:t>
      </w:r>
      <w:r w:rsidRPr="00FD3279">
        <w:rPr>
          <w:rFonts w:ascii="Mosawi" w:hAnsi="Mosawi"/>
          <w:noProof/>
          <w:sz w:val="24"/>
          <w:szCs w:val="28"/>
          <w:rtl/>
        </w:rPr>
        <w:t>أَوْلِيَاؤُهُ</w:t>
      </w:r>
      <w:r w:rsidRPr="00FD3279">
        <w:rPr>
          <w:noProof/>
          <w:sz w:val="26"/>
          <w:szCs w:val="28"/>
          <w:rtl/>
        </w:rPr>
        <w:t xml:space="preserve"> </w:t>
      </w:r>
      <w:r w:rsidRPr="00FD3279">
        <w:rPr>
          <w:rFonts w:ascii="Mosawi" w:hAnsi="Mosawi"/>
          <w:noProof/>
          <w:sz w:val="24"/>
          <w:szCs w:val="28"/>
          <w:rtl/>
        </w:rPr>
        <w:t>إِلاَّ</w:t>
      </w:r>
      <w:r w:rsidRPr="00FD3279">
        <w:rPr>
          <w:noProof/>
          <w:sz w:val="26"/>
          <w:szCs w:val="28"/>
          <w:rtl/>
        </w:rPr>
        <w:t xml:space="preserve"> </w:t>
      </w:r>
      <w:r w:rsidRPr="00FD3279">
        <w:rPr>
          <w:rFonts w:ascii="Mosawi" w:hAnsi="Mosawi"/>
          <w:noProof/>
          <w:sz w:val="24"/>
          <w:szCs w:val="28"/>
          <w:rtl/>
        </w:rPr>
        <w:t>الْمُتَّقُونَ</w:t>
      </w:r>
      <w:r>
        <w:rPr>
          <w:noProof/>
          <w:sz w:val="26"/>
          <w:szCs w:val="28"/>
          <w:rtl/>
        </w:rPr>
        <w:tab/>
      </w:r>
      <w:r w:rsidRPr="00FD3279">
        <w:rPr>
          <w:noProof/>
          <w:sz w:val="26"/>
          <w:szCs w:val="28"/>
          <w:rtl/>
        </w:rPr>
        <w:t xml:space="preserve"> </w:t>
      </w:r>
      <w:r w:rsidRPr="00FD3279">
        <w:rPr>
          <w:noProof/>
          <w:sz w:val="26"/>
          <w:szCs w:val="28"/>
        </w:rPr>
        <w:t>90</w:t>
      </w:r>
    </w:p>
    <w:p w:rsidR="0064415C" w:rsidRPr="00FD3279" w:rsidRDefault="0064415C" w:rsidP="0064415C">
      <w:pPr>
        <w:tabs>
          <w:tab w:val="right" w:pos="6804"/>
        </w:tabs>
        <w:ind w:firstLine="0"/>
        <w:rPr>
          <w:noProof/>
          <w:sz w:val="26"/>
          <w:szCs w:val="28"/>
        </w:rPr>
      </w:pPr>
      <w:r w:rsidRPr="00FD3279">
        <w:rPr>
          <w:noProof/>
          <w:sz w:val="26"/>
          <w:szCs w:val="28"/>
          <w:rtl/>
        </w:rPr>
        <w:t>(الأنفال /</w:t>
      </w:r>
      <w:r>
        <w:rPr>
          <w:rFonts w:hint="cs"/>
          <w:noProof/>
          <w:sz w:val="26"/>
          <w:szCs w:val="28"/>
          <w:rtl/>
        </w:rPr>
        <w:t xml:space="preserve"> 40</w:t>
      </w:r>
      <w:r w:rsidRPr="00FD3279">
        <w:rPr>
          <w:noProof/>
          <w:sz w:val="26"/>
          <w:szCs w:val="28"/>
          <w:rtl/>
        </w:rPr>
        <w:t xml:space="preserve">) </w:t>
      </w:r>
      <w:r w:rsidRPr="00FD3279">
        <w:rPr>
          <w:rFonts w:ascii="Mosawi" w:hAnsi="Mosawi"/>
          <w:noProof/>
          <w:sz w:val="24"/>
          <w:szCs w:val="28"/>
          <w:rtl/>
        </w:rPr>
        <w:t>نِعْمَ</w:t>
      </w:r>
      <w:r w:rsidRPr="00FD3279">
        <w:rPr>
          <w:noProof/>
          <w:sz w:val="26"/>
          <w:szCs w:val="28"/>
          <w:rtl/>
        </w:rPr>
        <w:t xml:space="preserve"> </w:t>
      </w:r>
      <w:r w:rsidRPr="00FD3279">
        <w:rPr>
          <w:rFonts w:ascii="Mosawi" w:hAnsi="Mosawi"/>
          <w:noProof/>
          <w:sz w:val="24"/>
          <w:szCs w:val="28"/>
          <w:rtl/>
        </w:rPr>
        <w:t>الْمَوْلَى</w:t>
      </w:r>
      <w:r w:rsidRPr="00FD3279">
        <w:rPr>
          <w:noProof/>
          <w:sz w:val="26"/>
          <w:szCs w:val="28"/>
          <w:rtl/>
        </w:rPr>
        <w:t xml:space="preserve"> </w:t>
      </w:r>
      <w:r w:rsidRPr="00FD3279">
        <w:rPr>
          <w:rFonts w:ascii="Mosawi" w:hAnsi="Mosawi"/>
          <w:noProof/>
          <w:sz w:val="24"/>
          <w:szCs w:val="28"/>
          <w:rtl/>
        </w:rPr>
        <w:t>وَنِعْمَ</w:t>
      </w:r>
      <w:r w:rsidRPr="00FD3279">
        <w:rPr>
          <w:noProof/>
          <w:sz w:val="26"/>
          <w:szCs w:val="28"/>
          <w:rtl/>
        </w:rPr>
        <w:t xml:space="preserve"> </w:t>
      </w:r>
      <w:r w:rsidRPr="00FD3279">
        <w:rPr>
          <w:rFonts w:ascii="Mosawi" w:hAnsi="Mosawi"/>
          <w:noProof/>
          <w:sz w:val="24"/>
          <w:szCs w:val="28"/>
          <w:rtl/>
        </w:rPr>
        <w:t>النَّصِيرُ</w:t>
      </w:r>
      <w:r>
        <w:rPr>
          <w:rFonts w:ascii="Mosawi" w:hAnsi="Mosawi"/>
          <w:noProof/>
          <w:sz w:val="24"/>
          <w:szCs w:val="28"/>
          <w:rtl/>
        </w:rPr>
        <w:tab/>
      </w:r>
      <w:r w:rsidRPr="00FD3279">
        <w:rPr>
          <w:noProof/>
          <w:sz w:val="26"/>
          <w:szCs w:val="28"/>
          <w:rtl/>
        </w:rPr>
        <w:t xml:space="preserve"> </w:t>
      </w:r>
      <w:r w:rsidRPr="00FD3279">
        <w:rPr>
          <w:noProof/>
          <w:sz w:val="26"/>
          <w:szCs w:val="28"/>
        </w:rPr>
        <w:t>89</w:t>
      </w:r>
    </w:p>
    <w:p w:rsidR="0064415C" w:rsidRPr="00FD3279" w:rsidRDefault="0064415C" w:rsidP="0064415C">
      <w:pPr>
        <w:tabs>
          <w:tab w:val="right" w:pos="6804"/>
        </w:tabs>
        <w:ind w:firstLine="0"/>
        <w:rPr>
          <w:noProof/>
          <w:sz w:val="26"/>
          <w:szCs w:val="28"/>
        </w:rPr>
      </w:pPr>
      <w:r w:rsidRPr="00FD3279">
        <w:rPr>
          <w:noProof/>
          <w:sz w:val="26"/>
          <w:szCs w:val="28"/>
          <w:rtl/>
        </w:rPr>
        <w:t>(الأنفال /</w:t>
      </w:r>
      <w:r>
        <w:rPr>
          <w:rFonts w:hint="cs"/>
          <w:noProof/>
          <w:sz w:val="26"/>
          <w:szCs w:val="28"/>
          <w:rtl/>
        </w:rPr>
        <w:t xml:space="preserve"> 60</w:t>
      </w:r>
      <w:r w:rsidRPr="00FD3279">
        <w:rPr>
          <w:noProof/>
          <w:sz w:val="26"/>
          <w:szCs w:val="28"/>
          <w:rtl/>
        </w:rPr>
        <w:t xml:space="preserve">) </w:t>
      </w:r>
      <w:r w:rsidRPr="00FD3279">
        <w:rPr>
          <w:rFonts w:ascii="Mosawi" w:hAnsi="Mosawi"/>
          <w:noProof/>
          <w:sz w:val="24"/>
          <w:szCs w:val="28"/>
          <w:rtl/>
        </w:rPr>
        <w:t>وَأَعِدُّوا</w:t>
      </w:r>
      <w:r w:rsidRPr="00FD3279">
        <w:rPr>
          <w:noProof/>
          <w:sz w:val="26"/>
          <w:szCs w:val="28"/>
          <w:rtl/>
        </w:rPr>
        <w:t xml:space="preserve"> </w:t>
      </w:r>
      <w:r w:rsidRPr="00FD3279">
        <w:rPr>
          <w:rFonts w:ascii="Mosawi" w:hAnsi="Mosawi"/>
          <w:noProof/>
          <w:sz w:val="24"/>
          <w:szCs w:val="28"/>
          <w:rtl/>
        </w:rPr>
        <w:t>لَهُمْ</w:t>
      </w:r>
      <w:r w:rsidRPr="00FD3279">
        <w:rPr>
          <w:noProof/>
          <w:sz w:val="26"/>
          <w:szCs w:val="28"/>
          <w:rtl/>
        </w:rPr>
        <w:t xml:space="preserve"> </w:t>
      </w:r>
      <w:r w:rsidRPr="00FD3279">
        <w:rPr>
          <w:rFonts w:ascii="Mosawi" w:hAnsi="Mosawi"/>
          <w:noProof/>
          <w:sz w:val="24"/>
          <w:szCs w:val="28"/>
          <w:rtl/>
        </w:rPr>
        <w:t>مَا</w:t>
      </w:r>
      <w:r w:rsidRPr="00FD3279">
        <w:rPr>
          <w:noProof/>
          <w:sz w:val="26"/>
          <w:szCs w:val="28"/>
          <w:rtl/>
        </w:rPr>
        <w:t xml:space="preserve"> </w:t>
      </w:r>
      <w:r w:rsidRPr="00FD3279">
        <w:rPr>
          <w:rFonts w:ascii="Mosawi" w:hAnsi="Mosawi"/>
          <w:noProof/>
          <w:sz w:val="24"/>
          <w:szCs w:val="28"/>
          <w:rtl/>
        </w:rPr>
        <w:t>اسْتَطَعْتُمْ</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قُوَّةٍ</w:t>
      </w:r>
      <w:r w:rsidRPr="00FD3279">
        <w:rPr>
          <w:noProof/>
          <w:sz w:val="26"/>
          <w:szCs w:val="28"/>
          <w:rtl/>
        </w:rPr>
        <w:t xml:space="preserve"> </w:t>
      </w:r>
      <w:r w:rsidRPr="00FD3279">
        <w:rPr>
          <w:rFonts w:ascii="Mosawi" w:hAnsi="Mosawi"/>
          <w:noProof/>
          <w:sz w:val="24"/>
          <w:szCs w:val="28"/>
          <w:rtl/>
        </w:rPr>
        <w:t>وَمِنْ</w:t>
      </w:r>
      <w:r w:rsidRPr="00FD3279">
        <w:rPr>
          <w:noProof/>
          <w:sz w:val="26"/>
          <w:szCs w:val="28"/>
          <w:rtl/>
        </w:rPr>
        <w:t xml:space="preserve"> </w:t>
      </w:r>
      <w:r w:rsidRPr="00FD3279">
        <w:rPr>
          <w:rFonts w:ascii="Mosawi" w:hAnsi="Mosawi"/>
          <w:noProof/>
          <w:sz w:val="24"/>
          <w:szCs w:val="28"/>
          <w:rtl/>
        </w:rPr>
        <w:t>رِبَاطِ</w:t>
      </w:r>
      <w:r w:rsidRPr="00FD3279">
        <w:rPr>
          <w:noProof/>
          <w:sz w:val="26"/>
          <w:szCs w:val="28"/>
          <w:rtl/>
        </w:rPr>
        <w:t xml:space="preserve"> </w:t>
      </w:r>
      <w:r w:rsidRPr="00FD3279">
        <w:rPr>
          <w:rFonts w:ascii="Mosawi" w:hAnsi="Mosawi"/>
          <w:noProof/>
          <w:sz w:val="24"/>
          <w:szCs w:val="28"/>
          <w:rtl/>
        </w:rPr>
        <w:t>الْ</w:t>
      </w:r>
      <w:r w:rsidRPr="00FD3279">
        <w:rPr>
          <w:noProof/>
          <w:sz w:val="26"/>
          <w:szCs w:val="28"/>
          <w:rtl/>
        </w:rPr>
        <w:t>خَيْلِ تُرْهِبُونَ بِهِ</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412</w:t>
      </w:r>
    </w:p>
    <w:p w:rsidR="0064415C" w:rsidRPr="00FD3279" w:rsidRDefault="0064415C" w:rsidP="0064415C">
      <w:pPr>
        <w:tabs>
          <w:tab w:val="right" w:pos="6804"/>
        </w:tabs>
        <w:ind w:firstLine="0"/>
        <w:rPr>
          <w:noProof/>
          <w:sz w:val="26"/>
          <w:szCs w:val="28"/>
        </w:rPr>
      </w:pPr>
      <w:r w:rsidRPr="00FD3279">
        <w:rPr>
          <w:noProof/>
          <w:sz w:val="26"/>
          <w:szCs w:val="28"/>
          <w:rtl/>
        </w:rPr>
        <w:t>(الأنفال /</w:t>
      </w:r>
      <w:r>
        <w:rPr>
          <w:rFonts w:hint="cs"/>
          <w:noProof/>
          <w:sz w:val="26"/>
          <w:szCs w:val="28"/>
          <w:rtl/>
        </w:rPr>
        <w:t xml:space="preserve"> 72</w:t>
      </w:r>
      <w:r w:rsidRPr="00FD3279">
        <w:rPr>
          <w:noProof/>
          <w:sz w:val="26"/>
          <w:szCs w:val="28"/>
          <w:rtl/>
        </w:rPr>
        <w:t xml:space="preserve">) </w:t>
      </w:r>
      <w:r w:rsidRPr="00FD3279">
        <w:rPr>
          <w:rFonts w:ascii="Mosawi" w:hAnsi="Mosawi"/>
          <w:noProof/>
          <w:sz w:val="24"/>
          <w:szCs w:val="28"/>
          <w:rtl/>
        </w:rPr>
        <w:t>إِنَّ</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آمَنُوا</w:t>
      </w:r>
      <w:r w:rsidRPr="00FD3279">
        <w:rPr>
          <w:noProof/>
          <w:sz w:val="26"/>
          <w:szCs w:val="28"/>
          <w:rtl/>
        </w:rPr>
        <w:t xml:space="preserve"> </w:t>
      </w:r>
      <w:r w:rsidRPr="00FD3279">
        <w:rPr>
          <w:rFonts w:ascii="Mosawi" w:hAnsi="Mosawi"/>
          <w:noProof/>
          <w:sz w:val="24"/>
          <w:szCs w:val="28"/>
          <w:rtl/>
        </w:rPr>
        <w:t>وَهَاجَرُوا</w:t>
      </w:r>
      <w:r w:rsidRPr="00FD3279">
        <w:rPr>
          <w:noProof/>
          <w:sz w:val="26"/>
          <w:szCs w:val="28"/>
          <w:rtl/>
        </w:rPr>
        <w:t xml:space="preserve"> </w:t>
      </w:r>
      <w:r w:rsidRPr="00FD3279">
        <w:rPr>
          <w:rFonts w:ascii="Mosawi" w:hAnsi="Mosawi"/>
          <w:noProof/>
          <w:sz w:val="24"/>
          <w:szCs w:val="28"/>
          <w:rtl/>
        </w:rPr>
        <w:t>وَجَاهَدُوا</w:t>
      </w:r>
      <w:r w:rsidRPr="00FD3279">
        <w:rPr>
          <w:noProof/>
          <w:sz w:val="26"/>
          <w:szCs w:val="28"/>
          <w:rtl/>
        </w:rPr>
        <w:t xml:space="preserve"> </w:t>
      </w:r>
      <w:r w:rsidRPr="00FD3279">
        <w:rPr>
          <w:rFonts w:ascii="Mosawi" w:hAnsi="Mosawi"/>
          <w:noProof/>
          <w:sz w:val="24"/>
          <w:szCs w:val="28"/>
          <w:rtl/>
        </w:rPr>
        <w:t>بِأَمْوَالِهِمْ</w:t>
      </w:r>
      <w:r w:rsidRPr="00FD3279">
        <w:rPr>
          <w:noProof/>
          <w:sz w:val="26"/>
          <w:szCs w:val="28"/>
          <w:rtl/>
        </w:rPr>
        <w:t xml:space="preserve"> </w:t>
      </w:r>
      <w:r w:rsidRPr="00FD3279">
        <w:rPr>
          <w:rFonts w:ascii="Mosawi" w:hAnsi="Mosawi"/>
          <w:noProof/>
          <w:sz w:val="24"/>
          <w:szCs w:val="28"/>
          <w:rtl/>
        </w:rPr>
        <w:t>وَأَنفُسِهِمْ</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101</w:t>
      </w:r>
    </w:p>
    <w:p w:rsidR="0064415C" w:rsidRPr="00FD3279" w:rsidRDefault="0064415C" w:rsidP="0064415C">
      <w:pPr>
        <w:tabs>
          <w:tab w:val="right" w:pos="6804"/>
        </w:tabs>
        <w:ind w:firstLine="0"/>
        <w:rPr>
          <w:noProof/>
          <w:sz w:val="26"/>
          <w:szCs w:val="28"/>
        </w:rPr>
      </w:pPr>
      <w:r w:rsidRPr="00FD3279">
        <w:rPr>
          <w:noProof/>
          <w:sz w:val="26"/>
          <w:szCs w:val="28"/>
          <w:rtl/>
        </w:rPr>
        <w:t>(التوبة /</w:t>
      </w:r>
      <w:r>
        <w:rPr>
          <w:rFonts w:hint="cs"/>
          <w:noProof/>
          <w:sz w:val="26"/>
          <w:szCs w:val="28"/>
          <w:rtl/>
        </w:rPr>
        <w:t xml:space="preserve"> 71</w:t>
      </w:r>
      <w:r w:rsidRPr="00FD3279">
        <w:rPr>
          <w:noProof/>
          <w:sz w:val="26"/>
          <w:szCs w:val="28"/>
          <w:rtl/>
        </w:rPr>
        <w:t xml:space="preserve">) </w:t>
      </w:r>
      <w:r w:rsidRPr="00FD3279">
        <w:rPr>
          <w:rFonts w:ascii="Mosawi" w:hAnsi="Mosawi"/>
          <w:noProof/>
          <w:sz w:val="24"/>
          <w:szCs w:val="28"/>
          <w:rtl/>
        </w:rPr>
        <w:t>وَالْمُؤْمِنُونَ</w:t>
      </w:r>
      <w:r w:rsidRPr="00FD3279">
        <w:rPr>
          <w:noProof/>
          <w:sz w:val="26"/>
          <w:szCs w:val="28"/>
          <w:rtl/>
        </w:rPr>
        <w:t xml:space="preserve"> </w:t>
      </w:r>
      <w:r w:rsidRPr="00FD3279">
        <w:rPr>
          <w:rFonts w:ascii="Mosawi" w:hAnsi="Mosawi"/>
          <w:noProof/>
          <w:sz w:val="24"/>
          <w:szCs w:val="28"/>
          <w:rtl/>
        </w:rPr>
        <w:t>وَالْمُؤْمِنَاتُ</w:t>
      </w:r>
      <w:r w:rsidRPr="00FD3279">
        <w:rPr>
          <w:noProof/>
          <w:sz w:val="26"/>
          <w:szCs w:val="28"/>
          <w:rtl/>
        </w:rPr>
        <w:t xml:space="preserve"> </w:t>
      </w:r>
      <w:r w:rsidRPr="00FD3279">
        <w:rPr>
          <w:rFonts w:ascii="Mosawi" w:hAnsi="Mosawi"/>
          <w:noProof/>
          <w:sz w:val="24"/>
          <w:szCs w:val="28"/>
          <w:rtl/>
        </w:rPr>
        <w:t>بَعْضُهُمْ</w:t>
      </w:r>
      <w:r w:rsidRPr="00FD3279">
        <w:rPr>
          <w:noProof/>
          <w:sz w:val="26"/>
          <w:szCs w:val="28"/>
          <w:rtl/>
        </w:rPr>
        <w:t xml:space="preserve"> </w:t>
      </w:r>
      <w:r w:rsidRPr="00FD3279">
        <w:rPr>
          <w:rFonts w:ascii="Mosawi" w:hAnsi="Mosawi"/>
          <w:noProof/>
          <w:sz w:val="24"/>
          <w:szCs w:val="28"/>
          <w:rtl/>
        </w:rPr>
        <w:t>أَوْلِيَاءُ</w:t>
      </w:r>
      <w:r w:rsidRPr="00FD3279">
        <w:rPr>
          <w:noProof/>
          <w:sz w:val="26"/>
          <w:szCs w:val="28"/>
          <w:rtl/>
        </w:rPr>
        <w:t xml:space="preserve"> </w:t>
      </w:r>
      <w:r w:rsidRPr="00FD3279">
        <w:rPr>
          <w:rFonts w:ascii="Mosawi" w:hAnsi="Mosawi"/>
          <w:noProof/>
          <w:sz w:val="24"/>
          <w:szCs w:val="28"/>
          <w:rtl/>
        </w:rPr>
        <w:t>بَعْضٍ</w:t>
      </w:r>
      <w:r w:rsidRPr="00FD3279">
        <w:rPr>
          <w:noProof/>
          <w:sz w:val="26"/>
          <w:szCs w:val="28"/>
          <w:rtl/>
        </w:rPr>
        <w:t xml:space="preserve"> </w:t>
      </w:r>
      <w:r w:rsidRPr="00FD3279">
        <w:rPr>
          <w:rFonts w:ascii="Mosawi" w:hAnsi="Mosawi"/>
          <w:noProof/>
          <w:sz w:val="24"/>
          <w:szCs w:val="28"/>
          <w:rtl/>
        </w:rPr>
        <w:t>يَأْمُرُونَ</w:t>
      </w:r>
      <w:r w:rsidRPr="00FD3279">
        <w:rPr>
          <w:noProof/>
          <w:sz w:val="26"/>
          <w:szCs w:val="28"/>
          <w:rtl/>
        </w:rPr>
        <w:t xml:space="preserve"> </w:t>
      </w:r>
      <w:r w:rsidRPr="00FD3279">
        <w:rPr>
          <w:rFonts w:ascii="Mosawi" w:hAnsi="Mosawi"/>
          <w:noProof/>
          <w:sz w:val="24"/>
          <w:szCs w:val="28"/>
          <w:rtl/>
        </w:rPr>
        <w:t>بِالْمَعْرُوفِ</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99</w:t>
      </w:r>
    </w:p>
    <w:p w:rsidR="0064415C" w:rsidRPr="00FD3279" w:rsidRDefault="0064415C" w:rsidP="0064415C">
      <w:pPr>
        <w:tabs>
          <w:tab w:val="right" w:pos="6804"/>
        </w:tabs>
        <w:ind w:firstLine="0"/>
        <w:rPr>
          <w:noProof/>
          <w:sz w:val="26"/>
          <w:szCs w:val="28"/>
        </w:rPr>
      </w:pPr>
      <w:r w:rsidRPr="00FD3279">
        <w:rPr>
          <w:noProof/>
          <w:sz w:val="26"/>
          <w:szCs w:val="28"/>
          <w:rtl/>
        </w:rPr>
        <w:t>(التوبة /</w:t>
      </w:r>
      <w:r>
        <w:rPr>
          <w:rFonts w:hint="cs"/>
          <w:noProof/>
          <w:sz w:val="26"/>
          <w:szCs w:val="28"/>
          <w:rtl/>
        </w:rPr>
        <w:t xml:space="preserve"> 74</w:t>
      </w:r>
      <w:r w:rsidRPr="00FD3279">
        <w:rPr>
          <w:noProof/>
          <w:sz w:val="26"/>
          <w:szCs w:val="28"/>
          <w:rtl/>
        </w:rPr>
        <w:t>) وَمَا لَهُمْ فِي الأَرْضِ مِنْ وَلِيٍّ وَلاَ نَصِيرٍ</w:t>
      </w:r>
      <w:r>
        <w:rPr>
          <w:noProof/>
          <w:sz w:val="26"/>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 xml:space="preserve">(التوبة / </w:t>
      </w:r>
      <w:r>
        <w:rPr>
          <w:rFonts w:hint="cs"/>
          <w:noProof/>
          <w:sz w:val="26"/>
          <w:szCs w:val="28"/>
          <w:rtl/>
        </w:rPr>
        <w:t>103</w:t>
      </w:r>
      <w:r w:rsidRPr="00FD3279">
        <w:rPr>
          <w:noProof/>
          <w:sz w:val="26"/>
          <w:szCs w:val="28"/>
          <w:rtl/>
        </w:rPr>
        <w:t xml:space="preserve">) </w:t>
      </w:r>
      <w:r w:rsidRPr="00FD3279">
        <w:rPr>
          <w:rFonts w:ascii="Mosawi" w:hAnsi="Mosawi"/>
          <w:noProof/>
          <w:sz w:val="24"/>
          <w:szCs w:val="28"/>
          <w:rtl/>
        </w:rPr>
        <w:t>خُذْ</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أَمْوَالِهِمْ</w:t>
      </w:r>
      <w:r w:rsidRPr="00FD3279">
        <w:rPr>
          <w:noProof/>
          <w:sz w:val="26"/>
          <w:szCs w:val="28"/>
          <w:rtl/>
        </w:rPr>
        <w:t xml:space="preserve"> </w:t>
      </w:r>
      <w:r w:rsidRPr="00FD3279">
        <w:rPr>
          <w:rFonts w:ascii="Mosawi" w:hAnsi="Mosawi"/>
          <w:noProof/>
          <w:sz w:val="24"/>
          <w:szCs w:val="28"/>
          <w:rtl/>
        </w:rPr>
        <w:t>صَدَقَةً</w:t>
      </w:r>
      <w:r>
        <w:rPr>
          <w:rFonts w:ascii="Mosawi" w:hAnsi="Mosawi"/>
          <w:noProof/>
          <w:sz w:val="24"/>
          <w:szCs w:val="28"/>
          <w:rtl/>
        </w:rPr>
        <w:tab/>
      </w:r>
      <w:r w:rsidRPr="00FD3279">
        <w:rPr>
          <w:noProof/>
          <w:sz w:val="26"/>
          <w:szCs w:val="28"/>
          <w:rtl/>
        </w:rPr>
        <w:t xml:space="preserve"> </w:t>
      </w:r>
      <w:r w:rsidRPr="00FD3279">
        <w:rPr>
          <w:noProof/>
          <w:sz w:val="26"/>
          <w:szCs w:val="28"/>
        </w:rPr>
        <w:t>412</w:t>
      </w:r>
    </w:p>
    <w:p w:rsidR="0064415C" w:rsidRPr="00FD3279" w:rsidRDefault="0064415C" w:rsidP="0064415C">
      <w:pPr>
        <w:tabs>
          <w:tab w:val="right" w:pos="6804"/>
        </w:tabs>
        <w:ind w:firstLine="0"/>
        <w:rPr>
          <w:noProof/>
          <w:sz w:val="26"/>
          <w:szCs w:val="28"/>
        </w:rPr>
      </w:pPr>
      <w:r w:rsidRPr="00FD3279">
        <w:rPr>
          <w:noProof/>
          <w:sz w:val="26"/>
          <w:szCs w:val="28"/>
          <w:rtl/>
        </w:rPr>
        <w:t>(التوبة /</w:t>
      </w:r>
      <w:r>
        <w:rPr>
          <w:rFonts w:hint="cs"/>
          <w:noProof/>
          <w:sz w:val="26"/>
          <w:szCs w:val="28"/>
          <w:rtl/>
        </w:rPr>
        <w:t xml:space="preserve"> 123</w:t>
      </w:r>
      <w:r w:rsidRPr="00FD3279">
        <w:rPr>
          <w:noProof/>
          <w:sz w:val="26"/>
          <w:szCs w:val="28"/>
          <w:rtl/>
        </w:rPr>
        <w:t xml:space="preserve">) </w:t>
      </w:r>
      <w:r w:rsidRPr="00FD3279">
        <w:rPr>
          <w:rFonts w:ascii="Mosawi" w:hAnsi="Mosawi"/>
          <w:noProof/>
          <w:sz w:val="24"/>
          <w:szCs w:val="28"/>
          <w:rtl/>
        </w:rPr>
        <w:t>يَا</w:t>
      </w:r>
      <w:r w:rsidRPr="00FD3279">
        <w:rPr>
          <w:noProof/>
          <w:sz w:val="26"/>
          <w:szCs w:val="28"/>
          <w:rtl/>
        </w:rPr>
        <w:t xml:space="preserve"> </w:t>
      </w:r>
      <w:r w:rsidRPr="00FD3279">
        <w:rPr>
          <w:rFonts w:ascii="Mosawi" w:hAnsi="Mosawi"/>
          <w:noProof/>
          <w:sz w:val="24"/>
          <w:szCs w:val="28"/>
          <w:rtl/>
        </w:rPr>
        <w:t>أَيُّهَا</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آمَنُوا</w:t>
      </w:r>
      <w:r w:rsidRPr="00FD3279">
        <w:rPr>
          <w:noProof/>
          <w:sz w:val="26"/>
          <w:szCs w:val="28"/>
          <w:rtl/>
        </w:rPr>
        <w:t xml:space="preserve"> </w:t>
      </w:r>
      <w:r w:rsidRPr="00FD3279">
        <w:rPr>
          <w:rFonts w:ascii="Mosawi" w:hAnsi="Mosawi"/>
          <w:noProof/>
          <w:sz w:val="24"/>
          <w:szCs w:val="28"/>
          <w:rtl/>
        </w:rPr>
        <w:t>قَاتِلُوا</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يَلُونَكُمْ</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الْكُفَّارِ</w:t>
      </w:r>
      <w:r>
        <w:rPr>
          <w:rFonts w:ascii="Mosawi" w:hAnsi="Mosawi"/>
          <w:noProof/>
          <w:sz w:val="24"/>
          <w:szCs w:val="28"/>
          <w:rtl/>
        </w:rPr>
        <w:tab/>
      </w:r>
      <w:r w:rsidRPr="00FD3279">
        <w:rPr>
          <w:noProof/>
          <w:sz w:val="26"/>
          <w:szCs w:val="28"/>
          <w:rtl/>
        </w:rPr>
        <w:t xml:space="preserve"> </w:t>
      </w:r>
      <w:r w:rsidRPr="00FD3279">
        <w:rPr>
          <w:noProof/>
          <w:sz w:val="26"/>
          <w:szCs w:val="28"/>
        </w:rPr>
        <w:t>86</w:t>
      </w:r>
    </w:p>
    <w:p w:rsidR="0064415C" w:rsidRPr="00FD3279" w:rsidRDefault="0064415C" w:rsidP="0064415C">
      <w:pPr>
        <w:tabs>
          <w:tab w:val="right" w:pos="6804"/>
        </w:tabs>
        <w:ind w:firstLine="0"/>
        <w:rPr>
          <w:noProof/>
          <w:sz w:val="26"/>
          <w:szCs w:val="28"/>
        </w:rPr>
      </w:pPr>
      <w:r w:rsidRPr="00FD3279">
        <w:rPr>
          <w:noProof/>
          <w:sz w:val="26"/>
          <w:szCs w:val="28"/>
          <w:rtl/>
        </w:rPr>
        <w:t>(يونس /</w:t>
      </w:r>
      <w:r>
        <w:rPr>
          <w:rFonts w:hint="cs"/>
          <w:noProof/>
          <w:sz w:val="26"/>
          <w:szCs w:val="28"/>
          <w:rtl/>
        </w:rPr>
        <w:t>62</w:t>
      </w:r>
      <w:r w:rsidRPr="00FD3279">
        <w:rPr>
          <w:noProof/>
          <w:sz w:val="26"/>
          <w:szCs w:val="28"/>
          <w:rtl/>
        </w:rPr>
        <w:t xml:space="preserve">) </w:t>
      </w:r>
      <w:r w:rsidRPr="00FD3279">
        <w:rPr>
          <w:rFonts w:ascii="Mosawi" w:hAnsi="Mosawi"/>
          <w:noProof/>
          <w:sz w:val="24"/>
          <w:szCs w:val="28"/>
          <w:rtl/>
        </w:rPr>
        <w:t>أَوْلِيَاءَ</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لاَ</w:t>
      </w:r>
      <w:r w:rsidRPr="00FD3279">
        <w:rPr>
          <w:noProof/>
          <w:sz w:val="26"/>
          <w:szCs w:val="28"/>
          <w:rtl/>
        </w:rPr>
        <w:t xml:space="preserve"> </w:t>
      </w:r>
      <w:r w:rsidRPr="00FD3279">
        <w:rPr>
          <w:rFonts w:ascii="Mosawi" w:hAnsi="Mosawi"/>
          <w:noProof/>
          <w:sz w:val="24"/>
          <w:szCs w:val="28"/>
          <w:rtl/>
        </w:rPr>
        <w:t>خَوْفٌ</w:t>
      </w:r>
      <w:r w:rsidRPr="00FD3279">
        <w:rPr>
          <w:noProof/>
          <w:sz w:val="26"/>
          <w:szCs w:val="28"/>
          <w:rtl/>
        </w:rPr>
        <w:t xml:space="preserve"> </w:t>
      </w:r>
      <w:r w:rsidRPr="00FD3279">
        <w:rPr>
          <w:rFonts w:ascii="Mosawi" w:hAnsi="Mosawi"/>
          <w:noProof/>
          <w:sz w:val="24"/>
          <w:szCs w:val="28"/>
          <w:rtl/>
        </w:rPr>
        <w:t>عَ</w:t>
      </w:r>
      <w:r w:rsidRPr="00FD3279">
        <w:rPr>
          <w:noProof/>
          <w:sz w:val="26"/>
          <w:szCs w:val="28"/>
          <w:rtl/>
        </w:rPr>
        <w:t>لَيْهِمْ وَلاَ هُمْ يَحْزَنُونَ</w:t>
      </w:r>
      <w:r>
        <w:rPr>
          <w:noProof/>
          <w:sz w:val="26"/>
          <w:szCs w:val="28"/>
          <w:rtl/>
        </w:rPr>
        <w:tab/>
      </w:r>
      <w:r w:rsidRPr="00FD3279">
        <w:rPr>
          <w:noProof/>
          <w:sz w:val="26"/>
          <w:szCs w:val="28"/>
          <w:rtl/>
        </w:rPr>
        <w:t xml:space="preserve"> </w:t>
      </w:r>
      <w:r w:rsidRPr="00FD3279">
        <w:rPr>
          <w:noProof/>
          <w:sz w:val="26"/>
          <w:szCs w:val="28"/>
        </w:rPr>
        <w:t>90</w:t>
      </w:r>
    </w:p>
    <w:p w:rsidR="0064415C" w:rsidRPr="00FD3279" w:rsidRDefault="0064415C" w:rsidP="0064415C">
      <w:pPr>
        <w:tabs>
          <w:tab w:val="right" w:pos="6804"/>
        </w:tabs>
        <w:ind w:firstLine="0"/>
        <w:rPr>
          <w:noProof/>
          <w:sz w:val="26"/>
          <w:szCs w:val="28"/>
        </w:rPr>
      </w:pPr>
      <w:r w:rsidRPr="00FD3279">
        <w:rPr>
          <w:noProof/>
          <w:sz w:val="26"/>
          <w:szCs w:val="28"/>
          <w:rtl/>
        </w:rPr>
        <w:t>(هود /</w:t>
      </w:r>
      <w:r>
        <w:rPr>
          <w:rFonts w:hint="cs"/>
          <w:noProof/>
          <w:sz w:val="26"/>
          <w:szCs w:val="28"/>
          <w:rtl/>
        </w:rPr>
        <w:t xml:space="preserve"> 88</w:t>
      </w:r>
      <w:r w:rsidRPr="00FD3279">
        <w:rPr>
          <w:noProof/>
          <w:sz w:val="26"/>
          <w:szCs w:val="28"/>
          <w:rtl/>
        </w:rPr>
        <w:t xml:space="preserve">) </w:t>
      </w:r>
      <w:r w:rsidRPr="00FD3279">
        <w:rPr>
          <w:rFonts w:ascii="Mosawi" w:hAnsi="Mosawi"/>
          <w:noProof/>
          <w:sz w:val="24"/>
          <w:szCs w:val="28"/>
          <w:rtl/>
        </w:rPr>
        <w:t>إِنْ</w:t>
      </w:r>
      <w:r w:rsidRPr="00FD3279">
        <w:rPr>
          <w:noProof/>
          <w:sz w:val="26"/>
          <w:szCs w:val="28"/>
          <w:rtl/>
        </w:rPr>
        <w:t xml:space="preserve"> </w:t>
      </w:r>
      <w:r w:rsidRPr="00FD3279">
        <w:rPr>
          <w:rFonts w:ascii="Mosawi" w:hAnsi="Mosawi"/>
          <w:noProof/>
          <w:sz w:val="24"/>
          <w:szCs w:val="28"/>
          <w:rtl/>
        </w:rPr>
        <w:t>أُرِيدُ</w:t>
      </w:r>
      <w:r w:rsidRPr="00FD3279">
        <w:rPr>
          <w:noProof/>
          <w:sz w:val="26"/>
          <w:szCs w:val="28"/>
          <w:rtl/>
        </w:rPr>
        <w:t xml:space="preserve"> </w:t>
      </w:r>
      <w:r w:rsidRPr="00FD3279">
        <w:rPr>
          <w:rFonts w:ascii="Mosawi" w:hAnsi="Mosawi"/>
          <w:noProof/>
          <w:sz w:val="24"/>
          <w:szCs w:val="28"/>
          <w:rtl/>
        </w:rPr>
        <w:t>إِلاَّ</w:t>
      </w:r>
      <w:r w:rsidRPr="00FD3279">
        <w:rPr>
          <w:noProof/>
          <w:sz w:val="26"/>
          <w:szCs w:val="28"/>
          <w:rtl/>
        </w:rPr>
        <w:t xml:space="preserve"> </w:t>
      </w:r>
      <w:r w:rsidRPr="00FD3279">
        <w:rPr>
          <w:rFonts w:ascii="Mosawi" w:hAnsi="Mosawi"/>
          <w:noProof/>
          <w:sz w:val="24"/>
          <w:szCs w:val="28"/>
          <w:rtl/>
        </w:rPr>
        <w:t>الإِصْلاَحَ</w:t>
      </w:r>
      <w:r w:rsidRPr="00FD3279">
        <w:rPr>
          <w:noProof/>
          <w:sz w:val="26"/>
          <w:szCs w:val="28"/>
          <w:rtl/>
        </w:rPr>
        <w:t xml:space="preserve"> </w:t>
      </w:r>
      <w:r w:rsidRPr="00FD3279">
        <w:rPr>
          <w:rFonts w:ascii="Mosawi" w:hAnsi="Mosawi"/>
          <w:noProof/>
          <w:sz w:val="24"/>
          <w:szCs w:val="28"/>
          <w:rtl/>
        </w:rPr>
        <w:t>مَا</w:t>
      </w:r>
      <w:r w:rsidRPr="00FD3279">
        <w:rPr>
          <w:noProof/>
          <w:sz w:val="26"/>
          <w:szCs w:val="28"/>
          <w:rtl/>
        </w:rPr>
        <w:t xml:space="preserve"> </w:t>
      </w:r>
      <w:r w:rsidRPr="00FD3279">
        <w:rPr>
          <w:rFonts w:ascii="Mosawi" w:hAnsi="Mosawi"/>
          <w:noProof/>
          <w:sz w:val="24"/>
          <w:szCs w:val="28"/>
          <w:rtl/>
        </w:rPr>
        <w:t>اسْتَطَعْتُ</w:t>
      </w:r>
      <w:r w:rsidRPr="00FD3279">
        <w:rPr>
          <w:noProof/>
          <w:sz w:val="26"/>
          <w:szCs w:val="28"/>
          <w:rtl/>
        </w:rPr>
        <w:t xml:space="preserve"> </w:t>
      </w:r>
      <w:r w:rsidRPr="00FD3279">
        <w:rPr>
          <w:rFonts w:ascii="Mosawi" w:hAnsi="Mosawi"/>
          <w:noProof/>
          <w:sz w:val="24"/>
          <w:szCs w:val="28"/>
          <w:rtl/>
        </w:rPr>
        <w:t>وَمَا</w:t>
      </w:r>
      <w:r w:rsidRPr="00FD3279">
        <w:rPr>
          <w:noProof/>
          <w:sz w:val="26"/>
          <w:szCs w:val="28"/>
          <w:rtl/>
        </w:rPr>
        <w:t xml:space="preserve"> </w:t>
      </w:r>
      <w:r w:rsidRPr="00FD3279">
        <w:rPr>
          <w:rFonts w:ascii="Mosawi" w:hAnsi="Mosawi"/>
          <w:noProof/>
          <w:sz w:val="24"/>
          <w:szCs w:val="28"/>
          <w:rtl/>
        </w:rPr>
        <w:t>تَوْفِيقِي</w:t>
      </w:r>
      <w:r>
        <w:rPr>
          <w:rFonts w:ascii="Mosawi" w:hAnsi="Mosawi"/>
          <w:noProof/>
          <w:sz w:val="24"/>
          <w:szCs w:val="28"/>
          <w:rtl/>
        </w:rPr>
        <w:tab/>
      </w:r>
      <w:r w:rsidRPr="00FD3279">
        <w:rPr>
          <w:noProof/>
          <w:sz w:val="26"/>
          <w:szCs w:val="28"/>
          <w:rtl/>
        </w:rPr>
        <w:t xml:space="preserve"> </w:t>
      </w:r>
      <w:r w:rsidRPr="00FD3279">
        <w:rPr>
          <w:noProof/>
          <w:sz w:val="26"/>
          <w:szCs w:val="28"/>
        </w:rPr>
        <w:t>15</w:t>
      </w:r>
    </w:p>
    <w:p w:rsidR="0064415C" w:rsidRPr="00FD3279" w:rsidRDefault="0064415C" w:rsidP="0064415C">
      <w:pPr>
        <w:tabs>
          <w:tab w:val="right" w:pos="6804"/>
        </w:tabs>
        <w:ind w:firstLine="0"/>
        <w:rPr>
          <w:noProof/>
          <w:sz w:val="26"/>
          <w:szCs w:val="28"/>
        </w:rPr>
      </w:pPr>
      <w:r w:rsidRPr="00FD3279">
        <w:rPr>
          <w:noProof/>
          <w:sz w:val="26"/>
          <w:szCs w:val="28"/>
          <w:rtl/>
        </w:rPr>
        <w:t>(يوسف /</w:t>
      </w:r>
      <w:r>
        <w:rPr>
          <w:rFonts w:hint="cs"/>
          <w:noProof/>
          <w:sz w:val="26"/>
          <w:szCs w:val="28"/>
          <w:rtl/>
        </w:rPr>
        <w:t>101</w:t>
      </w:r>
      <w:r w:rsidRPr="00FD3279">
        <w:rPr>
          <w:noProof/>
          <w:sz w:val="26"/>
          <w:szCs w:val="28"/>
          <w:rtl/>
        </w:rPr>
        <w:t xml:space="preserve">) </w:t>
      </w:r>
      <w:r w:rsidRPr="00FD3279">
        <w:rPr>
          <w:rFonts w:ascii="Mosawi" w:hAnsi="Mosawi"/>
          <w:noProof/>
          <w:sz w:val="24"/>
          <w:szCs w:val="28"/>
          <w:rtl/>
        </w:rPr>
        <w:t>رَبِّ</w:t>
      </w:r>
      <w:r w:rsidRPr="00FD3279">
        <w:rPr>
          <w:noProof/>
          <w:sz w:val="26"/>
          <w:szCs w:val="28"/>
          <w:rtl/>
        </w:rPr>
        <w:t xml:space="preserve"> </w:t>
      </w:r>
      <w:r w:rsidRPr="00FD3279">
        <w:rPr>
          <w:rFonts w:ascii="Mosawi" w:hAnsi="Mosawi"/>
          <w:noProof/>
          <w:sz w:val="24"/>
          <w:szCs w:val="28"/>
          <w:rtl/>
        </w:rPr>
        <w:t>قَدْ</w:t>
      </w:r>
      <w:r w:rsidRPr="00FD3279">
        <w:rPr>
          <w:noProof/>
          <w:sz w:val="26"/>
          <w:szCs w:val="28"/>
          <w:rtl/>
        </w:rPr>
        <w:t xml:space="preserve"> </w:t>
      </w:r>
      <w:r w:rsidRPr="00FD3279">
        <w:rPr>
          <w:rFonts w:ascii="Mosawi" w:hAnsi="Mosawi"/>
          <w:noProof/>
          <w:sz w:val="24"/>
          <w:szCs w:val="28"/>
          <w:rtl/>
        </w:rPr>
        <w:t>آتَيْتَنِي</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الْمُلْكِ</w:t>
      </w:r>
      <w:r>
        <w:rPr>
          <w:rFonts w:ascii="Mosawi" w:hAnsi="Mosawi"/>
          <w:noProof/>
          <w:sz w:val="24"/>
          <w:szCs w:val="28"/>
          <w:rtl/>
        </w:rPr>
        <w:tab/>
      </w:r>
      <w:r w:rsidRPr="00FD3279">
        <w:rPr>
          <w:noProof/>
          <w:sz w:val="26"/>
          <w:szCs w:val="28"/>
          <w:rtl/>
        </w:rPr>
        <w:t xml:space="preserve"> </w:t>
      </w:r>
      <w:r w:rsidRPr="00FD3279">
        <w:rPr>
          <w:noProof/>
          <w:sz w:val="26"/>
          <w:szCs w:val="28"/>
        </w:rPr>
        <w:t>94</w:t>
      </w:r>
    </w:p>
    <w:p w:rsidR="0064415C" w:rsidRPr="00FD3279" w:rsidRDefault="0064415C" w:rsidP="0064415C">
      <w:pPr>
        <w:tabs>
          <w:tab w:val="right" w:pos="6804"/>
        </w:tabs>
        <w:ind w:firstLine="0"/>
        <w:rPr>
          <w:noProof/>
          <w:sz w:val="26"/>
          <w:szCs w:val="28"/>
        </w:rPr>
      </w:pPr>
      <w:r w:rsidRPr="00FD3279">
        <w:rPr>
          <w:noProof/>
          <w:sz w:val="26"/>
          <w:szCs w:val="28"/>
          <w:rtl/>
        </w:rPr>
        <w:t xml:space="preserve"> (يوسف /</w:t>
      </w:r>
      <w:r>
        <w:rPr>
          <w:rFonts w:hint="cs"/>
          <w:noProof/>
          <w:sz w:val="26"/>
          <w:szCs w:val="28"/>
          <w:rtl/>
        </w:rPr>
        <w:t>101</w:t>
      </w:r>
      <w:r w:rsidRPr="00FD3279">
        <w:rPr>
          <w:noProof/>
          <w:sz w:val="26"/>
          <w:szCs w:val="28"/>
          <w:rtl/>
        </w:rPr>
        <w:t xml:space="preserve">) </w:t>
      </w:r>
      <w:r w:rsidRPr="00FD3279">
        <w:rPr>
          <w:rFonts w:ascii="Mosawi" w:hAnsi="Mosawi"/>
          <w:noProof/>
          <w:sz w:val="24"/>
          <w:szCs w:val="28"/>
          <w:rtl/>
        </w:rPr>
        <w:t>أَنْتَ</w:t>
      </w:r>
      <w:r w:rsidRPr="00FD3279">
        <w:rPr>
          <w:noProof/>
          <w:sz w:val="26"/>
          <w:szCs w:val="28"/>
          <w:rtl/>
        </w:rPr>
        <w:t xml:space="preserve"> </w:t>
      </w:r>
      <w:r w:rsidRPr="00FD3279">
        <w:rPr>
          <w:rFonts w:ascii="Mosawi" w:hAnsi="Mosawi"/>
          <w:noProof/>
          <w:sz w:val="24"/>
          <w:szCs w:val="28"/>
          <w:rtl/>
        </w:rPr>
        <w:t>وَلِيِّي</w:t>
      </w:r>
      <w:r w:rsidRPr="00FD3279">
        <w:rPr>
          <w:noProof/>
          <w:sz w:val="26"/>
          <w:szCs w:val="28"/>
          <w:rtl/>
        </w:rPr>
        <w:t xml:space="preserve"> </w:t>
      </w:r>
      <w:r w:rsidRPr="00FD3279">
        <w:rPr>
          <w:rFonts w:ascii="Mosawi" w:hAnsi="Mosawi"/>
          <w:noProof/>
          <w:sz w:val="24"/>
          <w:szCs w:val="28"/>
          <w:rtl/>
        </w:rPr>
        <w:t>فِي</w:t>
      </w:r>
      <w:r w:rsidRPr="00FD3279">
        <w:rPr>
          <w:noProof/>
          <w:sz w:val="26"/>
          <w:szCs w:val="28"/>
          <w:rtl/>
        </w:rPr>
        <w:t xml:space="preserve"> </w:t>
      </w:r>
      <w:r w:rsidRPr="00FD3279">
        <w:rPr>
          <w:rFonts w:ascii="Mosawi" w:hAnsi="Mosawi"/>
          <w:noProof/>
          <w:sz w:val="24"/>
          <w:szCs w:val="28"/>
          <w:rtl/>
        </w:rPr>
        <w:t>الدُّنْيَا</w:t>
      </w:r>
      <w:r w:rsidRPr="00FD3279">
        <w:rPr>
          <w:noProof/>
          <w:sz w:val="26"/>
          <w:szCs w:val="28"/>
          <w:rtl/>
        </w:rPr>
        <w:t xml:space="preserve"> </w:t>
      </w:r>
      <w:r w:rsidRPr="00FD3279">
        <w:rPr>
          <w:rFonts w:ascii="Mosawi" w:hAnsi="Mosawi"/>
          <w:noProof/>
          <w:sz w:val="24"/>
          <w:szCs w:val="28"/>
          <w:rtl/>
        </w:rPr>
        <w:t>وَالآخِرَةِ</w:t>
      </w:r>
      <w:r>
        <w:rPr>
          <w:rFonts w:ascii="Mosawi" w:hAnsi="Mosawi"/>
          <w:noProof/>
          <w:sz w:val="24"/>
          <w:szCs w:val="28"/>
          <w:rtl/>
        </w:rPr>
        <w:tab/>
      </w:r>
      <w:r w:rsidRPr="00FD3279">
        <w:rPr>
          <w:noProof/>
          <w:sz w:val="26"/>
          <w:szCs w:val="28"/>
          <w:rtl/>
        </w:rPr>
        <w:t xml:space="preserve"> </w:t>
      </w:r>
      <w:r w:rsidRPr="00FD3279">
        <w:rPr>
          <w:noProof/>
          <w:sz w:val="26"/>
          <w:szCs w:val="28"/>
        </w:rPr>
        <w:t>90</w:t>
      </w:r>
    </w:p>
    <w:p w:rsidR="0064415C" w:rsidRPr="00FD3279" w:rsidRDefault="0064415C" w:rsidP="0064415C">
      <w:pPr>
        <w:tabs>
          <w:tab w:val="right" w:pos="6804"/>
        </w:tabs>
        <w:ind w:firstLine="0"/>
        <w:rPr>
          <w:noProof/>
          <w:sz w:val="26"/>
          <w:szCs w:val="28"/>
        </w:rPr>
      </w:pPr>
      <w:r w:rsidRPr="00FD3279">
        <w:rPr>
          <w:noProof/>
          <w:sz w:val="26"/>
          <w:szCs w:val="28"/>
          <w:rtl/>
        </w:rPr>
        <w:t xml:space="preserve"> (الرعد /</w:t>
      </w:r>
      <w:r>
        <w:rPr>
          <w:rFonts w:hint="cs"/>
          <w:noProof/>
          <w:sz w:val="26"/>
          <w:szCs w:val="28"/>
          <w:rtl/>
        </w:rPr>
        <w:t xml:space="preserve"> 11</w:t>
      </w:r>
      <w:r w:rsidRPr="00FD3279">
        <w:rPr>
          <w:noProof/>
          <w:sz w:val="26"/>
          <w:szCs w:val="28"/>
          <w:rtl/>
        </w:rPr>
        <w:t xml:space="preserve">) </w:t>
      </w:r>
      <w:r w:rsidRPr="00FD3279">
        <w:rPr>
          <w:rFonts w:ascii="Mosawi" w:hAnsi="Mosawi"/>
          <w:noProof/>
          <w:sz w:val="24"/>
          <w:szCs w:val="28"/>
          <w:rtl/>
        </w:rPr>
        <w:t>وَإِذَا</w:t>
      </w:r>
      <w:r w:rsidRPr="00FD3279">
        <w:rPr>
          <w:noProof/>
          <w:sz w:val="26"/>
          <w:szCs w:val="28"/>
          <w:rtl/>
        </w:rPr>
        <w:t xml:space="preserve"> </w:t>
      </w:r>
      <w:r w:rsidRPr="00FD3279">
        <w:rPr>
          <w:rFonts w:ascii="Mosawi" w:hAnsi="Mosawi"/>
          <w:noProof/>
          <w:sz w:val="24"/>
          <w:szCs w:val="28"/>
          <w:rtl/>
        </w:rPr>
        <w:t>أَر</w:t>
      </w:r>
      <w:r w:rsidRPr="00FD3279">
        <w:rPr>
          <w:noProof/>
          <w:sz w:val="26"/>
          <w:szCs w:val="28"/>
          <w:rtl/>
        </w:rPr>
        <w:t>َادَ اللهُ بِقَوْمٍ سُوءاً فَلاَ مَرَدَّ لَهُ وَمَا لَهُمْ مِنْ دُونِهِ مِنْ وَالٍ</w:t>
      </w:r>
      <w:r>
        <w:rPr>
          <w:noProof/>
          <w:sz w:val="26"/>
          <w:szCs w:val="28"/>
          <w:rtl/>
        </w:rPr>
        <w:tab/>
      </w:r>
      <w:r w:rsidRPr="00FD3279">
        <w:rPr>
          <w:noProof/>
          <w:sz w:val="26"/>
          <w:szCs w:val="28"/>
          <w:rtl/>
        </w:rPr>
        <w:t xml:space="preserve"> </w:t>
      </w:r>
      <w:r w:rsidRPr="00FD3279">
        <w:rPr>
          <w:noProof/>
          <w:sz w:val="26"/>
          <w:szCs w:val="28"/>
        </w:rPr>
        <w:t>87</w:t>
      </w:r>
    </w:p>
    <w:p w:rsidR="0064415C" w:rsidRPr="00FD3279" w:rsidRDefault="0064415C" w:rsidP="0064415C">
      <w:pPr>
        <w:tabs>
          <w:tab w:val="right" w:pos="6804"/>
        </w:tabs>
        <w:ind w:firstLine="0"/>
        <w:rPr>
          <w:noProof/>
          <w:sz w:val="26"/>
          <w:szCs w:val="28"/>
        </w:rPr>
      </w:pPr>
      <w:r w:rsidRPr="00FD3279">
        <w:rPr>
          <w:noProof/>
          <w:sz w:val="26"/>
          <w:szCs w:val="28"/>
          <w:rtl/>
        </w:rPr>
        <w:t>(النحل /</w:t>
      </w:r>
      <w:r>
        <w:rPr>
          <w:rFonts w:hint="cs"/>
          <w:noProof/>
          <w:sz w:val="26"/>
          <w:szCs w:val="28"/>
          <w:rtl/>
        </w:rPr>
        <w:t xml:space="preserve"> 44</w:t>
      </w:r>
      <w:r w:rsidRPr="00FD3279">
        <w:rPr>
          <w:noProof/>
          <w:sz w:val="26"/>
          <w:szCs w:val="28"/>
          <w:rtl/>
        </w:rPr>
        <w:t>) لِتُبَيِّنَ لِلنَّاسِ مَا نُزِّلَ إِلَيْهِمْ</w:t>
      </w:r>
      <w:r>
        <w:rPr>
          <w:noProof/>
          <w:sz w:val="26"/>
          <w:szCs w:val="28"/>
          <w:rtl/>
        </w:rPr>
        <w:tab/>
      </w:r>
      <w:r w:rsidRPr="00FD3279">
        <w:rPr>
          <w:noProof/>
          <w:sz w:val="26"/>
          <w:szCs w:val="28"/>
          <w:rtl/>
        </w:rPr>
        <w:t xml:space="preserve"> </w:t>
      </w:r>
      <w:r w:rsidRPr="00FD3279">
        <w:rPr>
          <w:noProof/>
          <w:sz w:val="26"/>
          <w:szCs w:val="28"/>
        </w:rPr>
        <w:t>93</w:t>
      </w:r>
      <w:r w:rsidRPr="00FD3279">
        <w:rPr>
          <w:noProof/>
          <w:sz w:val="26"/>
          <w:szCs w:val="28"/>
          <w:rtl/>
        </w:rPr>
        <w:t xml:space="preserve">، </w:t>
      </w:r>
      <w:r w:rsidRPr="00FD3279">
        <w:rPr>
          <w:noProof/>
          <w:sz w:val="26"/>
          <w:szCs w:val="28"/>
        </w:rPr>
        <w:t>107</w:t>
      </w:r>
    </w:p>
    <w:p w:rsidR="0064415C" w:rsidRPr="00FD3279" w:rsidRDefault="0064415C" w:rsidP="0064415C">
      <w:pPr>
        <w:tabs>
          <w:tab w:val="right" w:pos="6804"/>
        </w:tabs>
        <w:ind w:firstLine="0"/>
        <w:rPr>
          <w:noProof/>
          <w:sz w:val="26"/>
          <w:szCs w:val="28"/>
        </w:rPr>
      </w:pPr>
      <w:r w:rsidRPr="00FD3279">
        <w:rPr>
          <w:noProof/>
          <w:sz w:val="26"/>
          <w:szCs w:val="28"/>
          <w:rtl/>
        </w:rPr>
        <w:t>(النحل /</w:t>
      </w:r>
      <w:r>
        <w:rPr>
          <w:rFonts w:hint="cs"/>
          <w:noProof/>
          <w:sz w:val="26"/>
          <w:szCs w:val="28"/>
          <w:rtl/>
        </w:rPr>
        <w:t xml:space="preserve"> 63</w:t>
      </w:r>
      <w:r w:rsidRPr="00FD3279">
        <w:rPr>
          <w:noProof/>
          <w:sz w:val="26"/>
          <w:szCs w:val="28"/>
          <w:rtl/>
        </w:rPr>
        <w:t xml:space="preserve">) </w:t>
      </w:r>
      <w:r w:rsidRPr="00FD3279">
        <w:rPr>
          <w:rFonts w:ascii="Mosawi" w:hAnsi="Mosawi"/>
          <w:noProof/>
          <w:sz w:val="24"/>
          <w:szCs w:val="28"/>
          <w:rtl/>
        </w:rPr>
        <w:t>فَزَيَّنَ</w:t>
      </w:r>
      <w:r w:rsidRPr="00FD3279">
        <w:rPr>
          <w:noProof/>
          <w:sz w:val="26"/>
          <w:szCs w:val="28"/>
          <w:rtl/>
        </w:rPr>
        <w:t xml:space="preserve"> </w:t>
      </w:r>
      <w:r w:rsidRPr="00FD3279">
        <w:rPr>
          <w:rFonts w:ascii="Mosawi" w:hAnsi="Mosawi"/>
          <w:noProof/>
          <w:sz w:val="24"/>
          <w:szCs w:val="28"/>
          <w:rtl/>
        </w:rPr>
        <w:t>لَهُمْ</w:t>
      </w:r>
      <w:r w:rsidRPr="00FD3279">
        <w:rPr>
          <w:noProof/>
          <w:sz w:val="26"/>
          <w:szCs w:val="28"/>
          <w:rtl/>
        </w:rPr>
        <w:t xml:space="preserve"> </w:t>
      </w:r>
      <w:r w:rsidRPr="00FD3279">
        <w:rPr>
          <w:rFonts w:ascii="Mosawi" w:hAnsi="Mosawi"/>
          <w:noProof/>
          <w:sz w:val="24"/>
          <w:szCs w:val="28"/>
          <w:rtl/>
        </w:rPr>
        <w:t>الشَّيْطَانُ</w:t>
      </w:r>
      <w:r w:rsidRPr="00FD3279">
        <w:rPr>
          <w:noProof/>
          <w:sz w:val="26"/>
          <w:szCs w:val="28"/>
          <w:rtl/>
        </w:rPr>
        <w:t xml:space="preserve"> </w:t>
      </w:r>
      <w:r w:rsidRPr="00FD3279">
        <w:rPr>
          <w:rFonts w:ascii="Mosawi" w:hAnsi="Mosawi"/>
          <w:noProof/>
          <w:sz w:val="24"/>
          <w:szCs w:val="28"/>
          <w:rtl/>
        </w:rPr>
        <w:t>أَعْمَالَهُمْ</w:t>
      </w:r>
      <w:r w:rsidRPr="00FD3279">
        <w:rPr>
          <w:noProof/>
          <w:sz w:val="26"/>
          <w:szCs w:val="28"/>
          <w:rtl/>
        </w:rPr>
        <w:t xml:space="preserve"> </w:t>
      </w:r>
      <w:r w:rsidRPr="00FD3279">
        <w:rPr>
          <w:rFonts w:ascii="Mosawi" w:hAnsi="Mosawi"/>
          <w:noProof/>
          <w:sz w:val="24"/>
          <w:szCs w:val="28"/>
          <w:rtl/>
        </w:rPr>
        <w:t>فَهُوَ</w:t>
      </w:r>
      <w:r w:rsidRPr="00FD3279">
        <w:rPr>
          <w:noProof/>
          <w:sz w:val="26"/>
          <w:szCs w:val="28"/>
          <w:rtl/>
        </w:rPr>
        <w:t xml:space="preserve"> </w:t>
      </w:r>
      <w:r w:rsidRPr="00FD3279">
        <w:rPr>
          <w:rFonts w:ascii="Mosawi" w:hAnsi="Mosawi"/>
          <w:noProof/>
          <w:sz w:val="24"/>
          <w:szCs w:val="28"/>
          <w:rtl/>
        </w:rPr>
        <w:t>وَلِيُّهُمْ</w:t>
      </w:r>
      <w:r w:rsidRPr="00FD3279">
        <w:rPr>
          <w:noProof/>
          <w:sz w:val="26"/>
          <w:szCs w:val="28"/>
          <w:rtl/>
        </w:rPr>
        <w:t xml:space="preserve"> الْيَوْمَ وَلَهُمْ عَذَابٌ أَلِيمٌ</w:t>
      </w:r>
      <w:r>
        <w:rPr>
          <w:noProof/>
          <w:sz w:val="26"/>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(النحل /</w:t>
      </w:r>
      <w:r>
        <w:rPr>
          <w:rFonts w:hint="cs"/>
          <w:noProof/>
          <w:sz w:val="26"/>
          <w:szCs w:val="28"/>
          <w:rtl/>
        </w:rPr>
        <w:t xml:space="preserve"> 76</w:t>
      </w:r>
      <w:r w:rsidRPr="00FD3279">
        <w:rPr>
          <w:noProof/>
          <w:sz w:val="26"/>
          <w:szCs w:val="28"/>
          <w:rtl/>
        </w:rPr>
        <w:t xml:space="preserve">) </w:t>
      </w:r>
      <w:r w:rsidRPr="00FD3279">
        <w:rPr>
          <w:rFonts w:ascii="Mosawi" w:hAnsi="Mosawi"/>
          <w:noProof/>
          <w:sz w:val="24"/>
          <w:szCs w:val="28"/>
          <w:rtl/>
        </w:rPr>
        <w:t>أَبْكَمُ</w:t>
      </w:r>
      <w:r w:rsidRPr="00FD3279">
        <w:rPr>
          <w:noProof/>
          <w:sz w:val="26"/>
          <w:szCs w:val="28"/>
          <w:rtl/>
        </w:rPr>
        <w:t xml:space="preserve"> </w:t>
      </w:r>
      <w:r w:rsidRPr="00FD3279">
        <w:rPr>
          <w:rFonts w:ascii="Mosawi" w:hAnsi="Mosawi"/>
          <w:noProof/>
          <w:sz w:val="24"/>
          <w:szCs w:val="28"/>
          <w:rtl/>
        </w:rPr>
        <w:t>لاَ</w:t>
      </w:r>
      <w:r w:rsidRPr="00FD3279">
        <w:rPr>
          <w:noProof/>
          <w:sz w:val="26"/>
          <w:szCs w:val="28"/>
          <w:rtl/>
        </w:rPr>
        <w:t xml:space="preserve"> </w:t>
      </w:r>
      <w:r w:rsidRPr="00FD3279">
        <w:rPr>
          <w:rFonts w:ascii="Mosawi" w:hAnsi="Mosawi"/>
          <w:noProof/>
          <w:sz w:val="24"/>
          <w:szCs w:val="28"/>
          <w:rtl/>
        </w:rPr>
        <w:t>يَقْدِرُ</w:t>
      </w:r>
      <w:r w:rsidRPr="00FD3279">
        <w:rPr>
          <w:noProof/>
          <w:sz w:val="26"/>
          <w:szCs w:val="28"/>
          <w:rtl/>
        </w:rPr>
        <w:t xml:space="preserve"> </w:t>
      </w:r>
      <w:r w:rsidRPr="00FD3279">
        <w:rPr>
          <w:rFonts w:ascii="Mosawi" w:hAnsi="Mosawi"/>
          <w:noProof/>
          <w:sz w:val="24"/>
          <w:szCs w:val="28"/>
          <w:rtl/>
        </w:rPr>
        <w:t>عَلَى</w:t>
      </w:r>
      <w:r w:rsidRPr="00FD3279">
        <w:rPr>
          <w:noProof/>
          <w:sz w:val="26"/>
          <w:szCs w:val="28"/>
          <w:rtl/>
        </w:rPr>
        <w:t xml:space="preserve"> </w:t>
      </w:r>
      <w:r w:rsidRPr="00FD3279">
        <w:rPr>
          <w:rFonts w:ascii="Mosawi" w:hAnsi="Mosawi"/>
          <w:noProof/>
          <w:sz w:val="24"/>
          <w:szCs w:val="28"/>
          <w:rtl/>
        </w:rPr>
        <w:t>شَيْءٍ</w:t>
      </w:r>
      <w:r w:rsidRPr="00FD3279">
        <w:rPr>
          <w:noProof/>
          <w:sz w:val="26"/>
          <w:szCs w:val="28"/>
          <w:rtl/>
        </w:rPr>
        <w:t xml:space="preserve"> </w:t>
      </w:r>
      <w:r w:rsidRPr="00FD3279">
        <w:rPr>
          <w:rFonts w:ascii="Mosawi" w:hAnsi="Mosawi"/>
          <w:noProof/>
          <w:sz w:val="24"/>
          <w:szCs w:val="28"/>
          <w:rtl/>
        </w:rPr>
        <w:t>وَهُوَ</w:t>
      </w:r>
      <w:r w:rsidRPr="00FD3279">
        <w:rPr>
          <w:noProof/>
          <w:sz w:val="26"/>
          <w:szCs w:val="28"/>
          <w:rtl/>
        </w:rPr>
        <w:t xml:space="preserve"> </w:t>
      </w:r>
      <w:r w:rsidRPr="00FD3279">
        <w:rPr>
          <w:rFonts w:ascii="Mosawi" w:hAnsi="Mosawi"/>
          <w:noProof/>
          <w:sz w:val="24"/>
          <w:szCs w:val="28"/>
          <w:rtl/>
        </w:rPr>
        <w:t>كَلٌّ</w:t>
      </w:r>
      <w:r w:rsidRPr="00FD3279">
        <w:rPr>
          <w:noProof/>
          <w:sz w:val="26"/>
          <w:szCs w:val="28"/>
          <w:rtl/>
        </w:rPr>
        <w:t xml:space="preserve"> </w:t>
      </w:r>
      <w:r w:rsidRPr="00FD3279">
        <w:rPr>
          <w:rFonts w:ascii="Mosawi" w:hAnsi="Mosawi"/>
          <w:noProof/>
          <w:sz w:val="24"/>
          <w:szCs w:val="28"/>
          <w:rtl/>
        </w:rPr>
        <w:t>عَلَى</w:t>
      </w:r>
      <w:r w:rsidRPr="00FD3279">
        <w:rPr>
          <w:noProof/>
          <w:sz w:val="26"/>
          <w:szCs w:val="28"/>
          <w:rtl/>
        </w:rPr>
        <w:t xml:space="preserve"> </w:t>
      </w:r>
      <w:r w:rsidRPr="00FD3279">
        <w:rPr>
          <w:rFonts w:ascii="Mosawi" w:hAnsi="Mosawi"/>
          <w:noProof/>
          <w:sz w:val="24"/>
          <w:szCs w:val="28"/>
          <w:rtl/>
        </w:rPr>
        <w:t>مَوْلاَهُ</w:t>
      </w:r>
      <w:r>
        <w:rPr>
          <w:rFonts w:ascii="Mosawi" w:hAnsi="Mosawi"/>
          <w:noProof/>
          <w:sz w:val="24"/>
          <w:szCs w:val="28"/>
          <w:rtl/>
        </w:rPr>
        <w:tab/>
      </w:r>
      <w:r w:rsidRPr="00FD3279">
        <w:rPr>
          <w:noProof/>
          <w:sz w:val="26"/>
          <w:szCs w:val="28"/>
          <w:rtl/>
        </w:rPr>
        <w:t xml:space="preserve"> </w:t>
      </w:r>
      <w:r w:rsidRPr="00FD3279">
        <w:rPr>
          <w:noProof/>
          <w:sz w:val="26"/>
          <w:szCs w:val="28"/>
        </w:rPr>
        <w:t>98</w:t>
      </w:r>
    </w:p>
    <w:p w:rsidR="0064415C" w:rsidRPr="00FD3279" w:rsidRDefault="0064415C" w:rsidP="0064415C">
      <w:pPr>
        <w:tabs>
          <w:tab w:val="right" w:pos="6804"/>
        </w:tabs>
        <w:ind w:firstLine="0"/>
        <w:rPr>
          <w:noProof/>
          <w:sz w:val="26"/>
          <w:szCs w:val="28"/>
        </w:rPr>
      </w:pPr>
      <w:r w:rsidRPr="00FD3279">
        <w:rPr>
          <w:noProof/>
          <w:sz w:val="26"/>
          <w:szCs w:val="28"/>
          <w:rtl/>
        </w:rPr>
        <w:t>(النحل /</w:t>
      </w:r>
      <w:r>
        <w:rPr>
          <w:rFonts w:hint="cs"/>
          <w:noProof/>
          <w:sz w:val="26"/>
          <w:szCs w:val="28"/>
          <w:rtl/>
        </w:rPr>
        <w:t xml:space="preserve"> 100</w:t>
      </w:r>
      <w:r w:rsidRPr="00FD3279">
        <w:rPr>
          <w:noProof/>
          <w:sz w:val="26"/>
          <w:szCs w:val="28"/>
          <w:rtl/>
        </w:rPr>
        <w:t xml:space="preserve">) </w:t>
      </w:r>
      <w:r w:rsidRPr="00FD3279">
        <w:rPr>
          <w:rFonts w:ascii="Mosawi" w:hAnsi="Mosawi"/>
          <w:noProof/>
          <w:sz w:val="24"/>
          <w:szCs w:val="28"/>
          <w:rtl/>
        </w:rPr>
        <w:t>إِنَّمَا</w:t>
      </w:r>
      <w:r w:rsidRPr="00FD3279">
        <w:rPr>
          <w:noProof/>
          <w:sz w:val="26"/>
          <w:szCs w:val="28"/>
          <w:rtl/>
        </w:rPr>
        <w:t xml:space="preserve"> </w:t>
      </w:r>
      <w:r w:rsidRPr="00FD3279">
        <w:rPr>
          <w:rFonts w:ascii="Mosawi" w:hAnsi="Mosawi"/>
          <w:noProof/>
          <w:sz w:val="24"/>
          <w:szCs w:val="28"/>
          <w:rtl/>
        </w:rPr>
        <w:t>سُلْطَانُهُ</w:t>
      </w:r>
      <w:r w:rsidRPr="00FD3279">
        <w:rPr>
          <w:noProof/>
          <w:sz w:val="26"/>
          <w:szCs w:val="28"/>
          <w:rtl/>
        </w:rPr>
        <w:t xml:space="preserve"> </w:t>
      </w:r>
      <w:r w:rsidRPr="00FD3279">
        <w:rPr>
          <w:rFonts w:ascii="Mosawi" w:hAnsi="Mosawi"/>
          <w:noProof/>
          <w:sz w:val="24"/>
          <w:szCs w:val="28"/>
          <w:rtl/>
        </w:rPr>
        <w:t>عَلَى</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يَتَوَلَّوْنَهُ</w:t>
      </w:r>
      <w:r w:rsidRPr="00FD3279">
        <w:rPr>
          <w:noProof/>
          <w:sz w:val="26"/>
          <w:szCs w:val="28"/>
          <w:rtl/>
        </w:rPr>
        <w:t xml:space="preserve"> </w:t>
      </w:r>
      <w:r w:rsidRPr="00FD3279">
        <w:rPr>
          <w:rFonts w:ascii="Mosawi" w:hAnsi="Mosawi"/>
          <w:noProof/>
          <w:sz w:val="24"/>
          <w:szCs w:val="28"/>
          <w:rtl/>
        </w:rPr>
        <w:t>وَالَّذِينَ</w:t>
      </w:r>
      <w:r w:rsidRPr="00FD3279">
        <w:rPr>
          <w:noProof/>
          <w:sz w:val="26"/>
          <w:szCs w:val="28"/>
          <w:rtl/>
        </w:rPr>
        <w:t xml:space="preserve"> </w:t>
      </w:r>
      <w:r w:rsidRPr="00FD3279">
        <w:rPr>
          <w:rFonts w:ascii="Mosawi" w:hAnsi="Mosawi"/>
          <w:noProof/>
          <w:sz w:val="24"/>
          <w:szCs w:val="28"/>
          <w:rtl/>
        </w:rPr>
        <w:t>هُمْ</w:t>
      </w:r>
      <w:r w:rsidRPr="00FD3279">
        <w:rPr>
          <w:noProof/>
          <w:sz w:val="26"/>
          <w:szCs w:val="28"/>
          <w:rtl/>
        </w:rPr>
        <w:t xml:space="preserve"> </w:t>
      </w:r>
      <w:r w:rsidRPr="00FD3279">
        <w:rPr>
          <w:rFonts w:ascii="Mosawi" w:hAnsi="Mosawi"/>
          <w:noProof/>
          <w:sz w:val="24"/>
          <w:szCs w:val="28"/>
          <w:rtl/>
        </w:rPr>
        <w:t>بِهِ</w:t>
      </w:r>
      <w:r w:rsidRPr="00FD3279">
        <w:rPr>
          <w:noProof/>
          <w:sz w:val="26"/>
          <w:szCs w:val="28"/>
          <w:rtl/>
        </w:rPr>
        <w:t xml:space="preserve"> </w:t>
      </w:r>
      <w:r w:rsidRPr="00FD3279">
        <w:rPr>
          <w:rFonts w:ascii="Mosawi" w:hAnsi="Mosawi"/>
          <w:noProof/>
          <w:sz w:val="24"/>
          <w:szCs w:val="28"/>
          <w:rtl/>
        </w:rPr>
        <w:t>مُشْرِكُونَ</w:t>
      </w:r>
      <w:r>
        <w:rPr>
          <w:rFonts w:ascii="Mosawi" w:hAnsi="Mosawi"/>
          <w:noProof/>
          <w:sz w:val="24"/>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 xml:space="preserve"> (الإسراء / </w:t>
      </w:r>
      <w:r>
        <w:rPr>
          <w:rFonts w:hint="cs"/>
          <w:noProof/>
          <w:sz w:val="26"/>
          <w:szCs w:val="28"/>
          <w:rtl/>
        </w:rPr>
        <w:t>33</w:t>
      </w:r>
      <w:r w:rsidRPr="00FD3279">
        <w:rPr>
          <w:noProof/>
          <w:sz w:val="26"/>
          <w:szCs w:val="28"/>
          <w:rtl/>
        </w:rPr>
        <w:t xml:space="preserve">) </w:t>
      </w:r>
      <w:r w:rsidRPr="00FD3279">
        <w:rPr>
          <w:rFonts w:ascii="Mosawi" w:hAnsi="Mosawi"/>
          <w:noProof/>
          <w:sz w:val="24"/>
          <w:szCs w:val="28"/>
          <w:rtl/>
        </w:rPr>
        <w:t>وَلاَ</w:t>
      </w:r>
      <w:r w:rsidRPr="00FD3279">
        <w:rPr>
          <w:noProof/>
          <w:sz w:val="26"/>
          <w:szCs w:val="28"/>
          <w:rtl/>
        </w:rPr>
        <w:t xml:space="preserve"> </w:t>
      </w:r>
      <w:r w:rsidRPr="00FD3279">
        <w:rPr>
          <w:rFonts w:ascii="Mosawi" w:hAnsi="Mosawi"/>
          <w:noProof/>
          <w:sz w:val="24"/>
          <w:szCs w:val="28"/>
          <w:rtl/>
        </w:rPr>
        <w:t>تَقْتُل</w:t>
      </w:r>
      <w:r w:rsidRPr="00FD3279">
        <w:rPr>
          <w:noProof/>
          <w:sz w:val="26"/>
          <w:szCs w:val="28"/>
          <w:rtl/>
        </w:rPr>
        <w:t>ُوا النَّفْسَ الَّتِي حَرَّمَ اللهُ إِلاَّ بِالْحَقِّ وَمَنْ قُتِلَ مَظْلُوماً</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97</w:t>
      </w:r>
    </w:p>
    <w:p w:rsidR="0064415C" w:rsidRPr="00FD3279" w:rsidRDefault="0064415C" w:rsidP="0064415C">
      <w:pPr>
        <w:tabs>
          <w:tab w:val="right" w:pos="6804"/>
        </w:tabs>
        <w:ind w:firstLine="0"/>
        <w:rPr>
          <w:noProof/>
          <w:sz w:val="26"/>
          <w:szCs w:val="28"/>
        </w:rPr>
      </w:pPr>
      <w:r w:rsidRPr="00FD3279">
        <w:rPr>
          <w:noProof/>
          <w:sz w:val="26"/>
          <w:szCs w:val="28"/>
          <w:rtl/>
        </w:rPr>
        <w:t>(الإسراء /</w:t>
      </w:r>
      <w:r>
        <w:rPr>
          <w:rFonts w:hint="cs"/>
          <w:noProof/>
          <w:sz w:val="26"/>
          <w:szCs w:val="28"/>
          <w:rtl/>
        </w:rPr>
        <w:t xml:space="preserve"> ۹۷</w:t>
      </w:r>
      <w:r w:rsidRPr="00FD3279">
        <w:rPr>
          <w:noProof/>
          <w:sz w:val="26"/>
          <w:szCs w:val="28"/>
          <w:rtl/>
        </w:rPr>
        <w:t xml:space="preserve">) </w:t>
      </w:r>
      <w:r w:rsidRPr="00FD3279">
        <w:rPr>
          <w:rFonts w:ascii="Mosawi" w:hAnsi="Mosawi"/>
          <w:noProof/>
          <w:sz w:val="24"/>
          <w:szCs w:val="28"/>
          <w:rtl/>
        </w:rPr>
        <w:t>وَمَنْ</w:t>
      </w:r>
      <w:r w:rsidRPr="00FD3279">
        <w:rPr>
          <w:noProof/>
          <w:sz w:val="26"/>
          <w:szCs w:val="28"/>
          <w:rtl/>
        </w:rPr>
        <w:t xml:space="preserve"> </w:t>
      </w:r>
      <w:r w:rsidRPr="00FD3279">
        <w:rPr>
          <w:rFonts w:ascii="Mosawi" w:hAnsi="Mosawi"/>
          <w:noProof/>
          <w:sz w:val="24"/>
          <w:szCs w:val="28"/>
          <w:rtl/>
        </w:rPr>
        <w:t>يُضْلِلْ</w:t>
      </w:r>
      <w:r w:rsidRPr="00FD3279">
        <w:rPr>
          <w:noProof/>
          <w:sz w:val="26"/>
          <w:szCs w:val="28"/>
          <w:rtl/>
        </w:rPr>
        <w:t xml:space="preserve"> </w:t>
      </w:r>
      <w:r w:rsidRPr="00FD3279">
        <w:rPr>
          <w:rFonts w:ascii="Mosawi" w:hAnsi="Mosawi"/>
          <w:noProof/>
          <w:sz w:val="24"/>
          <w:szCs w:val="28"/>
          <w:rtl/>
        </w:rPr>
        <w:t>فَلَنْ</w:t>
      </w:r>
      <w:r w:rsidRPr="00FD3279">
        <w:rPr>
          <w:noProof/>
          <w:sz w:val="26"/>
          <w:szCs w:val="28"/>
          <w:rtl/>
        </w:rPr>
        <w:t xml:space="preserve"> </w:t>
      </w:r>
      <w:r w:rsidRPr="00FD3279">
        <w:rPr>
          <w:rFonts w:ascii="Mosawi" w:hAnsi="Mosawi"/>
          <w:noProof/>
          <w:sz w:val="24"/>
          <w:szCs w:val="28"/>
          <w:rtl/>
        </w:rPr>
        <w:t>تَجِدَ</w:t>
      </w:r>
      <w:r w:rsidRPr="00FD3279">
        <w:rPr>
          <w:noProof/>
          <w:sz w:val="26"/>
          <w:szCs w:val="28"/>
          <w:rtl/>
        </w:rPr>
        <w:t xml:space="preserve"> </w:t>
      </w:r>
      <w:r w:rsidRPr="00FD3279">
        <w:rPr>
          <w:rFonts w:ascii="Mosawi" w:hAnsi="Mosawi"/>
          <w:noProof/>
          <w:sz w:val="24"/>
          <w:szCs w:val="28"/>
          <w:rtl/>
        </w:rPr>
        <w:t>لَهُمْ</w:t>
      </w:r>
      <w:r w:rsidRPr="00FD3279">
        <w:rPr>
          <w:noProof/>
          <w:sz w:val="26"/>
          <w:szCs w:val="28"/>
          <w:rtl/>
        </w:rPr>
        <w:t xml:space="preserve"> </w:t>
      </w:r>
      <w:r w:rsidRPr="00FD3279">
        <w:rPr>
          <w:rFonts w:ascii="Mosawi" w:hAnsi="Mosawi"/>
          <w:noProof/>
          <w:sz w:val="24"/>
          <w:szCs w:val="28"/>
          <w:rtl/>
        </w:rPr>
        <w:t>أَوْلِيَاءَ</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دُونِهِ</w:t>
      </w:r>
      <w:r>
        <w:rPr>
          <w:rFonts w:ascii="Mosawi" w:hAnsi="Mosawi"/>
          <w:noProof/>
          <w:sz w:val="24"/>
          <w:szCs w:val="28"/>
          <w:rtl/>
        </w:rPr>
        <w:tab/>
      </w:r>
      <w:r w:rsidRPr="00FD3279">
        <w:rPr>
          <w:noProof/>
          <w:sz w:val="26"/>
          <w:szCs w:val="28"/>
          <w:rtl/>
        </w:rPr>
        <w:t xml:space="preserve"> </w:t>
      </w:r>
      <w:r w:rsidRPr="00FD3279">
        <w:rPr>
          <w:noProof/>
          <w:sz w:val="26"/>
          <w:szCs w:val="28"/>
        </w:rPr>
        <w:t>101</w:t>
      </w:r>
    </w:p>
    <w:p w:rsidR="0064415C" w:rsidRPr="00FD3279" w:rsidRDefault="0064415C" w:rsidP="0064415C">
      <w:pPr>
        <w:tabs>
          <w:tab w:val="right" w:pos="6804"/>
        </w:tabs>
        <w:ind w:firstLine="0"/>
        <w:rPr>
          <w:noProof/>
          <w:sz w:val="26"/>
          <w:szCs w:val="28"/>
        </w:rPr>
      </w:pPr>
      <w:r w:rsidRPr="00FD3279">
        <w:rPr>
          <w:noProof/>
          <w:sz w:val="26"/>
          <w:szCs w:val="28"/>
          <w:rtl/>
        </w:rPr>
        <w:t xml:space="preserve">(الإسراء </w:t>
      </w:r>
      <w:r w:rsidRPr="00FD3279">
        <w:rPr>
          <w:noProof/>
          <w:sz w:val="26"/>
          <w:szCs w:val="28"/>
        </w:rPr>
        <w:t>/</w:t>
      </w:r>
      <w:r>
        <w:rPr>
          <w:rFonts w:hint="cs"/>
          <w:noProof/>
          <w:sz w:val="26"/>
          <w:szCs w:val="28"/>
          <w:rtl/>
        </w:rPr>
        <w:t xml:space="preserve"> 111</w:t>
      </w:r>
      <w:r w:rsidRPr="00FD3279">
        <w:rPr>
          <w:noProof/>
          <w:sz w:val="26"/>
          <w:szCs w:val="28"/>
          <w:rtl/>
        </w:rPr>
        <w:t xml:space="preserve">) </w:t>
      </w:r>
      <w:r w:rsidRPr="00FD3279">
        <w:rPr>
          <w:rFonts w:ascii="Mosawi" w:hAnsi="Mosawi"/>
          <w:noProof/>
          <w:sz w:val="24"/>
          <w:szCs w:val="28"/>
          <w:rtl/>
        </w:rPr>
        <w:t>وَلَمْ</w:t>
      </w:r>
      <w:r w:rsidRPr="00FD3279">
        <w:rPr>
          <w:noProof/>
          <w:sz w:val="26"/>
          <w:szCs w:val="28"/>
          <w:rtl/>
        </w:rPr>
        <w:t xml:space="preserve"> </w:t>
      </w:r>
      <w:r w:rsidRPr="00FD3279">
        <w:rPr>
          <w:rFonts w:ascii="Mosawi" w:hAnsi="Mosawi"/>
          <w:noProof/>
          <w:sz w:val="24"/>
          <w:szCs w:val="28"/>
          <w:rtl/>
        </w:rPr>
        <w:t>يَكُنْ</w:t>
      </w:r>
      <w:r w:rsidRPr="00FD3279">
        <w:rPr>
          <w:noProof/>
          <w:sz w:val="26"/>
          <w:szCs w:val="28"/>
          <w:rtl/>
        </w:rPr>
        <w:t xml:space="preserve"> </w:t>
      </w:r>
      <w:r w:rsidRPr="00FD3279">
        <w:rPr>
          <w:rFonts w:ascii="Mosawi" w:hAnsi="Mosawi"/>
          <w:noProof/>
          <w:sz w:val="24"/>
          <w:szCs w:val="28"/>
          <w:rtl/>
        </w:rPr>
        <w:t>لَهُ</w:t>
      </w:r>
      <w:r w:rsidRPr="00FD3279">
        <w:rPr>
          <w:noProof/>
          <w:sz w:val="26"/>
          <w:szCs w:val="28"/>
          <w:rtl/>
        </w:rPr>
        <w:t xml:space="preserve"> </w:t>
      </w:r>
      <w:r w:rsidRPr="00FD3279">
        <w:rPr>
          <w:rFonts w:ascii="Mosawi" w:hAnsi="Mosawi"/>
          <w:noProof/>
          <w:sz w:val="24"/>
          <w:szCs w:val="28"/>
          <w:rtl/>
        </w:rPr>
        <w:t>وَلِيٌّ</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الذُّلِّ</w:t>
      </w:r>
      <w:r w:rsidRPr="00FD3279">
        <w:rPr>
          <w:noProof/>
          <w:sz w:val="26"/>
          <w:szCs w:val="28"/>
          <w:rtl/>
        </w:rPr>
        <w:t xml:space="preserve"> </w:t>
      </w:r>
      <w:r w:rsidRPr="00FD3279">
        <w:rPr>
          <w:rFonts w:ascii="Mosawi" w:hAnsi="Mosawi"/>
          <w:noProof/>
          <w:sz w:val="24"/>
          <w:szCs w:val="28"/>
          <w:rtl/>
        </w:rPr>
        <w:t>وَكَبِّرْهُ</w:t>
      </w:r>
      <w:r w:rsidRPr="00FD3279">
        <w:rPr>
          <w:noProof/>
          <w:sz w:val="26"/>
          <w:szCs w:val="28"/>
          <w:rtl/>
        </w:rPr>
        <w:t xml:space="preserve"> </w:t>
      </w:r>
      <w:r w:rsidRPr="00FD3279">
        <w:rPr>
          <w:rFonts w:ascii="Mosawi" w:hAnsi="Mosawi"/>
          <w:noProof/>
          <w:sz w:val="24"/>
          <w:szCs w:val="28"/>
          <w:rtl/>
        </w:rPr>
        <w:t>تَكْبِيراً</w:t>
      </w:r>
      <w:r>
        <w:rPr>
          <w:rFonts w:ascii="Mosawi" w:hAnsi="Mosawi"/>
          <w:noProof/>
          <w:sz w:val="24"/>
          <w:szCs w:val="28"/>
          <w:rtl/>
        </w:rPr>
        <w:tab/>
      </w:r>
      <w:r w:rsidRPr="00FD3279">
        <w:rPr>
          <w:noProof/>
          <w:sz w:val="26"/>
          <w:szCs w:val="28"/>
          <w:rtl/>
        </w:rPr>
        <w:t xml:space="preserve"> </w:t>
      </w:r>
      <w:r w:rsidRPr="00FD3279">
        <w:rPr>
          <w:noProof/>
          <w:sz w:val="26"/>
          <w:szCs w:val="28"/>
        </w:rPr>
        <w:t>90</w:t>
      </w:r>
    </w:p>
    <w:p w:rsidR="0064415C" w:rsidRPr="00FD3279" w:rsidRDefault="0064415C" w:rsidP="0064415C">
      <w:pPr>
        <w:tabs>
          <w:tab w:val="right" w:pos="6804"/>
        </w:tabs>
        <w:ind w:firstLine="0"/>
        <w:rPr>
          <w:noProof/>
          <w:sz w:val="26"/>
          <w:szCs w:val="28"/>
        </w:rPr>
      </w:pPr>
      <w:r w:rsidRPr="00FD3279">
        <w:rPr>
          <w:noProof/>
          <w:sz w:val="26"/>
          <w:szCs w:val="28"/>
          <w:rtl/>
        </w:rPr>
        <w:t>(مريم /</w:t>
      </w:r>
      <w:r>
        <w:rPr>
          <w:rFonts w:hint="cs"/>
          <w:noProof/>
          <w:sz w:val="26"/>
          <w:szCs w:val="28"/>
          <w:rtl/>
        </w:rPr>
        <w:t xml:space="preserve"> 5 - 6</w:t>
      </w:r>
      <w:r w:rsidRPr="00FD3279">
        <w:rPr>
          <w:noProof/>
          <w:sz w:val="26"/>
          <w:szCs w:val="28"/>
          <w:rtl/>
        </w:rPr>
        <w:t>) وَإِنِّي خِفْتُ الْمَوَالِيَ مِنْ وَرَائِي وَكَانَتْ امْرَأَتِي عَاقِراً</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98</w:t>
      </w:r>
    </w:p>
    <w:p w:rsidR="0064415C" w:rsidRPr="00FD3279" w:rsidRDefault="0064415C" w:rsidP="0064415C">
      <w:pPr>
        <w:tabs>
          <w:tab w:val="right" w:pos="6804"/>
        </w:tabs>
        <w:ind w:firstLine="0"/>
        <w:rPr>
          <w:noProof/>
          <w:sz w:val="26"/>
          <w:szCs w:val="28"/>
        </w:rPr>
      </w:pPr>
      <w:r w:rsidRPr="00FD3279">
        <w:rPr>
          <w:noProof/>
          <w:sz w:val="26"/>
          <w:szCs w:val="28"/>
          <w:rtl/>
        </w:rPr>
        <w:t>(الحج /</w:t>
      </w:r>
      <w:r>
        <w:rPr>
          <w:rFonts w:hint="cs"/>
          <w:noProof/>
          <w:sz w:val="26"/>
          <w:szCs w:val="28"/>
          <w:rtl/>
        </w:rPr>
        <w:t xml:space="preserve"> 13</w:t>
      </w:r>
      <w:r w:rsidRPr="00FD3279">
        <w:rPr>
          <w:noProof/>
          <w:sz w:val="26"/>
          <w:szCs w:val="28"/>
          <w:rtl/>
        </w:rPr>
        <w:t xml:space="preserve">) </w:t>
      </w:r>
      <w:r w:rsidRPr="00FD3279">
        <w:rPr>
          <w:rFonts w:ascii="Mosawi" w:hAnsi="Mosawi"/>
          <w:noProof/>
          <w:sz w:val="24"/>
          <w:szCs w:val="28"/>
          <w:rtl/>
        </w:rPr>
        <w:t>لَبِئْسَ</w:t>
      </w:r>
      <w:r w:rsidRPr="00FD3279">
        <w:rPr>
          <w:noProof/>
          <w:sz w:val="26"/>
          <w:szCs w:val="28"/>
          <w:rtl/>
        </w:rPr>
        <w:t xml:space="preserve"> </w:t>
      </w:r>
      <w:r w:rsidRPr="00FD3279">
        <w:rPr>
          <w:rFonts w:ascii="Mosawi" w:hAnsi="Mosawi"/>
          <w:noProof/>
          <w:sz w:val="24"/>
          <w:szCs w:val="28"/>
          <w:rtl/>
        </w:rPr>
        <w:t>الْمَوْلَى</w:t>
      </w:r>
      <w:r w:rsidRPr="00FD3279">
        <w:rPr>
          <w:noProof/>
          <w:sz w:val="26"/>
          <w:szCs w:val="28"/>
          <w:rtl/>
        </w:rPr>
        <w:t xml:space="preserve"> </w:t>
      </w:r>
      <w:r w:rsidRPr="00FD3279">
        <w:rPr>
          <w:rFonts w:ascii="Mosawi" w:hAnsi="Mosawi"/>
          <w:noProof/>
          <w:sz w:val="24"/>
          <w:szCs w:val="28"/>
          <w:rtl/>
        </w:rPr>
        <w:t>وَلَبِئْسَ</w:t>
      </w:r>
      <w:r w:rsidRPr="00FD3279">
        <w:rPr>
          <w:noProof/>
          <w:sz w:val="26"/>
          <w:szCs w:val="28"/>
          <w:rtl/>
        </w:rPr>
        <w:t xml:space="preserve"> </w:t>
      </w:r>
      <w:r w:rsidRPr="00FD3279">
        <w:rPr>
          <w:rFonts w:ascii="Mosawi" w:hAnsi="Mosawi"/>
          <w:noProof/>
          <w:sz w:val="24"/>
          <w:szCs w:val="28"/>
          <w:rtl/>
        </w:rPr>
        <w:t>الْعَشِيرُ</w:t>
      </w:r>
      <w:r>
        <w:rPr>
          <w:rFonts w:ascii="Mosawi" w:hAnsi="Mosawi"/>
          <w:noProof/>
          <w:sz w:val="24"/>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(المؤمنون /</w:t>
      </w:r>
      <w:r>
        <w:rPr>
          <w:rFonts w:hint="cs"/>
          <w:noProof/>
          <w:sz w:val="26"/>
          <w:szCs w:val="28"/>
          <w:rtl/>
        </w:rPr>
        <w:t xml:space="preserve"> 53</w:t>
      </w:r>
      <w:r w:rsidRPr="00FD3279">
        <w:rPr>
          <w:noProof/>
          <w:sz w:val="26"/>
          <w:szCs w:val="28"/>
          <w:rtl/>
        </w:rPr>
        <w:t xml:space="preserve">) </w:t>
      </w:r>
      <w:r w:rsidRPr="00FD3279">
        <w:rPr>
          <w:rFonts w:ascii="Mosawi" w:hAnsi="Mosawi"/>
          <w:noProof/>
          <w:sz w:val="24"/>
          <w:szCs w:val="28"/>
          <w:rtl/>
        </w:rPr>
        <w:t>كُلُّ</w:t>
      </w:r>
      <w:r w:rsidRPr="00FD3279">
        <w:rPr>
          <w:noProof/>
          <w:sz w:val="26"/>
          <w:szCs w:val="28"/>
          <w:rtl/>
        </w:rPr>
        <w:t xml:space="preserve"> </w:t>
      </w:r>
      <w:r w:rsidRPr="00FD3279">
        <w:rPr>
          <w:rFonts w:ascii="Mosawi" w:hAnsi="Mosawi"/>
          <w:noProof/>
          <w:sz w:val="24"/>
          <w:szCs w:val="28"/>
          <w:rtl/>
        </w:rPr>
        <w:t>حِزْبٍ</w:t>
      </w:r>
      <w:r w:rsidRPr="00FD3279">
        <w:rPr>
          <w:noProof/>
          <w:sz w:val="26"/>
          <w:szCs w:val="28"/>
          <w:rtl/>
        </w:rPr>
        <w:t xml:space="preserve"> </w:t>
      </w:r>
      <w:r w:rsidRPr="00FD3279">
        <w:rPr>
          <w:rFonts w:ascii="Mosawi" w:hAnsi="Mosawi"/>
          <w:noProof/>
          <w:sz w:val="24"/>
          <w:szCs w:val="28"/>
          <w:rtl/>
        </w:rPr>
        <w:t>بِمَا</w:t>
      </w:r>
      <w:r w:rsidRPr="00FD3279">
        <w:rPr>
          <w:noProof/>
          <w:sz w:val="26"/>
          <w:szCs w:val="28"/>
          <w:rtl/>
        </w:rPr>
        <w:t xml:space="preserve"> </w:t>
      </w:r>
      <w:r w:rsidRPr="00FD3279">
        <w:rPr>
          <w:rFonts w:ascii="Mosawi" w:hAnsi="Mosawi"/>
          <w:noProof/>
          <w:sz w:val="24"/>
          <w:szCs w:val="28"/>
          <w:rtl/>
        </w:rPr>
        <w:t>لَدَيْهِمْ</w:t>
      </w:r>
      <w:r w:rsidRPr="00FD3279">
        <w:rPr>
          <w:noProof/>
          <w:sz w:val="26"/>
          <w:szCs w:val="28"/>
          <w:rtl/>
        </w:rPr>
        <w:t xml:space="preserve"> </w:t>
      </w:r>
      <w:r w:rsidRPr="00FD3279">
        <w:rPr>
          <w:rFonts w:ascii="Mosawi" w:hAnsi="Mosawi"/>
          <w:noProof/>
          <w:sz w:val="24"/>
          <w:szCs w:val="28"/>
          <w:rtl/>
        </w:rPr>
        <w:t>فَرِحُونَ</w:t>
      </w:r>
      <w:r>
        <w:rPr>
          <w:rFonts w:ascii="Mosawi" w:hAnsi="Mosawi"/>
          <w:noProof/>
          <w:sz w:val="24"/>
          <w:szCs w:val="28"/>
          <w:rtl/>
        </w:rPr>
        <w:tab/>
      </w:r>
      <w:r w:rsidRPr="00FD3279">
        <w:rPr>
          <w:noProof/>
          <w:sz w:val="26"/>
          <w:szCs w:val="28"/>
          <w:rtl/>
        </w:rPr>
        <w:t xml:space="preserve"> </w:t>
      </w:r>
      <w:r w:rsidRPr="00FD3279">
        <w:rPr>
          <w:noProof/>
          <w:sz w:val="26"/>
          <w:szCs w:val="28"/>
        </w:rPr>
        <w:t>327</w:t>
      </w:r>
    </w:p>
    <w:p w:rsidR="0064415C" w:rsidRPr="00FD3279" w:rsidRDefault="0064415C" w:rsidP="0064415C">
      <w:pPr>
        <w:tabs>
          <w:tab w:val="right" w:pos="6804"/>
        </w:tabs>
        <w:ind w:firstLine="0"/>
        <w:rPr>
          <w:noProof/>
          <w:sz w:val="26"/>
          <w:szCs w:val="28"/>
        </w:rPr>
      </w:pPr>
      <w:r w:rsidRPr="00FD3279">
        <w:rPr>
          <w:noProof/>
          <w:sz w:val="26"/>
          <w:szCs w:val="28"/>
          <w:rtl/>
        </w:rPr>
        <w:t>(النور /</w:t>
      </w:r>
      <w:r>
        <w:rPr>
          <w:rFonts w:hint="cs"/>
          <w:noProof/>
          <w:sz w:val="26"/>
          <w:szCs w:val="28"/>
          <w:rtl/>
        </w:rPr>
        <w:t xml:space="preserve"> 2</w:t>
      </w:r>
      <w:r w:rsidRPr="00FD3279">
        <w:rPr>
          <w:noProof/>
          <w:sz w:val="26"/>
          <w:szCs w:val="28"/>
          <w:rtl/>
        </w:rPr>
        <w:t xml:space="preserve">) </w:t>
      </w:r>
      <w:r w:rsidRPr="00FD3279">
        <w:rPr>
          <w:rFonts w:ascii="Mosawi" w:hAnsi="Mosawi"/>
          <w:noProof/>
          <w:sz w:val="24"/>
          <w:szCs w:val="28"/>
          <w:rtl/>
        </w:rPr>
        <w:t>الزَّانِيَةُ</w:t>
      </w:r>
      <w:r w:rsidRPr="00FD3279">
        <w:rPr>
          <w:noProof/>
          <w:sz w:val="26"/>
          <w:szCs w:val="28"/>
          <w:rtl/>
        </w:rPr>
        <w:t xml:space="preserve"> </w:t>
      </w:r>
      <w:r w:rsidRPr="00FD3279">
        <w:rPr>
          <w:rFonts w:ascii="Mosawi" w:hAnsi="Mosawi"/>
          <w:noProof/>
          <w:sz w:val="24"/>
          <w:szCs w:val="28"/>
          <w:rtl/>
        </w:rPr>
        <w:t>وَالزَّانِي</w:t>
      </w:r>
      <w:r w:rsidRPr="00FD3279">
        <w:rPr>
          <w:noProof/>
          <w:sz w:val="26"/>
          <w:szCs w:val="28"/>
          <w:rtl/>
        </w:rPr>
        <w:t xml:space="preserve"> </w:t>
      </w:r>
      <w:r w:rsidRPr="00FD3279">
        <w:rPr>
          <w:rFonts w:ascii="Mosawi" w:hAnsi="Mosawi"/>
          <w:noProof/>
          <w:sz w:val="24"/>
          <w:szCs w:val="28"/>
          <w:rtl/>
        </w:rPr>
        <w:t>فَاجْلِد</w:t>
      </w:r>
      <w:r w:rsidRPr="00FD3279">
        <w:rPr>
          <w:noProof/>
          <w:sz w:val="26"/>
          <w:szCs w:val="28"/>
          <w:rtl/>
        </w:rPr>
        <w:t>ُوا كُلَّ وَاحِدٍ مِنْهُمَا مِائَةَ جَلْدَةٍ</w:t>
      </w:r>
      <w:r>
        <w:rPr>
          <w:noProof/>
          <w:sz w:val="26"/>
          <w:szCs w:val="28"/>
          <w:rtl/>
        </w:rPr>
        <w:tab/>
      </w:r>
      <w:r w:rsidRPr="00FD3279">
        <w:rPr>
          <w:noProof/>
          <w:sz w:val="26"/>
          <w:szCs w:val="28"/>
          <w:rtl/>
        </w:rPr>
        <w:t xml:space="preserve"> </w:t>
      </w:r>
      <w:r w:rsidRPr="00FD3279">
        <w:rPr>
          <w:noProof/>
          <w:sz w:val="26"/>
          <w:szCs w:val="28"/>
        </w:rPr>
        <w:t>412</w:t>
      </w:r>
    </w:p>
    <w:p w:rsidR="0064415C" w:rsidRPr="00FD3279" w:rsidRDefault="0064415C" w:rsidP="0064415C">
      <w:pPr>
        <w:tabs>
          <w:tab w:val="right" w:pos="6804"/>
        </w:tabs>
        <w:ind w:firstLine="0"/>
        <w:rPr>
          <w:noProof/>
          <w:sz w:val="26"/>
          <w:szCs w:val="28"/>
        </w:rPr>
      </w:pPr>
      <w:r w:rsidRPr="00FD3279">
        <w:rPr>
          <w:noProof/>
          <w:sz w:val="26"/>
          <w:szCs w:val="28"/>
          <w:rtl/>
        </w:rPr>
        <w:t>(النور /</w:t>
      </w:r>
      <w:r>
        <w:rPr>
          <w:rFonts w:hint="cs"/>
          <w:noProof/>
          <w:sz w:val="26"/>
          <w:szCs w:val="28"/>
          <w:rtl/>
        </w:rPr>
        <w:t xml:space="preserve"> 62</w:t>
      </w:r>
      <w:r w:rsidRPr="00FD3279">
        <w:rPr>
          <w:noProof/>
          <w:sz w:val="26"/>
          <w:szCs w:val="28"/>
          <w:rtl/>
        </w:rPr>
        <w:t xml:space="preserve">) </w:t>
      </w:r>
      <w:r w:rsidRPr="00FD3279">
        <w:rPr>
          <w:rFonts w:ascii="Mosawi" w:hAnsi="Mosawi"/>
          <w:noProof/>
          <w:sz w:val="24"/>
          <w:szCs w:val="28"/>
          <w:rtl/>
        </w:rPr>
        <w:t>إِنَّمَا</w:t>
      </w:r>
      <w:r w:rsidRPr="00FD3279">
        <w:rPr>
          <w:noProof/>
          <w:sz w:val="26"/>
          <w:szCs w:val="28"/>
          <w:rtl/>
        </w:rPr>
        <w:t xml:space="preserve"> </w:t>
      </w:r>
      <w:r w:rsidRPr="00FD3279">
        <w:rPr>
          <w:rFonts w:ascii="Mosawi" w:hAnsi="Mosawi"/>
          <w:noProof/>
          <w:sz w:val="24"/>
          <w:szCs w:val="28"/>
          <w:rtl/>
        </w:rPr>
        <w:t>الْمُؤْمِنُونَ</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آمَنُوا</w:t>
      </w:r>
      <w:r w:rsidRPr="00FD3279">
        <w:rPr>
          <w:noProof/>
          <w:sz w:val="26"/>
          <w:szCs w:val="28"/>
          <w:rtl/>
        </w:rPr>
        <w:t xml:space="preserve"> </w:t>
      </w:r>
      <w:r w:rsidRPr="00FD3279">
        <w:rPr>
          <w:rFonts w:ascii="Mosawi" w:hAnsi="Mosawi"/>
          <w:noProof/>
          <w:sz w:val="24"/>
          <w:szCs w:val="28"/>
          <w:rtl/>
        </w:rPr>
        <w:t>بِاللهِ</w:t>
      </w:r>
      <w:r w:rsidRPr="00FD3279">
        <w:rPr>
          <w:noProof/>
          <w:sz w:val="26"/>
          <w:szCs w:val="28"/>
          <w:rtl/>
        </w:rPr>
        <w:t xml:space="preserve"> </w:t>
      </w:r>
      <w:r w:rsidRPr="00FD3279">
        <w:rPr>
          <w:rFonts w:ascii="Mosawi" w:hAnsi="Mosawi"/>
          <w:noProof/>
          <w:sz w:val="24"/>
          <w:szCs w:val="28"/>
          <w:rtl/>
        </w:rPr>
        <w:t>وَرَسُولِهِ</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93</w:t>
      </w:r>
      <w:r w:rsidRPr="00FD3279">
        <w:rPr>
          <w:noProof/>
          <w:sz w:val="26"/>
          <w:szCs w:val="28"/>
          <w:rtl/>
        </w:rPr>
        <w:t xml:space="preserve">، </w:t>
      </w:r>
      <w:r w:rsidRPr="00FD3279">
        <w:rPr>
          <w:noProof/>
          <w:sz w:val="26"/>
          <w:szCs w:val="28"/>
        </w:rPr>
        <w:t>405</w:t>
      </w:r>
    </w:p>
    <w:p w:rsidR="0064415C" w:rsidRPr="00FD3279" w:rsidRDefault="0064415C" w:rsidP="0064415C">
      <w:pPr>
        <w:tabs>
          <w:tab w:val="right" w:pos="6804"/>
        </w:tabs>
        <w:ind w:firstLine="0"/>
        <w:rPr>
          <w:noProof/>
          <w:sz w:val="26"/>
          <w:szCs w:val="28"/>
        </w:rPr>
      </w:pPr>
      <w:r w:rsidRPr="00FD3279">
        <w:rPr>
          <w:noProof/>
          <w:sz w:val="26"/>
          <w:szCs w:val="28"/>
          <w:rtl/>
        </w:rPr>
        <w:t>(النور /</w:t>
      </w:r>
      <w:r>
        <w:rPr>
          <w:rFonts w:hint="cs"/>
          <w:noProof/>
          <w:sz w:val="26"/>
          <w:szCs w:val="28"/>
          <w:rtl/>
        </w:rPr>
        <w:t xml:space="preserve"> 63</w:t>
      </w:r>
      <w:r w:rsidRPr="00FD3279">
        <w:rPr>
          <w:noProof/>
          <w:sz w:val="26"/>
          <w:szCs w:val="28"/>
          <w:rtl/>
        </w:rPr>
        <w:t xml:space="preserve">) </w:t>
      </w:r>
      <w:r w:rsidRPr="00FD3279">
        <w:rPr>
          <w:rFonts w:ascii="Mosawi" w:hAnsi="Mosawi"/>
          <w:noProof/>
          <w:sz w:val="24"/>
          <w:szCs w:val="28"/>
          <w:rtl/>
        </w:rPr>
        <w:t>لاَ</w:t>
      </w:r>
      <w:r w:rsidRPr="00FD3279">
        <w:rPr>
          <w:noProof/>
          <w:sz w:val="26"/>
          <w:szCs w:val="28"/>
          <w:rtl/>
        </w:rPr>
        <w:t xml:space="preserve"> </w:t>
      </w:r>
      <w:r w:rsidRPr="00FD3279">
        <w:rPr>
          <w:rFonts w:ascii="Mosawi" w:hAnsi="Mosawi"/>
          <w:noProof/>
          <w:sz w:val="24"/>
          <w:szCs w:val="28"/>
          <w:rtl/>
        </w:rPr>
        <w:t>تَجْعَلُوا</w:t>
      </w:r>
      <w:r w:rsidRPr="00FD3279">
        <w:rPr>
          <w:noProof/>
          <w:sz w:val="26"/>
          <w:szCs w:val="28"/>
          <w:rtl/>
        </w:rPr>
        <w:t xml:space="preserve"> </w:t>
      </w:r>
      <w:r w:rsidRPr="00FD3279">
        <w:rPr>
          <w:rFonts w:ascii="Mosawi" w:hAnsi="Mosawi"/>
          <w:noProof/>
          <w:sz w:val="24"/>
          <w:szCs w:val="28"/>
          <w:rtl/>
        </w:rPr>
        <w:t>دُعَاءَ</w:t>
      </w:r>
      <w:r w:rsidRPr="00FD3279">
        <w:rPr>
          <w:noProof/>
          <w:sz w:val="26"/>
          <w:szCs w:val="28"/>
          <w:rtl/>
        </w:rPr>
        <w:t xml:space="preserve"> </w:t>
      </w:r>
      <w:r w:rsidRPr="00FD3279">
        <w:rPr>
          <w:rFonts w:ascii="Mosawi" w:hAnsi="Mosawi"/>
          <w:noProof/>
          <w:sz w:val="24"/>
          <w:szCs w:val="28"/>
          <w:rtl/>
        </w:rPr>
        <w:t>الرَّسُولِ</w:t>
      </w:r>
      <w:r w:rsidRPr="00FD3279">
        <w:rPr>
          <w:noProof/>
          <w:sz w:val="26"/>
          <w:szCs w:val="28"/>
          <w:rtl/>
        </w:rPr>
        <w:t xml:space="preserve"> </w:t>
      </w:r>
      <w:r w:rsidRPr="00FD3279">
        <w:rPr>
          <w:rFonts w:ascii="Mosawi" w:hAnsi="Mosawi"/>
          <w:noProof/>
          <w:sz w:val="24"/>
          <w:szCs w:val="28"/>
          <w:rtl/>
        </w:rPr>
        <w:t>بَيْنَكُمْ</w:t>
      </w:r>
      <w:r w:rsidRPr="00FD3279">
        <w:rPr>
          <w:noProof/>
          <w:sz w:val="26"/>
          <w:szCs w:val="28"/>
          <w:rtl/>
        </w:rPr>
        <w:t xml:space="preserve"> </w:t>
      </w:r>
      <w:r w:rsidRPr="00FD3279">
        <w:rPr>
          <w:rFonts w:ascii="Mosawi" w:hAnsi="Mosawi"/>
          <w:noProof/>
          <w:sz w:val="24"/>
          <w:szCs w:val="28"/>
          <w:rtl/>
        </w:rPr>
        <w:t>كَدُعَاءِ</w:t>
      </w:r>
      <w:r w:rsidRPr="00FD3279">
        <w:rPr>
          <w:noProof/>
          <w:sz w:val="26"/>
          <w:szCs w:val="28"/>
          <w:rtl/>
        </w:rPr>
        <w:t xml:space="preserve"> </w:t>
      </w:r>
      <w:r w:rsidRPr="00FD3279">
        <w:rPr>
          <w:rFonts w:ascii="Mosawi" w:hAnsi="Mosawi"/>
          <w:noProof/>
          <w:sz w:val="24"/>
          <w:szCs w:val="28"/>
          <w:rtl/>
        </w:rPr>
        <w:t>بَعْضِكُمْ</w:t>
      </w:r>
      <w:r w:rsidRPr="00FD3279">
        <w:rPr>
          <w:noProof/>
          <w:sz w:val="26"/>
          <w:szCs w:val="28"/>
          <w:rtl/>
        </w:rPr>
        <w:t xml:space="preserve"> </w:t>
      </w:r>
      <w:r w:rsidRPr="00FD3279">
        <w:rPr>
          <w:rFonts w:ascii="Mosawi" w:hAnsi="Mosawi"/>
          <w:noProof/>
          <w:sz w:val="24"/>
          <w:szCs w:val="28"/>
          <w:rtl/>
        </w:rPr>
        <w:t>بَعْضاً</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93</w:t>
      </w:r>
      <w:r w:rsidRPr="00FD3279">
        <w:rPr>
          <w:noProof/>
          <w:sz w:val="26"/>
          <w:szCs w:val="28"/>
          <w:rtl/>
        </w:rPr>
        <w:t xml:space="preserve">، </w:t>
      </w:r>
      <w:r w:rsidRPr="00FD3279">
        <w:rPr>
          <w:noProof/>
          <w:sz w:val="26"/>
          <w:szCs w:val="28"/>
        </w:rPr>
        <w:t>405</w:t>
      </w:r>
    </w:p>
    <w:p w:rsidR="0064415C" w:rsidRPr="00FD3279" w:rsidRDefault="0064415C" w:rsidP="0064415C">
      <w:pPr>
        <w:tabs>
          <w:tab w:val="right" w:pos="6804"/>
        </w:tabs>
        <w:ind w:firstLine="0"/>
        <w:rPr>
          <w:noProof/>
          <w:sz w:val="26"/>
          <w:szCs w:val="28"/>
        </w:rPr>
      </w:pPr>
      <w:r w:rsidRPr="00FD3279">
        <w:rPr>
          <w:noProof/>
          <w:sz w:val="26"/>
          <w:szCs w:val="28"/>
          <w:rtl/>
        </w:rPr>
        <w:t>(العنكبوت /</w:t>
      </w:r>
      <w:r>
        <w:rPr>
          <w:rFonts w:hint="cs"/>
          <w:noProof/>
          <w:sz w:val="26"/>
          <w:szCs w:val="28"/>
          <w:rtl/>
        </w:rPr>
        <w:t xml:space="preserve"> 8</w:t>
      </w:r>
      <w:r w:rsidRPr="00FD3279">
        <w:rPr>
          <w:noProof/>
          <w:sz w:val="26"/>
          <w:szCs w:val="28"/>
          <w:rtl/>
        </w:rPr>
        <w:t xml:space="preserve">) </w:t>
      </w:r>
      <w:r w:rsidRPr="00FD3279">
        <w:rPr>
          <w:rFonts w:ascii="Mosawi" w:hAnsi="Mosawi"/>
          <w:noProof/>
          <w:sz w:val="24"/>
          <w:szCs w:val="28"/>
          <w:rtl/>
        </w:rPr>
        <w:t>وَوَصَّيْنَا</w:t>
      </w:r>
      <w:r w:rsidRPr="00FD3279">
        <w:rPr>
          <w:noProof/>
          <w:sz w:val="26"/>
          <w:szCs w:val="28"/>
          <w:rtl/>
        </w:rPr>
        <w:t xml:space="preserve"> </w:t>
      </w:r>
      <w:r w:rsidRPr="00FD3279">
        <w:rPr>
          <w:rFonts w:ascii="Mosawi" w:hAnsi="Mosawi"/>
          <w:noProof/>
          <w:sz w:val="24"/>
          <w:szCs w:val="28"/>
          <w:rtl/>
        </w:rPr>
        <w:t>الإِنْسَانَ</w:t>
      </w:r>
      <w:r w:rsidRPr="00FD3279">
        <w:rPr>
          <w:noProof/>
          <w:sz w:val="26"/>
          <w:szCs w:val="28"/>
          <w:rtl/>
        </w:rPr>
        <w:t xml:space="preserve"> </w:t>
      </w:r>
      <w:r w:rsidRPr="00FD3279">
        <w:rPr>
          <w:rFonts w:ascii="Mosawi" w:hAnsi="Mosawi"/>
          <w:noProof/>
          <w:sz w:val="24"/>
          <w:szCs w:val="28"/>
          <w:rtl/>
        </w:rPr>
        <w:t>بِوَالِدَيْهِ</w:t>
      </w:r>
      <w:r w:rsidRPr="00FD3279">
        <w:rPr>
          <w:noProof/>
          <w:sz w:val="26"/>
          <w:szCs w:val="28"/>
          <w:rtl/>
        </w:rPr>
        <w:t xml:space="preserve"> </w:t>
      </w:r>
      <w:r w:rsidRPr="00FD3279">
        <w:rPr>
          <w:rFonts w:ascii="Mosawi" w:hAnsi="Mosawi"/>
          <w:noProof/>
          <w:sz w:val="24"/>
          <w:szCs w:val="28"/>
          <w:rtl/>
        </w:rPr>
        <w:t>حُسْناً</w:t>
      </w:r>
      <w:r w:rsidRPr="00FD3279">
        <w:rPr>
          <w:noProof/>
          <w:sz w:val="26"/>
          <w:szCs w:val="28"/>
          <w:rtl/>
        </w:rPr>
        <w:t xml:space="preserve"> </w:t>
      </w:r>
      <w:r w:rsidRPr="00FD3279">
        <w:rPr>
          <w:rFonts w:ascii="Mosawi" w:hAnsi="Mosawi"/>
          <w:noProof/>
          <w:sz w:val="24"/>
          <w:szCs w:val="28"/>
          <w:rtl/>
        </w:rPr>
        <w:t>وَإِنْ</w:t>
      </w:r>
      <w:r w:rsidRPr="00FD3279">
        <w:rPr>
          <w:noProof/>
          <w:sz w:val="26"/>
          <w:szCs w:val="28"/>
          <w:rtl/>
        </w:rPr>
        <w:t xml:space="preserve"> </w:t>
      </w:r>
      <w:r w:rsidRPr="00FD3279">
        <w:rPr>
          <w:rFonts w:ascii="Mosawi" w:hAnsi="Mosawi"/>
          <w:noProof/>
          <w:sz w:val="24"/>
          <w:szCs w:val="28"/>
          <w:rtl/>
        </w:rPr>
        <w:t>جَاهَدَاكَ</w:t>
      </w:r>
      <w:r w:rsidRPr="00FD3279">
        <w:rPr>
          <w:noProof/>
          <w:sz w:val="26"/>
          <w:szCs w:val="28"/>
          <w:rtl/>
        </w:rPr>
        <w:t xml:space="preserve"> </w:t>
      </w:r>
      <w:r w:rsidRPr="00FD3279">
        <w:rPr>
          <w:rFonts w:ascii="Mosawi" w:hAnsi="Mosawi"/>
          <w:noProof/>
          <w:sz w:val="24"/>
          <w:szCs w:val="28"/>
          <w:rtl/>
        </w:rPr>
        <w:t>لِتُشْرِكَ</w:t>
      </w:r>
      <w:r w:rsidRPr="00FD3279">
        <w:rPr>
          <w:noProof/>
          <w:sz w:val="26"/>
          <w:szCs w:val="28"/>
          <w:rtl/>
        </w:rPr>
        <w:t xml:space="preserve"> </w:t>
      </w:r>
      <w:r w:rsidRPr="00FD3279">
        <w:rPr>
          <w:rFonts w:ascii="Mosawi" w:hAnsi="Mosawi"/>
          <w:noProof/>
          <w:sz w:val="24"/>
          <w:szCs w:val="28"/>
          <w:rtl/>
        </w:rPr>
        <w:t>بِي</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96</w:t>
      </w:r>
    </w:p>
    <w:p w:rsidR="0064415C" w:rsidRPr="00FD3279" w:rsidRDefault="0064415C" w:rsidP="0064415C">
      <w:pPr>
        <w:tabs>
          <w:tab w:val="right" w:pos="6804"/>
        </w:tabs>
        <w:ind w:firstLine="0"/>
        <w:rPr>
          <w:noProof/>
          <w:sz w:val="26"/>
          <w:szCs w:val="28"/>
        </w:rPr>
      </w:pPr>
      <w:r w:rsidRPr="00FD3279">
        <w:rPr>
          <w:noProof/>
          <w:sz w:val="26"/>
          <w:szCs w:val="28"/>
          <w:rtl/>
        </w:rPr>
        <w:t xml:space="preserve"> (العنكبوت /</w:t>
      </w:r>
      <w:r>
        <w:rPr>
          <w:rFonts w:hint="cs"/>
          <w:noProof/>
          <w:sz w:val="26"/>
          <w:szCs w:val="28"/>
          <w:rtl/>
        </w:rPr>
        <w:t xml:space="preserve"> 41</w:t>
      </w:r>
      <w:r w:rsidRPr="00FD3279">
        <w:rPr>
          <w:noProof/>
          <w:sz w:val="26"/>
          <w:szCs w:val="28"/>
          <w:rtl/>
        </w:rPr>
        <w:t xml:space="preserve">) </w:t>
      </w:r>
      <w:r w:rsidRPr="00FD3279">
        <w:rPr>
          <w:rFonts w:ascii="Mosawi" w:hAnsi="Mosawi"/>
          <w:noProof/>
          <w:sz w:val="24"/>
          <w:szCs w:val="28"/>
          <w:rtl/>
        </w:rPr>
        <w:t>مَثَلُ</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اتَّخَذُوا</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دُونِ</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أَوْلِيَاءَ</w:t>
      </w:r>
      <w:r w:rsidRPr="00FD3279">
        <w:rPr>
          <w:noProof/>
          <w:sz w:val="26"/>
          <w:szCs w:val="28"/>
          <w:rtl/>
        </w:rPr>
        <w:t xml:space="preserve"> </w:t>
      </w:r>
      <w:r w:rsidRPr="00FD3279">
        <w:rPr>
          <w:rFonts w:ascii="Mosawi" w:hAnsi="Mosawi"/>
          <w:noProof/>
          <w:sz w:val="24"/>
          <w:szCs w:val="28"/>
          <w:rtl/>
        </w:rPr>
        <w:t>كَمَثَلِ</w:t>
      </w:r>
      <w:r w:rsidRPr="00FD3279">
        <w:rPr>
          <w:noProof/>
          <w:sz w:val="26"/>
          <w:szCs w:val="28"/>
          <w:rtl/>
        </w:rPr>
        <w:t xml:space="preserve"> </w:t>
      </w:r>
      <w:r w:rsidRPr="00FD3279">
        <w:rPr>
          <w:rFonts w:ascii="Mosawi" w:hAnsi="Mosawi"/>
          <w:noProof/>
          <w:sz w:val="24"/>
          <w:szCs w:val="28"/>
          <w:rtl/>
        </w:rPr>
        <w:t>الْعَنكَبُوتِ</w:t>
      </w:r>
      <w:r>
        <w:rPr>
          <w:rFonts w:ascii="Mosawi" w:hAnsi="Mosawi"/>
          <w:noProof/>
          <w:sz w:val="24"/>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 xml:space="preserve"> (السجدة /</w:t>
      </w:r>
      <w:r>
        <w:rPr>
          <w:rFonts w:hint="cs"/>
          <w:noProof/>
          <w:sz w:val="26"/>
          <w:szCs w:val="28"/>
          <w:rtl/>
        </w:rPr>
        <w:t xml:space="preserve"> 4</w:t>
      </w:r>
      <w:r w:rsidRPr="00FD3279">
        <w:rPr>
          <w:noProof/>
          <w:sz w:val="26"/>
          <w:szCs w:val="28"/>
          <w:rtl/>
        </w:rPr>
        <w:t>) اللهُ وَلِيُّ الَّذِينَ آمَنُوا يُخْرِجُهُمْ مِنْ الظُّلُمَاتِ إِلَى النُّورِ</w:t>
      </w:r>
      <w:r>
        <w:rPr>
          <w:noProof/>
          <w:sz w:val="26"/>
          <w:szCs w:val="28"/>
          <w:rtl/>
        </w:rPr>
        <w:tab/>
      </w:r>
      <w:r w:rsidRPr="00FD3279">
        <w:rPr>
          <w:noProof/>
          <w:sz w:val="26"/>
          <w:szCs w:val="28"/>
          <w:rtl/>
        </w:rPr>
        <w:t xml:space="preserve"> </w:t>
      </w:r>
      <w:r w:rsidRPr="00FD3279">
        <w:rPr>
          <w:noProof/>
          <w:sz w:val="26"/>
          <w:szCs w:val="28"/>
        </w:rPr>
        <w:t>89</w:t>
      </w:r>
    </w:p>
    <w:p w:rsidR="0064415C" w:rsidRPr="00FD3279" w:rsidRDefault="0064415C" w:rsidP="0064415C">
      <w:pPr>
        <w:tabs>
          <w:tab w:val="right" w:pos="6804"/>
        </w:tabs>
        <w:ind w:firstLine="0"/>
        <w:rPr>
          <w:noProof/>
          <w:sz w:val="26"/>
          <w:szCs w:val="28"/>
        </w:rPr>
      </w:pPr>
      <w:r w:rsidRPr="00FD3279">
        <w:rPr>
          <w:noProof/>
          <w:sz w:val="26"/>
          <w:szCs w:val="28"/>
          <w:rtl/>
        </w:rPr>
        <w:t>(فصّلت /</w:t>
      </w:r>
      <w:r>
        <w:rPr>
          <w:rFonts w:hint="cs"/>
          <w:noProof/>
          <w:sz w:val="26"/>
          <w:szCs w:val="28"/>
          <w:rtl/>
        </w:rPr>
        <w:t xml:space="preserve"> ۳۰ ـ ۳۱</w:t>
      </w:r>
      <w:r w:rsidRPr="00FD3279">
        <w:rPr>
          <w:noProof/>
          <w:sz w:val="26"/>
          <w:szCs w:val="28"/>
          <w:rtl/>
        </w:rPr>
        <w:t xml:space="preserve">) </w:t>
      </w:r>
      <w:r w:rsidRPr="00FD3279">
        <w:rPr>
          <w:rFonts w:ascii="Mosawi" w:hAnsi="Mosawi"/>
          <w:noProof/>
          <w:sz w:val="24"/>
          <w:szCs w:val="28"/>
          <w:rtl/>
        </w:rPr>
        <w:t>إِنَّ</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قَالُوا</w:t>
      </w:r>
      <w:r w:rsidRPr="00FD3279">
        <w:rPr>
          <w:noProof/>
          <w:sz w:val="26"/>
          <w:szCs w:val="28"/>
          <w:rtl/>
        </w:rPr>
        <w:t xml:space="preserve"> </w:t>
      </w:r>
      <w:r w:rsidRPr="00FD3279">
        <w:rPr>
          <w:rFonts w:ascii="Mosawi" w:hAnsi="Mosawi"/>
          <w:noProof/>
          <w:sz w:val="24"/>
          <w:szCs w:val="28"/>
          <w:rtl/>
        </w:rPr>
        <w:t>رَبُّنَا</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ثُمَّ</w:t>
      </w:r>
      <w:r w:rsidRPr="00FD3279">
        <w:rPr>
          <w:noProof/>
          <w:sz w:val="26"/>
          <w:szCs w:val="28"/>
          <w:rtl/>
        </w:rPr>
        <w:t xml:space="preserve"> </w:t>
      </w:r>
      <w:r w:rsidRPr="00FD3279">
        <w:rPr>
          <w:rFonts w:ascii="Mosawi" w:hAnsi="Mosawi"/>
          <w:noProof/>
          <w:sz w:val="24"/>
          <w:szCs w:val="28"/>
          <w:rtl/>
        </w:rPr>
        <w:t>اسْتَقَامُوا</w:t>
      </w:r>
      <w:r w:rsidRPr="00FD3279">
        <w:rPr>
          <w:noProof/>
          <w:sz w:val="26"/>
          <w:szCs w:val="28"/>
          <w:rtl/>
        </w:rPr>
        <w:t xml:space="preserve"> </w:t>
      </w:r>
      <w:r w:rsidRPr="00FD3279">
        <w:rPr>
          <w:rFonts w:ascii="Mosawi" w:hAnsi="Mosawi"/>
          <w:noProof/>
          <w:sz w:val="24"/>
          <w:szCs w:val="28"/>
          <w:rtl/>
        </w:rPr>
        <w:t>تَتَنَزَّلُ</w:t>
      </w:r>
      <w:r w:rsidRPr="00FD3279">
        <w:rPr>
          <w:noProof/>
          <w:sz w:val="26"/>
          <w:szCs w:val="28"/>
          <w:rtl/>
        </w:rPr>
        <w:t xml:space="preserve"> </w:t>
      </w:r>
      <w:r w:rsidRPr="00FD3279">
        <w:rPr>
          <w:rFonts w:ascii="Mosawi" w:hAnsi="Mosawi"/>
          <w:noProof/>
          <w:sz w:val="24"/>
          <w:szCs w:val="28"/>
          <w:rtl/>
        </w:rPr>
        <w:t>عَلَيْهِمْ</w:t>
      </w:r>
      <w:r w:rsidRPr="00FD3279">
        <w:rPr>
          <w:noProof/>
          <w:sz w:val="26"/>
          <w:szCs w:val="28"/>
          <w:rtl/>
        </w:rPr>
        <w:t xml:space="preserve"> </w:t>
      </w:r>
      <w:r w:rsidRPr="00FD3279">
        <w:rPr>
          <w:rFonts w:ascii="Mosawi" w:hAnsi="Mosawi"/>
          <w:noProof/>
          <w:sz w:val="24"/>
          <w:szCs w:val="28"/>
          <w:rtl/>
        </w:rPr>
        <w:t>الْمَلاَئِكَةُ</w:t>
      </w:r>
      <w:r>
        <w:rPr>
          <w:rFonts w:ascii="Mosawi" w:hAnsi="Mosawi"/>
          <w:noProof/>
          <w:sz w:val="24"/>
          <w:szCs w:val="28"/>
          <w:rtl/>
        </w:rPr>
        <w:tab/>
      </w:r>
      <w:r w:rsidRPr="00FD3279">
        <w:rPr>
          <w:noProof/>
          <w:sz w:val="26"/>
          <w:szCs w:val="28"/>
          <w:rtl/>
        </w:rPr>
        <w:t xml:space="preserve"> </w:t>
      </w:r>
      <w:r w:rsidRPr="00FD3279">
        <w:rPr>
          <w:noProof/>
          <w:sz w:val="26"/>
          <w:szCs w:val="28"/>
        </w:rPr>
        <w:t>91</w:t>
      </w:r>
    </w:p>
    <w:p w:rsidR="0064415C" w:rsidRPr="00FD3279" w:rsidRDefault="0064415C" w:rsidP="0064415C">
      <w:pPr>
        <w:tabs>
          <w:tab w:val="right" w:pos="6804"/>
        </w:tabs>
        <w:ind w:firstLine="0"/>
        <w:rPr>
          <w:noProof/>
          <w:sz w:val="26"/>
          <w:szCs w:val="28"/>
        </w:rPr>
      </w:pPr>
      <w:r w:rsidRPr="00FD3279">
        <w:rPr>
          <w:noProof/>
          <w:sz w:val="26"/>
          <w:szCs w:val="28"/>
          <w:rtl/>
        </w:rPr>
        <w:t>(فصلت /</w:t>
      </w:r>
      <w:r>
        <w:rPr>
          <w:rFonts w:hint="cs"/>
          <w:noProof/>
          <w:sz w:val="26"/>
          <w:szCs w:val="28"/>
          <w:rtl/>
        </w:rPr>
        <w:t xml:space="preserve"> 34</w:t>
      </w:r>
      <w:r w:rsidRPr="00FD3279">
        <w:rPr>
          <w:noProof/>
          <w:sz w:val="26"/>
          <w:szCs w:val="28"/>
          <w:rtl/>
        </w:rPr>
        <w:t xml:space="preserve">) </w:t>
      </w:r>
      <w:r w:rsidRPr="00FD3279">
        <w:rPr>
          <w:rFonts w:ascii="Mosawi" w:hAnsi="Mosawi"/>
          <w:noProof/>
          <w:sz w:val="24"/>
          <w:szCs w:val="28"/>
          <w:rtl/>
        </w:rPr>
        <w:t>فَإِذَا</w:t>
      </w:r>
      <w:r w:rsidRPr="00FD3279">
        <w:rPr>
          <w:noProof/>
          <w:sz w:val="26"/>
          <w:szCs w:val="28"/>
          <w:rtl/>
        </w:rPr>
        <w:t xml:space="preserve"> </w:t>
      </w:r>
      <w:r w:rsidRPr="00FD3279">
        <w:rPr>
          <w:rFonts w:ascii="Mosawi" w:hAnsi="Mosawi"/>
          <w:noProof/>
          <w:sz w:val="24"/>
          <w:szCs w:val="28"/>
          <w:rtl/>
        </w:rPr>
        <w:t>الَّذِي</w:t>
      </w:r>
      <w:r w:rsidRPr="00FD3279">
        <w:rPr>
          <w:noProof/>
          <w:sz w:val="26"/>
          <w:szCs w:val="28"/>
          <w:rtl/>
        </w:rPr>
        <w:t xml:space="preserve"> </w:t>
      </w:r>
      <w:r w:rsidRPr="00FD3279">
        <w:rPr>
          <w:rFonts w:ascii="Mosawi" w:hAnsi="Mosawi"/>
          <w:noProof/>
          <w:sz w:val="24"/>
          <w:szCs w:val="28"/>
          <w:rtl/>
        </w:rPr>
        <w:t>بَيْنَكَ</w:t>
      </w:r>
      <w:r w:rsidRPr="00FD3279">
        <w:rPr>
          <w:noProof/>
          <w:sz w:val="26"/>
          <w:szCs w:val="28"/>
          <w:rtl/>
        </w:rPr>
        <w:t xml:space="preserve"> </w:t>
      </w:r>
      <w:r w:rsidRPr="00FD3279">
        <w:rPr>
          <w:rFonts w:ascii="Mosawi" w:hAnsi="Mosawi"/>
          <w:noProof/>
          <w:sz w:val="24"/>
          <w:szCs w:val="28"/>
          <w:rtl/>
        </w:rPr>
        <w:t>وَبَيْنَهُ</w:t>
      </w:r>
      <w:r w:rsidRPr="00FD3279">
        <w:rPr>
          <w:noProof/>
          <w:sz w:val="26"/>
          <w:szCs w:val="28"/>
          <w:rtl/>
        </w:rPr>
        <w:t xml:space="preserve"> </w:t>
      </w:r>
      <w:r w:rsidRPr="00FD3279">
        <w:rPr>
          <w:rFonts w:ascii="Mosawi" w:hAnsi="Mosawi"/>
          <w:noProof/>
          <w:sz w:val="24"/>
          <w:szCs w:val="28"/>
          <w:rtl/>
        </w:rPr>
        <w:t>عَدَاوَةٌ</w:t>
      </w:r>
      <w:r w:rsidRPr="00FD3279">
        <w:rPr>
          <w:noProof/>
          <w:sz w:val="26"/>
          <w:szCs w:val="28"/>
          <w:rtl/>
        </w:rPr>
        <w:t xml:space="preserve"> </w:t>
      </w:r>
      <w:r w:rsidRPr="00FD3279">
        <w:rPr>
          <w:rFonts w:ascii="Mosawi" w:hAnsi="Mosawi"/>
          <w:noProof/>
          <w:sz w:val="24"/>
          <w:szCs w:val="28"/>
          <w:rtl/>
        </w:rPr>
        <w:t>كَأَنَّهُ</w:t>
      </w:r>
      <w:r w:rsidRPr="00FD3279">
        <w:rPr>
          <w:noProof/>
          <w:sz w:val="26"/>
          <w:szCs w:val="28"/>
          <w:rtl/>
        </w:rPr>
        <w:t xml:space="preserve"> </w:t>
      </w:r>
      <w:r w:rsidRPr="00FD3279">
        <w:rPr>
          <w:rFonts w:ascii="Mosawi" w:hAnsi="Mosawi"/>
          <w:noProof/>
          <w:sz w:val="24"/>
          <w:szCs w:val="28"/>
          <w:rtl/>
        </w:rPr>
        <w:t>وَلِيٌّ</w:t>
      </w:r>
      <w:r w:rsidRPr="00FD3279">
        <w:rPr>
          <w:noProof/>
          <w:sz w:val="26"/>
          <w:szCs w:val="28"/>
          <w:rtl/>
        </w:rPr>
        <w:t xml:space="preserve"> </w:t>
      </w:r>
      <w:r w:rsidRPr="00FD3279">
        <w:rPr>
          <w:rFonts w:ascii="Mosawi" w:hAnsi="Mosawi"/>
          <w:noProof/>
          <w:sz w:val="24"/>
          <w:szCs w:val="28"/>
          <w:rtl/>
        </w:rPr>
        <w:t>حَمِيمٌ</w:t>
      </w:r>
      <w:r>
        <w:rPr>
          <w:rFonts w:ascii="Mosawi" w:hAnsi="Mosawi"/>
          <w:noProof/>
          <w:sz w:val="24"/>
          <w:szCs w:val="28"/>
          <w:rtl/>
        </w:rPr>
        <w:tab/>
      </w:r>
      <w:r w:rsidRPr="00FD3279">
        <w:rPr>
          <w:noProof/>
          <w:sz w:val="26"/>
          <w:szCs w:val="28"/>
          <w:rtl/>
        </w:rPr>
        <w:t xml:space="preserve"> </w:t>
      </w:r>
      <w:r w:rsidRPr="00FD3279">
        <w:rPr>
          <w:noProof/>
          <w:sz w:val="26"/>
          <w:szCs w:val="28"/>
        </w:rPr>
        <w:t>87</w:t>
      </w:r>
    </w:p>
    <w:p w:rsidR="0064415C" w:rsidRPr="000033FD" w:rsidRDefault="0064415C" w:rsidP="0064415C">
      <w:pPr>
        <w:tabs>
          <w:tab w:val="right" w:pos="6804"/>
        </w:tabs>
        <w:ind w:firstLine="0"/>
        <w:rPr>
          <w:noProof/>
          <w:sz w:val="26"/>
          <w:szCs w:val="26"/>
        </w:rPr>
      </w:pPr>
      <w:r w:rsidRPr="000033FD">
        <w:rPr>
          <w:noProof/>
          <w:sz w:val="26"/>
          <w:szCs w:val="26"/>
          <w:rtl/>
        </w:rPr>
        <w:t>(فصّلت /</w:t>
      </w:r>
      <w:r w:rsidRPr="000033FD">
        <w:rPr>
          <w:rFonts w:hint="cs"/>
          <w:noProof/>
          <w:sz w:val="26"/>
          <w:szCs w:val="26"/>
          <w:rtl/>
        </w:rPr>
        <w:t xml:space="preserve"> 42</w:t>
      </w:r>
      <w:r w:rsidRPr="000033FD">
        <w:rPr>
          <w:noProof/>
          <w:sz w:val="26"/>
          <w:szCs w:val="26"/>
          <w:rtl/>
        </w:rPr>
        <w:t xml:space="preserve">) </w:t>
      </w:r>
      <w:r w:rsidRPr="000033FD">
        <w:rPr>
          <w:rFonts w:ascii="Mosawi" w:hAnsi="Mosawi"/>
          <w:noProof/>
          <w:sz w:val="26"/>
          <w:szCs w:val="26"/>
          <w:rtl/>
        </w:rPr>
        <w:t>لاَ</w:t>
      </w:r>
      <w:r w:rsidRPr="000033FD">
        <w:rPr>
          <w:noProof/>
          <w:sz w:val="26"/>
          <w:szCs w:val="26"/>
          <w:rtl/>
        </w:rPr>
        <w:t xml:space="preserve"> </w:t>
      </w:r>
      <w:r w:rsidRPr="000033FD">
        <w:rPr>
          <w:rFonts w:ascii="Mosawi" w:hAnsi="Mosawi"/>
          <w:noProof/>
          <w:sz w:val="26"/>
          <w:szCs w:val="26"/>
          <w:rtl/>
        </w:rPr>
        <w:t>يَأْتِيهِ</w:t>
      </w:r>
      <w:r w:rsidRPr="000033FD">
        <w:rPr>
          <w:noProof/>
          <w:sz w:val="26"/>
          <w:szCs w:val="26"/>
          <w:rtl/>
        </w:rPr>
        <w:t xml:space="preserve"> </w:t>
      </w:r>
      <w:r w:rsidRPr="000033FD">
        <w:rPr>
          <w:rFonts w:ascii="Mosawi" w:hAnsi="Mosawi"/>
          <w:noProof/>
          <w:sz w:val="26"/>
          <w:szCs w:val="26"/>
          <w:rtl/>
        </w:rPr>
        <w:t>الْبَاطِلُ</w:t>
      </w:r>
      <w:r w:rsidRPr="000033FD">
        <w:rPr>
          <w:noProof/>
          <w:sz w:val="26"/>
          <w:szCs w:val="26"/>
          <w:rtl/>
        </w:rPr>
        <w:t xml:space="preserve"> </w:t>
      </w:r>
      <w:r w:rsidRPr="000033FD">
        <w:rPr>
          <w:rFonts w:ascii="Mosawi" w:hAnsi="Mosawi"/>
          <w:noProof/>
          <w:sz w:val="26"/>
          <w:szCs w:val="26"/>
          <w:rtl/>
        </w:rPr>
        <w:t>مِنْ</w:t>
      </w:r>
      <w:r w:rsidRPr="000033FD">
        <w:rPr>
          <w:noProof/>
          <w:sz w:val="26"/>
          <w:szCs w:val="26"/>
          <w:rtl/>
        </w:rPr>
        <w:t xml:space="preserve"> </w:t>
      </w:r>
      <w:r w:rsidRPr="000033FD">
        <w:rPr>
          <w:rFonts w:ascii="Mosawi" w:hAnsi="Mosawi"/>
          <w:noProof/>
          <w:sz w:val="26"/>
          <w:szCs w:val="26"/>
          <w:rtl/>
        </w:rPr>
        <w:t>بَيْنِ</w:t>
      </w:r>
      <w:r w:rsidRPr="000033FD">
        <w:rPr>
          <w:noProof/>
          <w:sz w:val="26"/>
          <w:szCs w:val="26"/>
          <w:rtl/>
        </w:rPr>
        <w:t xml:space="preserve"> </w:t>
      </w:r>
      <w:r w:rsidRPr="000033FD">
        <w:rPr>
          <w:rFonts w:ascii="Mosawi" w:hAnsi="Mosawi"/>
          <w:noProof/>
          <w:sz w:val="26"/>
          <w:szCs w:val="26"/>
          <w:rtl/>
        </w:rPr>
        <w:t>يَدَيْهِ</w:t>
      </w:r>
      <w:r w:rsidRPr="000033FD">
        <w:rPr>
          <w:noProof/>
          <w:sz w:val="26"/>
          <w:szCs w:val="26"/>
          <w:rtl/>
        </w:rPr>
        <w:t xml:space="preserve"> </w:t>
      </w:r>
      <w:r w:rsidRPr="000033FD">
        <w:rPr>
          <w:rFonts w:ascii="Mosawi" w:hAnsi="Mosawi"/>
          <w:noProof/>
          <w:sz w:val="26"/>
          <w:szCs w:val="26"/>
          <w:rtl/>
        </w:rPr>
        <w:t>وَلاَ</w:t>
      </w:r>
      <w:r w:rsidRPr="000033FD">
        <w:rPr>
          <w:noProof/>
          <w:sz w:val="26"/>
          <w:szCs w:val="26"/>
          <w:rtl/>
        </w:rPr>
        <w:t xml:space="preserve"> </w:t>
      </w:r>
      <w:r w:rsidRPr="000033FD">
        <w:rPr>
          <w:rFonts w:ascii="Mosawi" w:hAnsi="Mosawi"/>
          <w:noProof/>
          <w:sz w:val="26"/>
          <w:szCs w:val="26"/>
          <w:rtl/>
        </w:rPr>
        <w:t>مِنْ</w:t>
      </w:r>
      <w:r w:rsidRPr="000033FD">
        <w:rPr>
          <w:noProof/>
          <w:sz w:val="26"/>
          <w:szCs w:val="26"/>
          <w:rtl/>
        </w:rPr>
        <w:t xml:space="preserve"> </w:t>
      </w:r>
      <w:r w:rsidRPr="000033FD">
        <w:rPr>
          <w:rFonts w:ascii="Mosawi" w:hAnsi="Mosawi"/>
          <w:noProof/>
          <w:sz w:val="26"/>
          <w:szCs w:val="26"/>
          <w:rtl/>
        </w:rPr>
        <w:t>خَلْفِهِ</w:t>
      </w:r>
      <w:r w:rsidRPr="000033FD">
        <w:rPr>
          <w:noProof/>
          <w:sz w:val="26"/>
          <w:szCs w:val="26"/>
          <w:rtl/>
        </w:rPr>
        <w:t xml:space="preserve"> </w:t>
      </w:r>
      <w:r w:rsidRPr="000033FD">
        <w:rPr>
          <w:rFonts w:ascii="Mosawi" w:hAnsi="Mosawi"/>
          <w:noProof/>
          <w:sz w:val="26"/>
          <w:szCs w:val="26"/>
          <w:rtl/>
        </w:rPr>
        <w:t>تَنزِيلٌ</w:t>
      </w:r>
      <w:r w:rsidRPr="000033FD">
        <w:rPr>
          <w:noProof/>
          <w:sz w:val="26"/>
          <w:szCs w:val="26"/>
          <w:rtl/>
        </w:rPr>
        <w:t xml:space="preserve"> </w:t>
      </w:r>
      <w:r w:rsidRPr="000033FD">
        <w:rPr>
          <w:rFonts w:ascii="Mosawi" w:hAnsi="Mosawi"/>
          <w:noProof/>
          <w:sz w:val="26"/>
          <w:szCs w:val="26"/>
          <w:rtl/>
        </w:rPr>
        <w:t>مِنْ</w:t>
      </w:r>
      <w:r w:rsidRPr="000033FD">
        <w:rPr>
          <w:noProof/>
          <w:sz w:val="26"/>
          <w:szCs w:val="26"/>
          <w:rtl/>
        </w:rPr>
        <w:t xml:space="preserve"> </w:t>
      </w:r>
      <w:r w:rsidRPr="000033FD">
        <w:rPr>
          <w:rFonts w:ascii="Mosawi" w:hAnsi="Mosawi"/>
          <w:noProof/>
          <w:sz w:val="26"/>
          <w:szCs w:val="26"/>
          <w:rtl/>
        </w:rPr>
        <w:t>حَكِيمٍ</w:t>
      </w:r>
      <w:r w:rsidRPr="000033FD">
        <w:rPr>
          <w:noProof/>
          <w:sz w:val="26"/>
          <w:szCs w:val="26"/>
          <w:rtl/>
        </w:rPr>
        <w:t xml:space="preserve"> </w:t>
      </w:r>
      <w:r w:rsidRPr="000033FD">
        <w:rPr>
          <w:rFonts w:ascii="Mosawi" w:hAnsi="Mosawi"/>
          <w:noProof/>
          <w:sz w:val="26"/>
          <w:szCs w:val="26"/>
          <w:rtl/>
        </w:rPr>
        <w:t>حَمِيدٍ</w:t>
      </w:r>
      <w:r>
        <w:rPr>
          <w:rFonts w:ascii="Mosawi" w:hAnsi="Mosawi"/>
          <w:noProof/>
          <w:sz w:val="26"/>
          <w:szCs w:val="26"/>
          <w:rtl/>
        </w:rPr>
        <w:tab/>
      </w:r>
      <w:r w:rsidRPr="000033FD">
        <w:rPr>
          <w:noProof/>
          <w:sz w:val="26"/>
          <w:szCs w:val="26"/>
          <w:rtl/>
        </w:rPr>
        <w:t xml:space="preserve"> </w:t>
      </w:r>
      <w:r w:rsidRPr="000033FD">
        <w:rPr>
          <w:noProof/>
          <w:sz w:val="26"/>
          <w:szCs w:val="26"/>
        </w:rPr>
        <w:t>449</w:t>
      </w:r>
    </w:p>
    <w:p w:rsidR="0064415C" w:rsidRPr="00FD3279" w:rsidRDefault="0064415C" w:rsidP="0064415C">
      <w:pPr>
        <w:tabs>
          <w:tab w:val="right" w:pos="6804"/>
        </w:tabs>
        <w:ind w:firstLine="0"/>
        <w:rPr>
          <w:noProof/>
          <w:sz w:val="26"/>
          <w:szCs w:val="28"/>
        </w:rPr>
      </w:pPr>
      <w:r w:rsidRPr="00FD3279">
        <w:rPr>
          <w:noProof/>
          <w:sz w:val="26"/>
          <w:szCs w:val="28"/>
          <w:rtl/>
        </w:rPr>
        <w:t>(ص /</w:t>
      </w:r>
      <w:r>
        <w:rPr>
          <w:rFonts w:hint="cs"/>
          <w:noProof/>
          <w:sz w:val="26"/>
          <w:szCs w:val="28"/>
          <w:rtl/>
        </w:rPr>
        <w:t xml:space="preserve"> 26</w:t>
      </w:r>
      <w:r w:rsidRPr="00FD3279">
        <w:rPr>
          <w:noProof/>
          <w:sz w:val="26"/>
          <w:szCs w:val="28"/>
          <w:rtl/>
        </w:rPr>
        <w:t xml:space="preserve">) </w:t>
      </w:r>
      <w:r w:rsidRPr="00FD3279">
        <w:rPr>
          <w:rFonts w:ascii="Mosawi" w:hAnsi="Mosawi"/>
          <w:noProof/>
          <w:sz w:val="24"/>
          <w:szCs w:val="28"/>
          <w:rtl/>
        </w:rPr>
        <w:t>يَا</w:t>
      </w:r>
      <w:r w:rsidRPr="00FD3279">
        <w:rPr>
          <w:noProof/>
          <w:sz w:val="26"/>
          <w:szCs w:val="28"/>
          <w:rtl/>
        </w:rPr>
        <w:t xml:space="preserve"> </w:t>
      </w:r>
      <w:r w:rsidRPr="00FD3279">
        <w:rPr>
          <w:rFonts w:ascii="Mosawi" w:hAnsi="Mosawi"/>
          <w:noProof/>
          <w:sz w:val="24"/>
          <w:szCs w:val="28"/>
          <w:rtl/>
        </w:rPr>
        <w:t>دَاوُودُ</w:t>
      </w:r>
      <w:r w:rsidRPr="00FD3279">
        <w:rPr>
          <w:noProof/>
          <w:sz w:val="26"/>
          <w:szCs w:val="28"/>
          <w:rtl/>
        </w:rPr>
        <w:t xml:space="preserve"> </w:t>
      </w:r>
      <w:r w:rsidRPr="00FD3279">
        <w:rPr>
          <w:rFonts w:ascii="Mosawi" w:hAnsi="Mosawi"/>
          <w:noProof/>
          <w:sz w:val="24"/>
          <w:szCs w:val="28"/>
          <w:rtl/>
        </w:rPr>
        <w:t>إِنَّا</w:t>
      </w:r>
      <w:r w:rsidRPr="00FD3279">
        <w:rPr>
          <w:noProof/>
          <w:sz w:val="26"/>
          <w:szCs w:val="28"/>
          <w:rtl/>
        </w:rPr>
        <w:t xml:space="preserve"> </w:t>
      </w:r>
      <w:r w:rsidRPr="00FD3279">
        <w:rPr>
          <w:rFonts w:ascii="Mosawi" w:hAnsi="Mosawi"/>
          <w:noProof/>
          <w:sz w:val="24"/>
          <w:szCs w:val="28"/>
          <w:rtl/>
        </w:rPr>
        <w:t>جَعَلْنَاكَ</w:t>
      </w:r>
      <w:r w:rsidRPr="00FD3279">
        <w:rPr>
          <w:noProof/>
          <w:sz w:val="26"/>
          <w:szCs w:val="28"/>
          <w:rtl/>
        </w:rPr>
        <w:t xml:space="preserve"> </w:t>
      </w:r>
      <w:r w:rsidRPr="00FD3279">
        <w:rPr>
          <w:rFonts w:ascii="Mosawi" w:hAnsi="Mosawi"/>
          <w:noProof/>
          <w:sz w:val="24"/>
          <w:szCs w:val="28"/>
          <w:rtl/>
        </w:rPr>
        <w:t>خَلِيفَةً</w:t>
      </w:r>
      <w:r w:rsidRPr="00FD3279">
        <w:rPr>
          <w:noProof/>
          <w:sz w:val="26"/>
          <w:szCs w:val="28"/>
          <w:rtl/>
        </w:rPr>
        <w:t xml:space="preserve"> </w:t>
      </w:r>
      <w:r w:rsidRPr="00FD3279">
        <w:rPr>
          <w:rFonts w:ascii="Mosawi" w:hAnsi="Mosawi"/>
          <w:noProof/>
          <w:sz w:val="24"/>
          <w:szCs w:val="28"/>
          <w:rtl/>
        </w:rPr>
        <w:t>فِي</w:t>
      </w:r>
      <w:r w:rsidRPr="00FD3279">
        <w:rPr>
          <w:noProof/>
          <w:sz w:val="26"/>
          <w:szCs w:val="28"/>
          <w:rtl/>
        </w:rPr>
        <w:t xml:space="preserve"> </w:t>
      </w:r>
      <w:r w:rsidRPr="00FD3279">
        <w:rPr>
          <w:rFonts w:ascii="Mosawi" w:hAnsi="Mosawi"/>
          <w:noProof/>
          <w:sz w:val="24"/>
          <w:szCs w:val="28"/>
          <w:rtl/>
        </w:rPr>
        <w:t>الأَرْضِ</w:t>
      </w:r>
      <w:r w:rsidRPr="00FD3279">
        <w:rPr>
          <w:noProof/>
          <w:sz w:val="26"/>
          <w:szCs w:val="28"/>
          <w:rtl/>
        </w:rPr>
        <w:t xml:space="preserve"> </w:t>
      </w:r>
      <w:r w:rsidRPr="00FD3279">
        <w:rPr>
          <w:rFonts w:ascii="Mosawi" w:hAnsi="Mosawi"/>
          <w:noProof/>
          <w:sz w:val="24"/>
          <w:szCs w:val="28"/>
          <w:rtl/>
        </w:rPr>
        <w:t>فَاحْكُمْ</w:t>
      </w:r>
      <w:r w:rsidRPr="00FD3279">
        <w:rPr>
          <w:noProof/>
          <w:sz w:val="26"/>
          <w:szCs w:val="28"/>
          <w:rtl/>
        </w:rPr>
        <w:t xml:space="preserve"> </w:t>
      </w:r>
      <w:r w:rsidRPr="00FD3279">
        <w:rPr>
          <w:rFonts w:ascii="Mosawi" w:hAnsi="Mosawi"/>
          <w:noProof/>
          <w:sz w:val="24"/>
          <w:szCs w:val="28"/>
          <w:rtl/>
        </w:rPr>
        <w:t>بَيْنَ</w:t>
      </w:r>
      <w:r w:rsidRPr="00FD3279">
        <w:rPr>
          <w:noProof/>
          <w:sz w:val="26"/>
          <w:szCs w:val="28"/>
          <w:rtl/>
        </w:rPr>
        <w:t xml:space="preserve"> </w:t>
      </w:r>
      <w:r w:rsidRPr="00FD3279">
        <w:rPr>
          <w:rFonts w:ascii="Mosawi" w:hAnsi="Mosawi"/>
          <w:noProof/>
          <w:sz w:val="24"/>
          <w:szCs w:val="28"/>
          <w:rtl/>
        </w:rPr>
        <w:t>النَّاسِ</w:t>
      </w:r>
      <w:r w:rsidRPr="00FD3279">
        <w:rPr>
          <w:noProof/>
          <w:sz w:val="26"/>
          <w:szCs w:val="28"/>
          <w:rtl/>
        </w:rPr>
        <w:t xml:space="preserve"> </w:t>
      </w:r>
      <w:r w:rsidRPr="00FD3279">
        <w:rPr>
          <w:rFonts w:ascii="Mosawi" w:hAnsi="Mosawi"/>
          <w:noProof/>
          <w:sz w:val="24"/>
          <w:szCs w:val="28"/>
          <w:rtl/>
        </w:rPr>
        <w:t>بِالْحَقِّ</w:t>
      </w:r>
      <w:r>
        <w:rPr>
          <w:rFonts w:ascii="Mosawi" w:hAnsi="Mosawi"/>
          <w:noProof/>
          <w:sz w:val="24"/>
          <w:szCs w:val="28"/>
          <w:rtl/>
        </w:rPr>
        <w:tab/>
      </w:r>
      <w:r w:rsidRPr="00FD3279">
        <w:rPr>
          <w:noProof/>
          <w:sz w:val="26"/>
          <w:szCs w:val="28"/>
          <w:rtl/>
        </w:rPr>
        <w:t xml:space="preserve"> </w:t>
      </w:r>
      <w:r w:rsidRPr="00FD3279">
        <w:rPr>
          <w:noProof/>
          <w:sz w:val="26"/>
          <w:szCs w:val="28"/>
        </w:rPr>
        <w:t>411</w:t>
      </w:r>
    </w:p>
    <w:p w:rsidR="0064415C" w:rsidRPr="00FD3279" w:rsidRDefault="0064415C" w:rsidP="0064415C">
      <w:pPr>
        <w:tabs>
          <w:tab w:val="right" w:pos="6804"/>
        </w:tabs>
        <w:ind w:firstLine="0"/>
        <w:rPr>
          <w:noProof/>
          <w:sz w:val="26"/>
          <w:szCs w:val="28"/>
          <w:rtl/>
          <w:lang w:bidi="fa-IR"/>
        </w:rPr>
      </w:pPr>
      <w:r w:rsidRPr="00FD3279">
        <w:rPr>
          <w:noProof/>
          <w:sz w:val="26"/>
          <w:szCs w:val="28"/>
          <w:rtl/>
        </w:rPr>
        <w:t>(ص /</w:t>
      </w:r>
      <w:r>
        <w:rPr>
          <w:rFonts w:hint="cs"/>
          <w:noProof/>
          <w:sz w:val="26"/>
          <w:szCs w:val="28"/>
          <w:rtl/>
        </w:rPr>
        <w:t xml:space="preserve"> 35</w:t>
      </w:r>
      <w:r w:rsidRPr="00FD3279">
        <w:rPr>
          <w:noProof/>
          <w:sz w:val="26"/>
          <w:szCs w:val="28"/>
          <w:rtl/>
        </w:rPr>
        <w:t xml:space="preserve">) </w:t>
      </w:r>
      <w:r w:rsidRPr="00FD3279">
        <w:rPr>
          <w:rFonts w:ascii="Mosawi" w:hAnsi="Mosawi"/>
          <w:noProof/>
          <w:sz w:val="24"/>
          <w:szCs w:val="28"/>
          <w:rtl/>
        </w:rPr>
        <w:t>قَالَ</w:t>
      </w:r>
      <w:r w:rsidRPr="00FD3279">
        <w:rPr>
          <w:noProof/>
          <w:sz w:val="26"/>
          <w:szCs w:val="28"/>
          <w:rtl/>
        </w:rPr>
        <w:t xml:space="preserve"> </w:t>
      </w:r>
      <w:r w:rsidRPr="00FD3279">
        <w:rPr>
          <w:rFonts w:ascii="Mosawi" w:hAnsi="Mosawi"/>
          <w:noProof/>
          <w:sz w:val="24"/>
          <w:szCs w:val="28"/>
          <w:rtl/>
        </w:rPr>
        <w:t>رَبِّ</w:t>
      </w:r>
      <w:r w:rsidRPr="00FD3279">
        <w:rPr>
          <w:noProof/>
          <w:sz w:val="26"/>
          <w:szCs w:val="28"/>
          <w:rtl/>
        </w:rPr>
        <w:t xml:space="preserve"> </w:t>
      </w:r>
      <w:r w:rsidRPr="00FD3279">
        <w:rPr>
          <w:rFonts w:ascii="Mosawi" w:hAnsi="Mosawi"/>
          <w:noProof/>
          <w:sz w:val="24"/>
          <w:szCs w:val="28"/>
          <w:rtl/>
        </w:rPr>
        <w:t>اغْفِرْ</w:t>
      </w:r>
      <w:r w:rsidRPr="00FD3279">
        <w:rPr>
          <w:noProof/>
          <w:sz w:val="26"/>
          <w:szCs w:val="28"/>
          <w:rtl/>
        </w:rPr>
        <w:t xml:space="preserve"> </w:t>
      </w:r>
      <w:r w:rsidRPr="00FD3279">
        <w:rPr>
          <w:rFonts w:ascii="Mosawi" w:hAnsi="Mosawi"/>
          <w:noProof/>
          <w:sz w:val="24"/>
          <w:szCs w:val="28"/>
          <w:rtl/>
        </w:rPr>
        <w:t>لِي</w:t>
      </w:r>
      <w:r w:rsidRPr="00FD3279">
        <w:rPr>
          <w:noProof/>
          <w:sz w:val="26"/>
          <w:szCs w:val="28"/>
          <w:rtl/>
        </w:rPr>
        <w:t xml:space="preserve"> </w:t>
      </w:r>
      <w:r w:rsidRPr="00FD3279">
        <w:rPr>
          <w:rFonts w:ascii="Mosawi" w:hAnsi="Mosawi"/>
          <w:noProof/>
          <w:sz w:val="24"/>
          <w:szCs w:val="28"/>
          <w:rtl/>
        </w:rPr>
        <w:t>وَهَبْ</w:t>
      </w:r>
      <w:r w:rsidRPr="00FD3279">
        <w:rPr>
          <w:noProof/>
          <w:sz w:val="26"/>
          <w:szCs w:val="28"/>
          <w:rtl/>
        </w:rPr>
        <w:t xml:space="preserve"> </w:t>
      </w:r>
      <w:r w:rsidRPr="00FD3279">
        <w:rPr>
          <w:rFonts w:ascii="Mosawi" w:hAnsi="Mosawi"/>
          <w:noProof/>
          <w:sz w:val="24"/>
          <w:szCs w:val="28"/>
          <w:rtl/>
        </w:rPr>
        <w:t>لِ</w:t>
      </w:r>
      <w:r w:rsidRPr="00FD3279">
        <w:rPr>
          <w:noProof/>
          <w:sz w:val="26"/>
          <w:szCs w:val="28"/>
          <w:rtl/>
        </w:rPr>
        <w:t>ي مُلْكاً لاَ يَنْبَغِي لأَحَدٍ مِنْ بَعْدِي</w:t>
      </w:r>
      <w:r>
        <w:rPr>
          <w:noProof/>
          <w:sz w:val="26"/>
          <w:szCs w:val="28"/>
          <w:rtl/>
        </w:rPr>
        <w:tab/>
      </w:r>
      <w:r w:rsidRPr="00FD3279">
        <w:rPr>
          <w:noProof/>
          <w:sz w:val="26"/>
          <w:szCs w:val="28"/>
          <w:rtl/>
        </w:rPr>
        <w:t xml:space="preserve"> </w:t>
      </w:r>
      <w:r w:rsidRPr="00FD3279">
        <w:rPr>
          <w:noProof/>
          <w:sz w:val="26"/>
          <w:szCs w:val="28"/>
        </w:rPr>
        <w:t>94</w:t>
      </w:r>
    </w:p>
    <w:p w:rsidR="0064415C" w:rsidRPr="00FD3279" w:rsidRDefault="0064415C" w:rsidP="0064415C">
      <w:pPr>
        <w:tabs>
          <w:tab w:val="right" w:pos="6804"/>
        </w:tabs>
        <w:ind w:firstLine="0"/>
        <w:rPr>
          <w:noProof/>
          <w:sz w:val="26"/>
          <w:szCs w:val="28"/>
        </w:rPr>
      </w:pPr>
      <w:r w:rsidRPr="00FD3279">
        <w:rPr>
          <w:noProof/>
          <w:sz w:val="26"/>
          <w:szCs w:val="28"/>
          <w:rtl/>
        </w:rPr>
        <w:t>(ص /</w:t>
      </w:r>
      <w:r>
        <w:rPr>
          <w:rFonts w:hint="cs"/>
          <w:noProof/>
          <w:sz w:val="26"/>
          <w:szCs w:val="28"/>
          <w:rtl/>
        </w:rPr>
        <w:t xml:space="preserve"> 36</w:t>
      </w:r>
      <w:r w:rsidRPr="00FD3279">
        <w:rPr>
          <w:noProof/>
          <w:sz w:val="26"/>
          <w:szCs w:val="28"/>
          <w:rtl/>
        </w:rPr>
        <w:t xml:space="preserve">) </w:t>
      </w:r>
      <w:r w:rsidRPr="00FD3279">
        <w:rPr>
          <w:rFonts w:ascii="Mosawi" w:hAnsi="Mosawi"/>
          <w:noProof/>
          <w:sz w:val="24"/>
          <w:szCs w:val="28"/>
          <w:rtl/>
        </w:rPr>
        <w:t>يَا</w:t>
      </w:r>
      <w:r w:rsidRPr="00FD3279">
        <w:rPr>
          <w:noProof/>
          <w:sz w:val="26"/>
          <w:szCs w:val="28"/>
          <w:rtl/>
        </w:rPr>
        <w:t xml:space="preserve"> </w:t>
      </w:r>
      <w:r w:rsidRPr="00FD3279">
        <w:rPr>
          <w:rFonts w:ascii="Mosawi" w:hAnsi="Mosawi"/>
          <w:noProof/>
          <w:sz w:val="24"/>
          <w:szCs w:val="28"/>
          <w:rtl/>
        </w:rPr>
        <w:t>دَاوُودُ</w:t>
      </w:r>
      <w:r w:rsidRPr="00FD3279">
        <w:rPr>
          <w:noProof/>
          <w:sz w:val="26"/>
          <w:szCs w:val="28"/>
          <w:rtl/>
        </w:rPr>
        <w:t xml:space="preserve"> </w:t>
      </w:r>
      <w:r w:rsidRPr="00FD3279">
        <w:rPr>
          <w:rFonts w:ascii="Mosawi" w:hAnsi="Mosawi"/>
          <w:noProof/>
          <w:sz w:val="24"/>
          <w:szCs w:val="28"/>
          <w:rtl/>
        </w:rPr>
        <w:t>إِنَّا</w:t>
      </w:r>
      <w:r w:rsidRPr="00FD3279">
        <w:rPr>
          <w:noProof/>
          <w:sz w:val="26"/>
          <w:szCs w:val="28"/>
          <w:rtl/>
        </w:rPr>
        <w:t xml:space="preserve"> </w:t>
      </w:r>
      <w:r w:rsidRPr="00FD3279">
        <w:rPr>
          <w:rFonts w:ascii="Mosawi" w:hAnsi="Mosawi"/>
          <w:noProof/>
          <w:sz w:val="24"/>
          <w:szCs w:val="28"/>
          <w:rtl/>
        </w:rPr>
        <w:t>جَعَلْنَاكَ</w:t>
      </w:r>
      <w:r w:rsidRPr="00FD3279">
        <w:rPr>
          <w:noProof/>
          <w:sz w:val="26"/>
          <w:szCs w:val="28"/>
          <w:rtl/>
        </w:rPr>
        <w:t xml:space="preserve"> </w:t>
      </w:r>
      <w:r w:rsidRPr="00FD3279">
        <w:rPr>
          <w:rFonts w:ascii="Mosawi" w:hAnsi="Mosawi"/>
          <w:noProof/>
          <w:sz w:val="24"/>
          <w:szCs w:val="28"/>
          <w:rtl/>
        </w:rPr>
        <w:t>خَلِيفَةً</w:t>
      </w:r>
      <w:r w:rsidRPr="00FD3279">
        <w:rPr>
          <w:noProof/>
          <w:sz w:val="26"/>
          <w:szCs w:val="28"/>
          <w:rtl/>
        </w:rPr>
        <w:t xml:space="preserve"> </w:t>
      </w:r>
      <w:r w:rsidRPr="00FD3279">
        <w:rPr>
          <w:rFonts w:ascii="Mosawi" w:hAnsi="Mosawi"/>
          <w:noProof/>
          <w:sz w:val="24"/>
          <w:szCs w:val="28"/>
          <w:rtl/>
        </w:rPr>
        <w:t>فِي</w:t>
      </w:r>
      <w:r w:rsidRPr="00FD3279">
        <w:rPr>
          <w:noProof/>
          <w:sz w:val="26"/>
          <w:szCs w:val="28"/>
          <w:rtl/>
        </w:rPr>
        <w:t xml:space="preserve"> </w:t>
      </w:r>
      <w:r w:rsidRPr="00FD3279">
        <w:rPr>
          <w:rFonts w:ascii="Mosawi" w:hAnsi="Mosawi"/>
          <w:noProof/>
          <w:sz w:val="24"/>
          <w:szCs w:val="28"/>
          <w:rtl/>
        </w:rPr>
        <w:t>الأَرْضِ</w:t>
      </w:r>
      <w:r w:rsidRPr="00FD3279">
        <w:rPr>
          <w:noProof/>
          <w:sz w:val="26"/>
          <w:szCs w:val="28"/>
          <w:rtl/>
        </w:rPr>
        <w:t xml:space="preserve"> </w:t>
      </w:r>
      <w:r w:rsidRPr="00FD3279">
        <w:rPr>
          <w:rFonts w:ascii="Mosawi" w:hAnsi="Mosawi"/>
          <w:noProof/>
          <w:sz w:val="24"/>
          <w:szCs w:val="28"/>
          <w:rtl/>
        </w:rPr>
        <w:t>فَاحْكُمْ</w:t>
      </w:r>
      <w:r w:rsidRPr="00FD3279">
        <w:rPr>
          <w:noProof/>
          <w:sz w:val="26"/>
          <w:szCs w:val="28"/>
          <w:rtl/>
        </w:rPr>
        <w:t xml:space="preserve"> </w:t>
      </w:r>
      <w:r w:rsidRPr="00FD3279">
        <w:rPr>
          <w:rFonts w:ascii="Mosawi" w:hAnsi="Mosawi"/>
          <w:noProof/>
          <w:sz w:val="24"/>
          <w:szCs w:val="28"/>
          <w:rtl/>
        </w:rPr>
        <w:t>بَيْنَ</w:t>
      </w:r>
      <w:r w:rsidRPr="00FD3279">
        <w:rPr>
          <w:noProof/>
          <w:sz w:val="26"/>
          <w:szCs w:val="28"/>
          <w:rtl/>
        </w:rPr>
        <w:t xml:space="preserve"> </w:t>
      </w:r>
      <w:r w:rsidRPr="00FD3279">
        <w:rPr>
          <w:rFonts w:ascii="Mosawi" w:hAnsi="Mosawi"/>
          <w:noProof/>
          <w:sz w:val="24"/>
          <w:szCs w:val="28"/>
          <w:rtl/>
        </w:rPr>
        <w:t>النَّاسِ</w:t>
      </w:r>
      <w:r w:rsidRPr="00FD3279">
        <w:rPr>
          <w:noProof/>
          <w:sz w:val="26"/>
          <w:szCs w:val="28"/>
          <w:rtl/>
        </w:rPr>
        <w:t xml:space="preserve"> </w:t>
      </w:r>
      <w:r w:rsidRPr="00FD3279">
        <w:rPr>
          <w:rFonts w:ascii="Mosawi" w:hAnsi="Mosawi"/>
          <w:noProof/>
          <w:sz w:val="24"/>
          <w:szCs w:val="28"/>
          <w:rtl/>
        </w:rPr>
        <w:t>بِالْحَقِّ</w:t>
      </w:r>
      <w:r>
        <w:rPr>
          <w:rFonts w:ascii="Mosawi" w:hAnsi="Mosawi"/>
          <w:noProof/>
          <w:sz w:val="24"/>
          <w:szCs w:val="28"/>
          <w:rtl/>
        </w:rPr>
        <w:tab/>
      </w:r>
      <w:r w:rsidRPr="00FD3279">
        <w:rPr>
          <w:noProof/>
          <w:sz w:val="26"/>
          <w:szCs w:val="28"/>
          <w:rtl/>
        </w:rPr>
        <w:t xml:space="preserve"> </w:t>
      </w:r>
      <w:r w:rsidRPr="00FD3279">
        <w:rPr>
          <w:noProof/>
          <w:sz w:val="26"/>
          <w:szCs w:val="28"/>
        </w:rPr>
        <w:t>94</w:t>
      </w:r>
    </w:p>
    <w:p w:rsidR="0064415C" w:rsidRPr="00FD3279" w:rsidRDefault="0064415C" w:rsidP="0064415C">
      <w:pPr>
        <w:tabs>
          <w:tab w:val="right" w:pos="6804"/>
        </w:tabs>
        <w:ind w:firstLine="0"/>
        <w:rPr>
          <w:noProof/>
          <w:sz w:val="26"/>
          <w:szCs w:val="28"/>
        </w:rPr>
      </w:pPr>
      <w:r w:rsidRPr="00FD3279">
        <w:rPr>
          <w:noProof/>
          <w:sz w:val="26"/>
          <w:szCs w:val="28"/>
          <w:rtl/>
        </w:rPr>
        <w:t xml:space="preserve"> (الأحزاب /</w:t>
      </w:r>
      <w:r>
        <w:rPr>
          <w:rFonts w:hint="cs"/>
          <w:noProof/>
          <w:sz w:val="26"/>
          <w:szCs w:val="28"/>
          <w:rtl/>
        </w:rPr>
        <w:t xml:space="preserve"> 6</w:t>
      </w:r>
      <w:r w:rsidRPr="00FD3279">
        <w:rPr>
          <w:noProof/>
          <w:sz w:val="26"/>
          <w:szCs w:val="28"/>
          <w:rtl/>
        </w:rPr>
        <w:t>) النبي أَوْلَى بِالْمُؤْمِنِينَ مِنْ أَنْفُسِهِمْ...</w:t>
      </w:r>
      <w:r>
        <w:rPr>
          <w:noProof/>
          <w:sz w:val="26"/>
          <w:szCs w:val="28"/>
          <w:rtl/>
        </w:rPr>
        <w:tab/>
      </w:r>
      <w:r w:rsidRPr="00FD3279">
        <w:rPr>
          <w:noProof/>
          <w:sz w:val="26"/>
          <w:szCs w:val="28"/>
          <w:rtl/>
        </w:rPr>
        <w:t xml:space="preserve"> </w:t>
      </w:r>
      <w:r w:rsidRPr="00FD3279">
        <w:rPr>
          <w:noProof/>
          <w:sz w:val="26"/>
          <w:szCs w:val="28"/>
        </w:rPr>
        <w:t>85</w:t>
      </w:r>
      <w:r w:rsidRPr="00FD3279">
        <w:rPr>
          <w:noProof/>
          <w:sz w:val="26"/>
          <w:szCs w:val="28"/>
          <w:rtl/>
        </w:rPr>
        <w:t xml:space="preserve">، </w:t>
      </w:r>
      <w:r w:rsidRPr="00FD3279">
        <w:rPr>
          <w:noProof/>
          <w:sz w:val="26"/>
          <w:szCs w:val="28"/>
        </w:rPr>
        <w:t>91</w:t>
      </w:r>
      <w:r w:rsidRPr="00FD3279">
        <w:rPr>
          <w:noProof/>
          <w:sz w:val="26"/>
          <w:szCs w:val="28"/>
          <w:rtl/>
        </w:rPr>
        <w:t xml:space="preserve">، </w:t>
      </w:r>
      <w:r w:rsidRPr="00FD3279">
        <w:rPr>
          <w:noProof/>
          <w:sz w:val="26"/>
          <w:szCs w:val="28"/>
        </w:rPr>
        <w:t>99</w:t>
      </w:r>
      <w:r w:rsidRPr="00FD3279">
        <w:rPr>
          <w:noProof/>
          <w:sz w:val="26"/>
          <w:szCs w:val="28"/>
          <w:rtl/>
        </w:rPr>
        <w:t xml:space="preserve">، </w:t>
      </w:r>
      <w:r w:rsidRPr="00FD3279">
        <w:rPr>
          <w:noProof/>
          <w:sz w:val="26"/>
          <w:szCs w:val="28"/>
        </w:rPr>
        <w:t>323</w:t>
      </w:r>
      <w:r w:rsidRPr="00FD3279">
        <w:rPr>
          <w:noProof/>
          <w:sz w:val="26"/>
          <w:szCs w:val="28"/>
          <w:rtl/>
        </w:rPr>
        <w:t xml:space="preserve">، </w:t>
      </w:r>
      <w:r w:rsidRPr="00FD3279">
        <w:rPr>
          <w:noProof/>
          <w:sz w:val="26"/>
          <w:szCs w:val="28"/>
        </w:rPr>
        <w:t>331</w:t>
      </w:r>
      <w:r w:rsidRPr="00FD3279">
        <w:rPr>
          <w:noProof/>
          <w:sz w:val="26"/>
          <w:szCs w:val="28"/>
          <w:rtl/>
        </w:rPr>
        <w:t xml:space="preserve">، </w:t>
      </w:r>
      <w:r w:rsidRPr="00FD3279">
        <w:rPr>
          <w:noProof/>
          <w:sz w:val="26"/>
          <w:szCs w:val="28"/>
        </w:rPr>
        <w:t>404</w:t>
      </w:r>
    </w:p>
    <w:p w:rsidR="0064415C" w:rsidRPr="00FD3279" w:rsidRDefault="0064415C" w:rsidP="0064415C">
      <w:pPr>
        <w:tabs>
          <w:tab w:val="right" w:pos="6804"/>
        </w:tabs>
        <w:ind w:firstLine="0"/>
        <w:rPr>
          <w:noProof/>
          <w:sz w:val="26"/>
          <w:szCs w:val="28"/>
        </w:rPr>
      </w:pPr>
      <w:r w:rsidRPr="00FD3279">
        <w:rPr>
          <w:noProof/>
          <w:sz w:val="26"/>
          <w:szCs w:val="28"/>
          <w:rtl/>
        </w:rPr>
        <w:t>(الأحزاب /</w:t>
      </w:r>
      <w:r>
        <w:rPr>
          <w:rFonts w:hint="cs"/>
          <w:noProof/>
          <w:sz w:val="26"/>
          <w:szCs w:val="28"/>
          <w:rtl/>
        </w:rPr>
        <w:t xml:space="preserve"> 6</w:t>
      </w:r>
      <w:r w:rsidRPr="00FD3279">
        <w:rPr>
          <w:noProof/>
          <w:sz w:val="26"/>
          <w:szCs w:val="28"/>
          <w:rtl/>
        </w:rPr>
        <w:t>) وَأُوْلُو الأَرْحَامِ بَعْضُهُمْ أَوْلَى بِبَعْضٍ فِي كِتَابِ اللهِ</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98</w:t>
      </w:r>
    </w:p>
    <w:p w:rsidR="0064415C" w:rsidRPr="00FD3279" w:rsidRDefault="0064415C" w:rsidP="0064415C">
      <w:pPr>
        <w:tabs>
          <w:tab w:val="right" w:pos="6804"/>
        </w:tabs>
        <w:ind w:left="285" w:hanging="284"/>
        <w:rPr>
          <w:noProof/>
          <w:sz w:val="26"/>
          <w:szCs w:val="28"/>
        </w:rPr>
      </w:pPr>
      <w:r w:rsidRPr="00FD3279">
        <w:rPr>
          <w:noProof/>
          <w:sz w:val="26"/>
          <w:szCs w:val="28"/>
          <w:rtl/>
        </w:rPr>
        <w:t>(الأحزاب /</w:t>
      </w:r>
      <w:r>
        <w:rPr>
          <w:rFonts w:hint="cs"/>
          <w:noProof/>
          <w:sz w:val="26"/>
          <w:szCs w:val="28"/>
          <w:rtl/>
        </w:rPr>
        <w:t xml:space="preserve"> 33</w:t>
      </w:r>
      <w:r w:rsidRPr="00FD3279">
        <w:rPr>
          <w:noProof/>
          <w:sz w:val="26"/>
          <w:szCs w:val="28"/>
          <w:rtl/>
        </w:rPr>
        <w:t xml:space="preserve">) </w:t>
      </w:r>
      <w:r w:rsidRPr="00FD3279">
        <w:rPr>
          <w:rFonts w:ascii="Mosawi" w:hAnsi="Mosawi"/>
          <w:noProof/>
          <w:sz w:val="24"/>
          <w:szCs w:val="28"/>
          <w:rtl/>
        </w:rPr>
        <w:t>إِنَّمَا</w:t>
      </w:r>
      <w:r w:rsidRPr="00FD3279">
        <w:rPr>
          <w:noProof/>
          <w:sz w:val="26"/>
          <w:szCs w:val="28"/>
          <w:rtl/>
        </w:rPr>
        <w:t xml:space="preserve"> </w:t>
      </w:r>
      <w:r w:rsidRPr="00FD3279">
        <w:rPr>
          <w:rFonts w:ascii="Mosawi" w:hAnsi="Mosawi"/>
          <w:noProof/>
          <w:sz w:val="24"/>
          <w:szCs w:val="28"/>
          <w:rtl/>
        </w:rPr>
        <w:t>يُرِيدُ</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لِيُذْهِبَ</w:t>
      </w:r>
      <w:r w:rsidRPr="00FD3279">
        <w:rPr>
          <w:noProof/>
          <w:sz w:val="26"/>
          <w:szCs w:val="28"/>
          <w:rtl/>
        </w:rPr>
        <w:t xml:space="preserve"> </w:t>
      </w:r>
      <w:r w:rsidRPr="00FD3279">
        <w:rPr>
          <w:rFonts w:ascii="Mosawi" w:hAnsi="Mosawi"/>
          <w:noProof/>
          <w:sz w:val="24"/>
          <w:szCs w:val="28"/>
          <w:rtl/>
        </w:rPr>
        <w:t>عَنْكُمْ</w:t>
      </w:r>
      <w:r w:rsidRPr="00FD3279">
        <w:rPr>
          <w:noProof/>
          <w:sz w:val="26"/>
          <w:szCs w:val="28"/>
          <w:rtl/>
        </w:rPr>
        <w:t xml:space="preserve"> </w:t>
      </w:r>
      <w:r w:rsidRPr="00FD3279">
        <w:rPr>
          <w:rFonts w:ascii="Mosawi" w:hAnsi="Mosawi"/>
          <w:noProof/>
          <w:sz w:val="24"/>
          <w:szCs w:val="28"/>
          <w:rtl/>
        </w:rPr>
        <w:t>الرِّجْسَ</w:t>
      </w:r>
      <w:r w:rsidRPr="00FD3279">
        <w:rPr>
          <w:noProof/>
          <w:sz w:val="26"/>
          <w:szCs w:val="28"/>
          <w:rtl/>
        </w:rPr>
        <w:t xml:space="preserve"> </w:t>
      </w:r>
      <w:r w:rsidRPr="00FD3279">
        <w:rPr>
          <w:rFonts w:ascii="Mosawi" w:hAnsi="Mosawi"/>
          <w:noProof/>
          <w:sz w:val="24"/>
          <w:szCs w:val="28"/>
          <w:rtl/>
        </w:rPr>
        <w:t>أَهْلَ</w:t>
      </w:r>
      <w:r w:rsidRPr="00FD3279">
        <w:rPr>
          <w:noProof/>
          <w:sz w:val="26"/>
          <w:szCs w:val="28"/>
          <w:rtl/>
        </w:rPr>
        <w:t xml:space="preserve"> </w:t>
      </w:r>
      <w:r w:rsidRPr="00FD3279">
        <w:rPr>
          <w:rFonts w:ascii="Mosawi" w:hAnsi="Mosawi"/>
          <w:noProof/>
          <w:sz w:val="24"/>
          <w:szCs w:val="28"/>
          <w:rtl/>
        </w:rPr>
        <w:t>الْبَيْتِ</w:t>
      </w:r>
      <w:r w:rsidRPr="00FD3279">
        <w:rPr>
          <w:noProof/>
          <w:sz w:val="26"/>
          <w:szCs w:val="28"/>
          <w:rtl/>
        </w:rPr>
        <w:t xml:space="preserve"> </w:t>
      </w:r>
      <w:r w:rsidRPr="00FD3279">
        <w:rPr>
          <w:rFonts w:ascii="Mosawi" w:hAnsi="Mosawi"/>
          <w:noProof/>
          <w:sz w:val="24"/>
          <w:szCs w:val="28"/>
          <w:rtl/>
        </w:rPr>
        <w:t>وَيُطَهِّرَكُمْ</w:t>
      </w:r>
      <w:r w:rsidRPr="00FD3279">
        <w:rPr>
          <w:noProof/>
          <w:sz w:val="26"/>
          <w:szCs w:val="28"/>
          <w:rtl/>
        </w:rPr>
        <w:t xml:space="preserve"> </w:t>
      </w:r>
      <w:r w:rsidRPr="00FD3279">
        <w:rPr>
          <w:rFonts w:ascii="Mosawi" w:hAnsi="Mosawi"/>
          <w:noProof/>
          <w:sz w:val="24"/>
          <w:szCs w:val="28"/>
          <w:rtl/>
        </w:rPr>
        <w:t>تَطْهِيراً</w:t>
      </w:r>
      <w:r>
        <w:rPr>
          <w:rFonts w:ascii="Mosawi" w:hAnsi="Mosawi"/>
          <w:noProof/>
          <w:sz w:val="24"/>
          <w:szCs w:val="28"/>
          <w:rtl/>
        </w:rPr>
        <w:br/>
      </w:r>
      <w:r>
        <w:rPr>
          <w:rFonts w:hint="cs"/>
          <w:noProof/>
          <w:sz w:val="26"/>
          <w:szCs w:val="28"/>
          <w:rtl/>
          <w:lang w:bidi="fa-IR"/>
        </w:rPr>
        <w:t xml:space="preserve"> </w:t>
      </w:r>
      <w:r w:rsidRPr="00FD3279">
        <w:rPr>
          <w:noProof/>
          <w:sz w:val="26"/>
          <w:szCs w:val="28"/>
          <w:rtl/>
        </w:rPr>
        <w:t xml:space="preserve"> </w:t>
      </w:r>
      <w:r w:rsidRPr="00FD3279">
        <w:rPr>
          <w:noProof/>
          <w:sz w:val="26"/>
          <w:szCs w:val="28"/>
        </w:rPr>
        <w:t>95</w:t>
      </w:r>
      <w:r w:rsidRPr="00FD3279">
        <w:rPr>
          <w:noProof/>
          <w:sz w:val="26"/>
          <w:szCs w:val="28"/>
          <w:rtl/>
        </w:rPr>
        <w:t>،</w:t>
      </w:r>
      <w:r w:rsidRPr="00FD3279">
        <w:rPr>
          <w:noProof/>
          <w:sz w:val="26"/>
          <w:szCs w:val="28"/>
        </w:rPr>
        <w:t xml:space="preserve"> 402</w:t>
      </w:r>
      <w:r>
        <w:rPr>
          <w:noProof/>
          <w:sz w:val="26"/>
          <w:szCs w:val="28"/>
        </w:rPr>
        <w:t xml:space="preserve"> </w:t>
      </w:r>
    </w:p>
    <w:p w:rsidR="0064415C" w:rsidRPr="00FD3279" w:rsidRDefault="0064415C" w:rsidP="0064415C">
      <w:pPr>
        <w:tabs>
          <w:tab w:val="right" w:pos="6804"/>
        </w:tabs>
        <w:ind w:firstLine="0"/>
        <w:rPr>
          <w:noProof/>
          <w:sz w:val="26"/>
          <w:szCs w:val="28"/>
          <w:rtl/>
        </w:rPr>
      </w:pPr>
      <w:r w:rsidRPr="00FD3279">
        <w:rPr>
          <w:noProof/>
          <w:sz w:val="26"/>
          <w:szCs w:val="28"/>
          <w:rtl/>
        </w:rPr>
        <w:t>(الأحزاب /</w:t>
      </w:r>
      <w:r>
        <w:rPr>
          <w:rFonts w:hint="cs"/>
          <w:noProof/>
          <w:sz w:val="26"/>
          <w:szCs w:val="28"/>
          <w:rtl/>
        </w:rPr>
        <w:t xml:space="preserve"> 36</w:t>
      </w:r>
      <w:r w:rsidRPr="00FD3279">
        <w:rPr>
          <w:noProof/>
          <w:sz w:val="26"/>
          <w:szCs w:val="28"/>
          <w:rtl/>
        </w:rPr>
        <w:t xml:space="preserve">) </w:t>
      </w:r>
      <w:r w:rsidRPr="00FD3279">
        <w:rPr>
          <w:rFonts w:ascii="Mosawi" w:hAnsi="Mosawi"/>
          <w:noProof/>
          <w:sz w:val="24"/>
          <w:szCs w:val="28"/>
          <w:rtl/>
        </w:rPr>
        <w:t>وَمَا</w:t>
      </w:r>
      <w:r w:rsidRPr="00FD3279">
        <w:rPr>
          <w:noProof/>
          <w:sz w:val="26"/>
          <w:szCs w:val="28"/>
          <w:rtl/>
        </w:rPr>
        <w:t xml:space="preserve"> </w:t>
      </w:r>
      <w:r w:rsidRPr="00FD3279">
        <w:rPr>
          <w:rFonts w:ascii="Mosawi" w:hAnsi="Mosawi"/>
          <w:noProof/>
          <w:sz w:val="24"/>
          <w:szCs w:val="28"/>
          <w:rtl/>
        </w:rPr>
        <w:t>كَانَ</w:t>
      </w:r>
      <w:r w:rsidRPr="00FD3279">
        <w:rPr>
          <w:noProof/>
          <w:sz w:val="26"/>
          <w:szCs w:val="28"/>
          <w:rtl/>
        </w:rPr>
        <w:t xml:space="preserve"> </w:t>
      </w:r>
      <w:r w:rsidRPr="00FD3279">
        <w:rPr>
          <w:rFonts w:ascii="Mosawi" w:hAnsi="Mosawi"/>
          <w:noProof/>
          <w:sz w:val="24"/>
          <w:szCs w:val="28"/>
          <w:rtl/>
        </w:rPr>
        <w:t>لِمُؤْمِنٍ</w:t>
      </w:r>
      <w:r w:rsidRPr="00FD3279">
        <w:rPr>
          <w:noProof/>
          <w:sz w:val="26"/>
          <w:szCs w:val="28"/>
          <w:rtl/>
        </w:rPr>
        <w:t xml:space="preserve"> </w:t>
      </w:r>
      <w:r w:rsidRPr="00FD3279">
        <w:rPr>
          <w:rFonts w:ascii="Mosawi" w:hAnsi="Mosawi"/>
          <w:noProof/>
          <w:sz w:val="24"/>
          <w:szCs w:val="28"/>
          <w:rtl/>
        </w:rPr>
        <w:t>وَلاَ</w:t>
      </w:r>
      <w:r w:rsidRPr="00FD3279">
        <w:rPr>
          <w:noProof/>
          <w:sz w:val="26"/>
          <w:szCs w:val="28"/>
          <w:rtl/>
        </w:rPr>
        <w:t xml:space="preserve"> </w:t>
      </w:r>
      <w:r w:rsidRPr="00FD3279">
        <w:rPr>
          <w:rFonts w:ascii="Mosawi" w:hAnsi="Mosawi"/>
          <w:noProof/>
          <w:sz w:val="24"/>
          <w:szCs w:val="28"/>
          <w:rtl/>
        </w:rPr>
        <w:t>مُؤْمِنَةٍ</w:t>
      </w:r>
      <w:r w:rsidRPr="00FD3279">
        <w:rPr>
          <w:noProof/>
          <w:sz w:val="26"/>
          <w:szCs w:val="28"/>
          <w:rtl/>
        </w:rPr>
        <w:t xml:space="preserve"> إِذَا قَضَى اللهُ وَرَسُولُهُ</w:t>
      </w:r>
      <w:r w:rsidRPr="00FD3279">
        <w:rPr>
          <w:noProof/>
          <w:sz w:val="26"/>
          <w:szCs w:val="28"/>
        </w:rPr>
        <w:t>...</w:t>
      </w:r>
      <w:r>
        <w:rPr>
          <w:noProof/>
          <w:sz w:val="26"/>
          <w:szCs w:val="28"/>
          <w:rtl/>
          <w:lang w:bidi="fa-IR"/>
        </w:rPr>
        <w:tab/>
      </w:r>
      <w:r w:rsidRPr="00FD3279">
        <w:rPr>
          <w:noProof/>
          <w:sz w:val="26"/>
          <w:szCs w:val="28"/>
          <w:rtl/>
        </w:rPr>
        <w:t xml:space="preserve"> </w:t>
      </w:r>
      <w:r w:rsidRPr="00FD3279">
        <w:rPr>
          <w:noProof/>
          <w:sz w:val="26"/>
          <w:szCs w:val="28"/>
        </w:rPr>
        <w:t>93</w:t>
      </w:r>
      <w:r w:rsidRPr="00FD3279">
        <w:rPr>
          <w:noProof/>
          <w:sz w:val="26"/>
          <w:szCs w:val="28"/>
          <w:rtl/>
        </w:rPr>
        <w:t xml:space="preserve">، </w:t>
      </w:r>
      <w:r w:rsidRPr="00FD3279">
        <w:rPr>
          <w:noProof/>
          <w:sz w:val="26"/>
          <w:szCs w:val="28"/>
        </w:rPr>
        <w:t>406</w:t>
      </w:r>
    </w:p>
    <w:p w:rsidR="0064415C" w:rsidRPr="00FD3279" w:rsidRDefault="0064415C" w:rsidP="0064415C">
      <w:pPr>
        <w:tabs>
          <w:tab w:val="right" w:pos="6804"/>
        </w:tabs>
        <w:ind w:left="284" w:hanging="284"/>
        <w:rPr>
          <w:noProof/>
          <w:sz w:val="26"/>
          <w:szCs w:val="28"/>
          <w:rtl/>
        </w:rPr>
      </w:pPr>
      <w:r w:rsidRPr="00FD3279">
        <w:rPr>
          <w:noProof/>
          <w:sz w:val="26"/>
          <w:szCs w:val="28"/>
          <w:rtl/>
        </w:rPr>
        <w:t>(الأحزاب /</w:t>
      </w:r>
      <w:r>
        <w:rPr>
          <w:rFonts w:hint="cs"/>
          <w:noProof/>
          <w:sz w:val="26"/>
          <w:szCs w:val="28"/>
          <w:rtl/>
        </w:rPr>
        <w:t xml:space="preserve"> 64 - 65</w:t>
      </w:r>
      <w:r w:rsidRPr="00FD3279">
        <w:rPr>
          <w:noProof/>
          <w:sz w:val="26"/>
          <w:szCs w:val="28"/>
          <w:rtl/>
        </w:rPr>
        <w:t xml:space="preserve">) إِنَّ اللهَ لَعَنَ الْكَافِرِينَ وَأَعَدَّ لَهُمْ سَعِيراً </w:t>
      </w:r>
      <w:r w:rsidRPr="00FD3279">
        <w:rPr>
          <w:noProof/>
          <w:sz w:val="26"/>
          <w:szCs w:val="28"/>
        </w:rPr>
        <w:t>*</w:t>
      </w:r>
      <w:r w:rsidRPr="00FD3279">
        <w:rPr>
          <w:noProof/>
          <w:sz w:val="26"/>
          <w:szCs w:val="28"/>
          <w:rtl/>
        </w:rPr>
        <w:t xml:space="preserve"> خَالِدِينَ فِيهَا أَبَداً </w:t>
      </w:r>
      <w:r>
        <w:rPr>
          <w:noProof/>
          <w:sz w:val="26"/>
          <w:szCs w:val="28"/>
          <w:rtl/>
        </w:rPr>
        <w:br/>
      </w:r>
      <w:r w:rsidRPr="00FD3279">
        <w:rPr>
          <w:noProof/>
          <w:sz w:val="26"/>
          <w:szCs w:val="28"/>
          <w:rtl/>
        </w:rPr>
        <w:t>لاَ يَجِدُونَ وَلِيّاً وَلاَ نَصِيراً</w:t>
      </w:r>
      <w:r>
        <w:rPr>
          <w:noProof/>
          <w:sz w:val="26"/>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(الأحزاب /</w:t>
      </w:r>
      <w:r>
        <w:rPr>
          <w:rFonts w:hint="cs"/>
          <w:noProof/>
          <w:sz w:val="26"/>
          <w:szCs w:val="28"/>
          <w:rtl/>
        </w:rPr>
        <w:t xml:space="preserve"> 65</w:t>
      </w:r>
      <w:r w:rsidRPr="00FD3279">
        <w:rPr>
          <w:noProof/>
          <w:sz w:val="26"/>
          <w:szCs w:val="28"/>
          <w:rtl/>
        </w:rPr>
        <w:t>) خَالِدِينَ فِيهَا أَبَداً لاَ يَجِدُونَ وَلِيّاً وَلاَ نَصِيراً</w:t>
      </w:r>
      <w:r>
        <w:rPr>
          <w:noProof/>
          <w:sz w:val="26"/>
          <w:szCs w:val="28"/>
          <w:rtl/>
        </w:rPr>
        <w:tab/>
      </w:r>
      <w:r w:rsidRPr="00FD3279">
        <w:rPr>
          <w:noProof/>
          <w:sz w:val="26"/>
          <w:szCs w:val="28"/>
          <w:rtl/>
        </w:rPr>
        <w:t xml:space="preserve"> </w:t>
      </w:r>
      <w:r w:rsidRPr="00FD3279">
        <w:rPr>
          <w:noProof/>
          <w:sz w:val="26"/>
          <w:szCs w:val="28"/>
        </w:rPr>
        <w:t>90</w:t>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(الزخرف /</w:t>
      </w:r>
      <w:r>
        <w:rPr>
          <w:rFonts w:hint="cs"/>
          <w:noProof/>
          <w:sz w:val="26"/>
          <w:szCs w:val="28"/>
          <w:rtl/>
        </w:rPr>
        <w:t xml:space="preserve"> 19</w:t>
      </w:r>
      <w:r w:rsidRPr="00FD3279">
        <w:rPr>
          <w:noProof/>
          <w:sz w:val="26"/>
          <w:szCs w:val="28"/>
          <w:rtl/>
        </w:rPr>
        <w:t xml:space="preserve">) </w:t>
      </w:r>
      <w:r w:rsidRPr="00FD3279">
        <w:rPr>
          <w:rFonts w:ascii="Mosawi" w:hAnsi="Mosawi"/>
          <w:noProof/>
          <w:sz w:val="24"/>
          <w:szCs w:val="28"/>
          <w:rtl/>
        </w:rPr>
        <w:t>وَجَعَلُوا</w:t>
      </w:r>
      <w:r w:rsidRPr="00FD3279">
        <w:rPr>
          <w:noProof/>
          <w:sz w:val="26"/>
          <w:szCs w:val="28"/>
          <w:rtl/>
        </w:rPr>
        <w:t xml:space="preserve"> </w:t>
      </w:r>
      <w:r w:rsidRPr="00FD3279">
        <w:rPr>
          <w:rFonts w:ascii="Mosawi" w:hAnsi="Mosawi"/>
          <w:noProof/>
          <w:sz w:val="24"/>
          <w:szCs w:val="28"/>
          <w:rtl/>
        </w:rPr>
        <w:t>الْمَلاَئِكَةَ</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هُمْ</w:t>
      </w:r>
      <w:r w:rsidRPr="00FD3279">
        <w:rPr>
          <w:noProof/>
          <w:sz w:val="26"/>
          <w:szCs w:val="28"/>
          <w:rtl/>
        </w:rPr>
        <w:t xml:space="preserve"> </w:t>
      </w:r>
      <w:r w:rsidRPr="00FD3279">
        <w:rPr>
          <w:rFonts w:ascii="Mosawi" w:hAnsi="Mosawi"/>
          <w:noProof/>
          <w:sz w:val="24"/>
          <w:szCs w:val="28"/>
          <w:rtl/>
        </w:rPr>
        <w:t>عِبَادُ</w:t>
      </w:r>
      <w:r w:rsidRPr="00FD3279">
        <w:rPr>
          <w:noProof/>
          <w:sz w:val="26"/>
          <w:szCs w:val="28"/>
          <w:rtl/>
        </w:rPr>
        <w:t xml:space="preserve"> </w:t>
      </w:r>
      <w:r w:rsidRPr="00FD3279">
        <w:rPr>
          <w:rFonts w:ascii="Mosawi" w:hAnsi="Mosawi"/>
          <w:noProof/>
          <w:sz w:val="24"/>
          <w:szCs w:val="28"/>
          <w:rtl/>
        </w:rPr>
        <w:t>الرَّحْمَنِ</w:t>
      </w:r>
      <w:r w:rsidRPr="00FD3279">
        <w:rPr>
          <w:noProof/>
          <w:sz w:val="26"/>
          <w:szCs w:val="28"/>
          <w:rtl/>
        </w:rPr>
        <w:t xml:space="preserve"> </w:t>
      </w:r>
      <w:r w:rsidRPr="00FD3279">
        <w:rPr>
          <w:rFonts w:ascii="Mosawi" w:hAnsi="Mosawi"/>
          <w:noProof/>
          <w:sz w:val="24"/>
          <w:szCs w:val="28"/>
          <w:rtl/>
        </w:rPr>
        <w:t>إِنَاثاً</w:t>
      </w:r>
      <w:r>
        <w:rPr>
          <w:rFonts w:ascii="Mosawi" w:hAnsi="Mosawi"/>
          <w:noProof/>
          <w:sz w:val="24"/>
          <w:szCs w:val="28"/>
          <w:rtl/>
        </w:rPr>
        <w:tab/>
      </w:r>
      <w:r w:rsidRPr="00FD3279">
        <w:rPr>
          <w:noProof/>
          <w:sz w:val="26"/>
          <w:szCs w:val="28"/>
          <w:rtl/>
        </w:rPr>
        <w:t xml:space="preserve"> </w:t>
      </w:r>
      <w:r w:rsidRPr="00FD3279">
        <w:rPr>
          <w:noProof/>
          <w:sz w:val="26"/>
          <w:szCs w:val="28"/>
        </w:rPr>
        <w:t>357</w:t>
      </w:r>
    </w:p>
    <w:p w:rsidR="0064415C" w:rsidRPr="00FD3279" w:rsidRDefault="0064415C" w:rsidP="0064415C">
      <w:pPr>
        <w:tabs>
          <w:tab w:val="right" w:pos="6804"/>
        </w:tabs>
        <w:ind w:firstLine="0"/>
        <w:rPr>
          <w:noProof/>
          <w:sz w:val="26"/>
          <w:szCs w:val="28"/>
        </w:rPr>
      </w:pPr>
      <w:r w:rsidRPr="00FD3279">
        <w:rPr>
          <w:noProof/>
          <w:sz w:val="26"/>
          <w:szCs w:val="28"/>
          <w:rtl/>
        </w:rPr>
        <w:t>(الجاثية /</w:t>
      </w:r>
      <w:r>
        <w:rPr>
          <w:rFonts w:hint="cs"/>
          <w:noProof/>
          <w:sz w:val="26"/>
          <w:szCs w:val="28"/>
          <w:rtl/>
        </w:rPr>
        <w:t xml:space="preserve"> 19</w:t>
      </w:r>
      <w:r w:rsidRPr="00FD3279">
        <w:rPr>
          <w:noProof/>
          <w:sz w:val="26"/>
          <w:szCs w:val="28"/>
          <w:rtl/>
        </w:rPr>
        <w:t xml:space="preserve">) </w:t>
      </w:r>
      <w:r w:rsidRPr="00FD3279">
        <w:rPr>
          <w:rFonts w:ascii="Mosawi" w:hAnsi="Mosawi"/>
          <w:noProof/>
          <w:sz w:val="24"/>
          <w:szCs w:val="28"/>
          <w:rtl/>
        </w:rPr>
        <w:t>وَإِنَّ</w:t>
      </w:r>
      <w:r w:rsidRPr="00FD3279">
        <w:rPr>
          <w:noProof/>
          <w:sz w:val="26"/>
          <w:szCs w:val="28"/>
          <w:rtl/>
        </w:rPr>
        <w:t xml:space="preserve"> </w:t>
      </w:r>
      <w:r w:rsidRPr="00FD3279">
        <w:rPr>
          <w:rFonts w:ascii="Mosawi" w:hAnsi="Mosawi"/>
          <w:noProof/>
          <w:sz w:val="24"/>
          <w:szCs w:val="28"/>
          <w:rtl/>
        </w:rPr>
        <w:t>الظَّالِمِينَ</w:t>
      </w:r>
      <w:r w:rsidRPr="00FD3279">
        <w:rPr>
          <w:noProof/>
          <w:sz w:val="26"/>
          <w:szCs w:val="28"/>
          <w:rtl/>
        </w:rPr>
        <w:t xml:space="preserve"> </w:t>
      </w:r>
      <w:r w:rsidRPr="00FD3279">
        <w:rPr>
          <w:rFonts w:ascii="Mosawi" w:hAnsi="Mosawi"/>
          <w:noProof/>
          <w:sz w:val="24"/>
          <w:szCs w:val="28"/>
          <w:rtl/>
        </w:rPr>
        <w:t>بَعْضُهُمْ</w:t>
      </w:r>
      <w:r w:rsidRPr="00FD3279">
        <w:rPr>
          <w:noProof/>
          <w:sz w:val="26"/>
          <w:szCs w:val="28"/>
          <w:rtl/>
        </w:rPr>
        <w:t xml:space="preserve"> </w:t>
      </w:r>
      <w:r w:rsidRPr="00FD3279">
        <w:rPr>
          <w:rFonts w:ascii="Mosawi" w:hAnsi="Mosawi"/>
          <w:noProof/>
          <w:sz w:val="24"/>
          <w:szCs w:val="28"/>
          <w:rtl/>
        </w:rPr>
        <w:t>أَوْلِيَاءُ</w:t>
      </w:r>
      <w:r w:rsidRPr="00FD3279">
        <w:rPr>
          <w:noProof/>
          <w:sz w:val="26"/>
          <w:szCs w:val="28"/>
          <w:rtl/>
        </w:rPr>
        <w:t xml:space="preserve"> </w:t>
      </w:r>
      <w:r w:rsidRPr="00FD3279">
        <w:rPr>
          <w:rFonts w:ascii="Mosawi" w:hAnsi="Mosawi"/>
          <w:noProof/>
          <w:sz w:val="24"/>
          <w:szCs w:val="28"/>
          <w:rtl/>
        </w:rPr>
        <w:t>بَعْضٍ</w:t>
      </w:r>
      <w:r>
        <w:rPr>
          <w:rFonts w:ascii="Mosawi" w:hAnsi="Mosawi"/>
          <w:noProof/>
          <w:sz w:val="24"/>
          <w:szCs w:val="28"/>
          <w:rtl/>
        </w:rPr>
        <w:tab/>
      </w:r>
      <w:r w:rsidRPr="00FD3279">
        <w:rPr>
          <w:noProof/>
          <w:sz w:val="26"/>
          <w:szCs w:val="28"/>
          <w:rtl/>
        </w:rPr>
        <w:t xml:space="preserve"> </w:t>
      </w:r>
      <w:r w:rsidRPr="00FD3279">
        <w:rPr>
          <w:noProof/>
          <w:sz w:val="26"/>
          <w:szCs w:val="28"/>
        </w:rPr>
        <w:t>103</w:t>
      </w:r>
    </w:p>
    <w:p w:rsidR="0064415C" w:rsidRPr="00FD3279" w:rsidRDefault="0064415C" w:rsidP="0064415C">
      <w:pPr>
        <w:tabs>
          <w:tab w:val="right" w:pos="6804"/>
        </w:tabs>
        <w:ind w:firstLine="0"/>
        <w:rPr>
          <w:noProof/>
          <w:sz w:val="26"/>
          <w:szCs w:val="28"/>
        </w:rPr>
      </w:pPr>
      <w:r w:rsidRPr="00FD3279">
        <w:rPr>
          <w:noProof/>
          <w:sz w:val="26"/>
          <w:szCs w:val="28"/>
          <w:rtl/>
        </w:rPr>
        <w:t xml:space="preserve"> (الجاثية /</w:t>
      </w:r>
      <w:r>
        <w:rPr>
          <w:rFonts w:hint="cs"/>
          <w:noProof/>
          <w:sz w:val="26"/>
          <w:szCs w:val="28"/>
          <w:rtl/>
        </w:rPr>
        <w:t xml:space="preserve"> 19</w:t>
      </w:r>
      <w:r w:rsidRPr="00FD3279">
        <w:rPr>
          <w:noProof/>
          <w:sz w:val="26"/>
          <w:szCs w:val="28"/>
          <w:rtl/>
        </w:rPr>
        <w:t xml:space="preserve">) </w:t>
      </w:r>
      <w:r w:rsidRPr="00FD3279">
        <w:rPr>
          <w:rFonts w:ascii="Mosawi" w:hAnsi="Mosawi"/>
          <w:noProof/>
          <w:sz w:val="24"/>
          <w:szCs w:val="28"/>
          <w:rtl/>
        </w:rPr>
        <w:t>وَاللهُ</w:t>
      </w:r>
      <w:r w:rsidRPr="00FD3279">
        <w:rPr>
          <w:noProof/>
          <w:sz w:val="26"/>
          <w:szCs w:val="28"/>
          <w:rtl/>
        </w:rPr>
        <w:t xml:space="preserve"> </w:t>
      </w:r>
      <w:r w:rsidRPr="00FD3279">
        <w:rPr>
          <w:rFonts w:ascii="Mosawi" w:hAnsi="Mosawi"/>
          <w:noProof/>
          <w:sz w:val="24"/>
          <w:szCs w:val="28"/>
          <w:rtl/>
        </w:rPr>
        <w:t>وَلِيُّ</w:t>
      </w:r>
      <w:r w:rsidRPr="00FD3279">
        <w:rPr>
          <w:noProof/>
          <w:sz w:val="26"/>
          <w:szCs w:val="28"/>
          <w:rtl/>
        </w:rPr>
        <w:t xml:space="preserve"> </w:t>
      </w:r>
      <w:r w:rsidRPr="00FD3279">
        <w:rPr>
          <w:rFonts w:ascii="Mosawi" w:hAnsi="Mosawi"/>
          <w:noProof/>
          <w:sz w:val="24"/>
          <w:szCs w:val="28"/>
          <w:rtl/>
        </w:rPr>
        <w:t>الْمُتَّقِينَ</w:t>
      </w:r>
      <w:r>
        <w:rPr>
          <w:rFonts w:ascii="Mosawi" w:hAnsi="Mosawi"/>
          <w:noProof/>
          <w:sz w:val="24"/>
          <w:szCs w:val="28"/>
          <w:rtl/>
        </w:rPr>
        <w:tab/>
      </w:r>
      <w:r w:rsidRPr="00FD3279">
        <w:rPr>
          <w:noProof/>
          <w:sz w:val="26"/>
          <w:szCs w:val="28"/>
          <w:rtl/>
        </w:rPr>
        <w:t xml:space="preserve"> </w:t>
      </w:r>
      <w:r w:rsidRPr="00FD3279">
        <w:rPr>
          <w:noProof/>
          <w:sz w:val="26"/>
          <w:szCs w:val="28"/>
        </w:rPr>
        <w:t>89</w:t>
      </w:r>
    </w:p>
    <w:p w:rsidR="0064415C" w:rsidRPr="00FD3279" w:rsidRDefault="0064415C" w:rsidP="0064415C">
      <w:pPr>
        <w:tabs>
          <w:tab w:val="right" w:pos="6804"/>
        </w:tabs>
        <w:ind w:firstLine="0"/>
        <w:rPr>
          <w:noProof/>
          <w:sz w:val="26"/>
          <w:szCs w:val="28"/>
        </w:rPr>
      </w:pPr>
      <w:r w:rsidRPr="00FD3279">
        <w:rPr>
          <w:noProof/>
          <w:sz w:val="26"/>
          <w:szCs w:val="28"/>
          <w:rtl/>
        </w:rPr>
        <w:t xml:space="preserve">(محمّد </w:t>
      </w:r>
      <w:r w:rsidRPr="00FD3279">
        <w:rPr>
          <w:noProof/>
          <w:sz w:val="26"/>
          <w:szCs w:val="28"/>
        </w:rPr>
        <w:t>/</w:t>
      </w:r>
      <w:r>
        <w:rPr>
          <w:rFonts w:hint="cs"/>
          <w:noProof/>
          <w:sz w:val="26"/>
          <w:szCs w:val="28"/>
          <w:rtl/>
        </w:rPr>
        <w:t xml:space="preserve"> 11</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مَوْلَى الَّذِينَ آمَنُوا</w:t>
      </w:r>
      <w:r>
        <w:rPr>
          <w:noProof/>
          <w:sz w:val="26"/>
          <w:szCs w:val="28"/>
          <w:rtl/>
        </w:rPr>
        <w:tab/>
      </w:r>
      <w:r w:rsidRPr="00FD3279">
        <w:rPr>
          <w:noProof/>
          <w:sz w:val="26"/>
          <w:szCs w:val="28"/>
          <w:rtl/>
        </w:rPr>
        <w:t xml:space="preserve"> </w:t>
      </w:r>
      <w:r w:rsidRPr="00FD3279">
        <w:rPr>
          <w:noProof/>
          <w:sz w:val="26"/>
          <w:szCs w:val="28"/>
        </w:rPr>
        <w:t>89</w:t>
      </w:r>
    </w:p>
    <w:p w:rsidR="0064415C" w:rsidRPr="00FD3279" w:rsidRDefault="0064415C" w:rsidP="0064415C">
      <w:pPr>
        <w:tabs>
          <w:tab w:val="right" w:pos="6804"/>
        </w:tabs>
        <w:ind w:firstLine="0"/>
        <w:rPr>
          <w:noProof/>
          <w:sz w:val="26"/>
          <w:szCs w:val="28"/>
          <w:rtl/>
        </w:rPr>
      </w:pPr>
      <w:r w:rsidRPr="00FD3279">
        <w:rPr>
          <w:noProof/>
          <w:sz w:val="26"/>
          <w:szCs w:val="28"/>
          <w:rtl/>
        </w:rPr>
        <w:t xml:space="preserve">(محمّد </w:t>
      </w:r>
      <w:r w:rsidRPr="00FD3279">
        <w:rPr>
          <w:noProof/>
          <w:sz w:val="26"/>
          <w:szCs w:val="28"/>
        </w:rPr>
        <w:t>/</w:t>
      </w:r>
      <w:r>
        <w:rPr>
          <w:rFonts w:hint="cs"/>
          <w:noProof/>
          <w:sz w:val="26"/>
          <w:szCs w:val="28"/>
          <w:rtl/>
        </w:rPr>
        <w:t xml:space="preserve"> 11</w:t>
      </w:r>
      <w:r w:rsidRPr="00FD3279">
        <w:rPr>
          <w:noProof/>
          <w:sz w:val="26"/>
          <w:szCs w:val="28"/>
          <w:rtl/>
        </w:rPr>
        <w:t xml:space="preserve">) </w:t>
      </w:r>
      <w:r w:rsidRPr="00FD3279">
        <w:rPr>
          <w:rFonts w:ascii="Mosawi" w:hAnsi="Mosawi"/>
          <w:noProof/>
          <w:sz w:val="24"/>
          <w:szCs w:val="28"/>
          <w:rtl/>
        </w:rPr>
        <w:t>وَأَنَّ</w:t>
      </w:r>
      <w:r w:rsidRPr="00FD3279">
        <w:rPr>
          <w:noProof/>
          <w:sz w:val="26"/>
          <w:szCs w:val="28"/>
          <w:rtl/>
        </w:rPr>
        <w:t xml:space="preserve"> </w:t>
      </w:r>
      <w:r w:rsidRPr="00FD3279">
        <w:rPr>
          <w:rFonts w:ascii="Mosawi" w:hAnsi="Mosawi"/>
          <w:noProof/>
          <w:sz w:val="24"/>
          <w:szCs w:val="28"/>
          <w:rtl/>
        </w:rPr>
        <w:t>الْكَافِرِينَ</w:t>
      </w:r>
      <w:r w:rsidRPr="00FD3279">
        <w:rPr>
          <w:noProof/>
          <w:sz w:val="26"/>
          <w:szCs w:val="28"/>
          <w:rtl/>
        </w:rPr>
        <w:t xml:space="preserve"> </w:t>
      </w:r>
      <w:r w:rsidRPr="00FD3279">
        <w:rPr>
          <w:rFonts w:ascii="Mosawi" w:hAnsi="Mosawi"/>
          <w:noProof/>
          <w:sz w:val="24"/>
          <w:szCs w:val="28"/>
          <w:rtl/>
        </w:rPr>
        <w:t>لاَ</w:t>
      </w:r>
      <w:r w:rsidRPr="00FD3279">
        <w:rPr>
          <w:noProof/>
          <w:sz w:val="26"/>
          <w:szCs w:val="28"/>
          <w:rtl/>
        </w:rPr>
        <w:t xml:space="preserve"> </w:t>
      </w:r>
      <w:r w:rsidRPr="00FD3279">
        <w:rPr>
          <w:rFonts w:ascii="Mosawi" w:hAnsi="Mosawi"/>
          <w:noProof/>
          <w:sz w:val="24"/>
          <w:szCs w:val="28"/>
          <w:rtl/>
        </w:rPr>
        <w:t>مَوْلَى</w:t>
      </w:r>
      <w:r w:rsidRPr="00FD3279">
        <w:rPr>
          <w:noProof/>
          <w:sz w:val="26"/>
          <w:szCs w:val="28"/>
          <w:rtl/>
        </w:rPr>
        <w:t xml:space="preserve"> </w:t>
      </w:r>
      <w:r w:rsidRPr="00FD3279">
        <w:rPr>
          <w:rFonts w:ascii="Mosawi" w:hAnsi="Mosawi"/>
          <w:noProof/>
          <w:sz w:val="24"/>
          <w:szCs w:val="28"/>
          <w:rtl/>
        </w:rPr>
        <w:t>لَهُمْ</w:t>
      </w:r>
      <w:r>
        <w:rPr>
          <w:rFonts w:ascii="Mosawi" w:hAnsi="Mosawi"/>
          <w:noProof/>
          <w:sz w:val="24"/>
          <w:szCs w:val="28"/>
          <w:rtl/>
        </w:rPr>
        <w:tab/>
      </w:r>
      <w:r w:rsidRPr="00FD3279">
        <w:rPr>
          <w:noProof/>
          <w:sz w:val="26"/>
          <w:szCs w:val="28"/>
          <w:rtl/>
        </w:rPr>
        <w:t xml:space="preserve"> </w:t>
      </w:r>
      <w:r w:rsidRPr="00FD3279">
        <w:rPr>
          <w:noProof/>
          <w:sz w:val="26"/>
          <w:szCs w:val="28"/>
        </w:rPr>
        <w:t>90</w:t>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(الحجرات /</w:t>
      </w:r>
      <w:r>
        <w:rPr>
          <w:rFonts w:hint="cs"/>
          <w:noProof/>
          <w:sz w:val="26"/>
          <w:szCs w:val="28"/>
          <w:rtl/>
        </w:rPr>
        <w:t xml:space="preserve"> 9</w:t>
      </w:r>
      <w:r w:rsidRPr="00FD3279">
        <w:rPr>
          <w:noProof/>
          <w:sz w:val="26"/>
          <w:szCs w:val="28"/>
          <w:rtl/>
        </w:rPr>
        <w:t xml:space="preserve">) </w:t>
      </w:r>
      <w:r w:rsidRPr="00FD3279">
        <w:rPr>
          <w:rFonts w:ascii="Mosawi" w:hAnsi="Mosawi"/>
          <w:noProof/>
          <w:sz w:val="24"/>
          <w:szCs w:val="28"/>
          <w:rtl/>
        </w:rPr>
        <w:t>وَإِنْ</w:t>
      </w:r>
      <w:r w:rsidRPr="00FD3279">
        <w:rPr>
          <w:noProof/>
          <w:sz w:val="26"/>
          <w:szCs w:val="28"/>
          <w:rtl/>
        </w:rPr>
        <w:t xml:space="preserve"> </w:t>
      </w:r>
      <w:r w:rsidRPr="00FD3279">
        <w:rPr>
          <w:rFonts w:ascii="Mosawi" w:hAnsi="Mosawi"/>
          <w:noProof/>
          <w:sz w:val="24"/>
          <w:szCs w:val="28"/>
          <w:rtl/>
        </w:rPr>
        <w:t>طَائِفَتَانِ</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الْمُؤْمِنِينَ</w:t>
      </w:r>
      <w:r w:rsidRPr="00FD3279">
        <w:rPr>
          <w:noProof/>
          <w:sz w:val="26"/>
          <w:szCs w:val="28"/>
          <w:rtl/>
        </w:rPr>
        <w:t xml:space="preserve"> </w:t>
      </w:r>
      <w:r w:rsidRPr="00FD3279">
        <w:rPr>
          <w:rFonts w:ascii="Mosawi" w:hAnsi="Mosawi"/>
          <w:noProof/>
          <w:sz w:val="24"/>
          <w:szCs w:val="28"/>
          <w:rtl/>
        </w:rPr>
        <w:t>اقْتَتَلُوا</w:t>
      </w:r>
      <w:r w:rsidRPr="00FD3279">
        <w:rPr>
          <w:noProof/>
          <w:sz w:val="26"/>
          <w:szCs w:val="28"/>
          <w:rtl/>
        </w:rPr>
        <w:t xml:space="preserve"> </w:t>
      </w:r>
      <w:r w:rsidRPr="00FD3279">
        <w:rPr>
          <w:rFonts w:ascii="Mosawi" w:hAnsi="Mosawi"/>
          <w:noProof/>
          <w:sz w:val="24"/>
          <w:szCs w:val="28"/>
          <w:rtl/>
        </w:rPr>
        <w:t>فَأَصْلِحُوا</w:t>
      </w:r>
      <w:r w:rsidRPr="00FD3279">
        <w:rPr>
          <w:noProof/>
          <w:sz w:val="26"/>
          <w:szCs w:val="28"/>
          <w:rtl/>
        </w:rPr>
        <w:t xml:space="preserve"> </w:t>
      </w:r>
      <w:r w:rsidRPr="00FD3279">
        <w:rPr>
          <w:rFonts w:ascii="Mosawi" w:hAnsi="Mosawi"/>
          <w:noProof/>
          <w:sz w:val="24"/>
          <w:szCs w:val="28"/>
          <w:rtl/>
        </w:rPr>
        <w:t>بَيْنَهُمَا</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412</w:t>
      </w:r>
    </w:p>
    <w:p w:rsidR="0064415C" w:rsidRPr="00FD3279" w:rsidRDefault="0064415C" w:rsidP="0064415C">
      <w:pPr>
        <w:tabs>
          <w:tab w:val="right" w:pos="6804"/>
        </w:tabs>
        <w:ind w:firstLine="0"/>
        <w:rPr>
          <w:noProof/>
          <w:sz w:val="26"/>
          <w:szCs w:val="28"/>
        </w:rPr>
      </w:pPr>
      <w:r w:rsidRPr="00FD3279">
        <w:rPr>
          <w:noProof/>
          <w:sz w:val="26"/>
          <w:szCs w:val="28"/>
          <w:rtl/>
        </w:rPr>
        <w:t xml:space="preserve"> (الحجرات /</w:t>
      </w:r>
      <w:r>
        <w:rPr>
          <w:rFonts w:hint="cs"/>
          <w:noProof/>
          <w:sz w:val="26"/>
          <w:szCs w:val="28"/>
          <w:rtl/>
        </w:rPr>
        <w:t xml:space="preserve"> 10</w:t>
      </w:r>
      <w:r w:rsidRPr="00FD3279">
        <w:rPr>
          <w:noProof/>
          <w:sz w:val="26"/>
          <w:szCs w:val="28"/>
          <w:rtl/>
        </w:rPr>
        <w:t xml:space="preserve">) </w:t>
      </w:r>
      <w:r w:rsidRPr="00FD3279">
        <w:rPr>
          <w:rFonts w:ascii="Mosawi" w:hAnsi="Mosawi"/>
          <w:noProof/>
          <w:sz w:val="24"/>
          <w:szCs w:val="28"/>
          <w:rtl/>
        </w:rPr>
        <w:t>إِنَّمَا</w:t>
      </w:r>
      <w:r w:rsidRPr="00FD3279">
        <w:rPr>
          <w:noProof/>
          <w:sz w:val="26"/>
          <w:szCs w:val="28"/>
          <w:rtl/>
        </w:rPr>
        <w:t xml:space="preserve"> </w:t>
      </w:r>
      <w:r w:rsidRPr="00FD3279">
        <w:rPr>
          <w:rFonts w:ascii="Mosawi" w:hAnsi="Mosawi"/>
          <w:noProof/>
          <w:sz w:val="24"/>
          <w:szCs w:val="28"/>
          <w:rtl/>
        </w:rPr>
        <w:t>الْمُؤْمِنُونَ</w:t>
      </w:r>
      <w:r w:rsidRPr="00FD3279">
        <w:rPr>
          <w:noProof/>
          <w:sz w:val="26"/>
          <w:szCs w:val="28"/>
          <w:rtl/>
        </w:rPr>
        <w:t xml:space="preserve"> </w:t>
      </w:r>
      <w:r w:rsidRPr="00FD3279">
        <w:rPr>
          <w:rFonts w:ascii="Mosawi" w:hAnsi="Mosawi"/>
          <w:noProof/>
          <w:sz w:val="24"/>
          <w:szCs w:val="28"/>
          <w:rtl/>
        </w:rPr>
        <w:t>إِخْوَةٌ</w:t>
      </w:r>
      <w:r>
        <w:rPr>
          <w:rFonts w:ascii="Mosawi" w:hAnsi="Mosawi"/>
          <w:noProof/>
          <w:sz w:val="24"/>
          <w:szCs w:val="28"/>
          <w:rtl/>
        </w:rPr>
        <w:tab/>
      </w:r>
      <w:r w:rsidRPr="00FD3279">
        <w:rPr>
          <w:noProof/>
          <w:sz w:val="26"/>
          <w:szCs w:val="28"/>
          <w:rtl/>
        </w:rPr>
        <w:t xml:space="preserve"> </w:t>
      </w:r>
      <w:r w:rsidRPr="00FD3279">
        <w:rPr>
          <w:noProof/>
          <w:sz w:val="26"/>
          <w:szCs w:val="28"/>
        </w:rPr>
        <w:t>100</w:t>
      </w:r>
    </w:p>
    <w:p w:rsidR="0064415C" w:rsidRPr="00FD3279" w:rsidRDefault="0064415C" w:rsidP="0064415C">
      <w:pPr>
        <w:tabs>
          <w:tab w:val="right" w:pos="6804"/>
        </w:tabs>
        <w:ind w:firstLine="0"/>
        <w:rPr>
          <w:noProof/>
          <w:sz w:val="26"/>
          <w:szCs w:val="28"/>
        </w:rPr>
      </w:pPr>
      <w:r w:rsidRPr="00FD3279">
        <w:rPr>
          <w:noProof/>
          <w:sz w:val="26"/>
          <w:szCs w:val="28"/>
          <w:rtl/>
        </w:rPr>
        <w:t>(الحديد /</w:t>
      </w:r>
      <w:r>
        <w:rPr>
          <w:rFonts w:hint="cs"/>
          <w:noProof/>
          <w:sz w:val="26"/>
          <w:szCs w:val="28"/>
          <w:rtl/>
        </w:rPr>
        <w:t xml:space="preserve"> 15</w:t>
      </w:r>
      <w:r w:rsidRPr="00FD3279">
        <w:rPr>
          <w:noProof/>
          <w:sz w:val="26"/>
          <w:szCs w:val="28"/>
          <w:rtl/>
        </w:rPr>
        <w:t xml:space="preserve">) </w:t>
      </w:r>
      <w:r w:rsidRPr="00FD3279">
        <w:rPr>
          <w:rFonts w:ascii="Mosawi" w:hAnsi="Mosawi"/>
          <w:noProof/>
          <w:sz w:val="24"/>
          <w:szCs w:val="28"/>
          <w:rtl/>
        </w:rPr>
        <w:t>مَأْوَاكُمْ</w:t>
      </w:r>
      <w:r w:rsidRPr="00FD3279">
        <w:rPr>
          <w:noProof/>
          <w:sz w:val="26"/>
          <w:szCs w:val="28"/>
          <w:rtl/>
        </w:rPr>
        <w:t xml:space="preserve"> </w:t>
      </w:r>
      <w:r w:rsidRPr="00FD3279">
        <w:rPr>
          <w:rFonts w:ascii="Mosawi" w:hAnsi="Mosawi"/>
          <w:noProof/>
          <w:sz w:val="24"/>
          <w:szCs w:val="28"/>
          <w:rtl/>
        </w:rPr>
        <w:t>النَّارُ</w:t>
      </w:r>
      <w:r w:rsidRPr="00FD3279">
        <w:rPr>
          <w:noProof/>
          <w:sz w:val="26"/>
          <w:szCs w:val="28"/>
          <w:rtl/>
        </w:rPr>
        <w:t xml:space="preserve"> </w:t>
      </w:r>
      <w:r w:rsidRPr="00FD3279">
        <w:rPr>
          <w:rFonts w:ascii="Mosawi" w:hAnsi="Mosawi"/>
          <w:noProof/>
          <w:sz w:val="24"/>
          <w:szCs w:val="28"/>
          <w:rtl/>
        </w:rPr>
        <w:t>هِيَ</w:t>
      </w:r>
      <w:r w:rsidRPr="00FD3279">
        <w:rPr>
          <w:noProof/>
          <w:sz w:val="26"/>
          <w:szCs w:val="28"/>
          <w:rtl/>
        </w:rPr>
        <w:t xml:space="preserve"> </w:t>
      </w:r>
      <w:r w:rsidRPr="00FD3279">
        <w:rPr>
          <w:rFonts w:ascii="Mosawi" w:hAnsi="Mosawi"/>
          <w:noProof/>
          <w:sz w:val="24"/>
          <w:szCs w:val="28"/>
          <w:rtl/>
        </w:rPr>
        <w:t>مَوْلاَكُمْ</w:t>
      </w:r>
      <w:r w:rsidRPr="00FD3279">
        <w:rPr>
          <w:noProof/>
          <w:sz w:val="26"/>
          <w:szCs w:val="28"/>
          <w:rtl/>
        </w:rPr>
        <w:t xml:space="preserve"> </w:t>
      </w:r>
      <w:r w:rsidRPr="00FD3279">
        <w:rPr>
          <w:rFonts w:ascii="Mosawi" w:hAnsi="Mosawi"/>
          <w:noProof/>
          <w:sz w:val="24"/>
          <w:szCs w:val="28"/>
          <w:rtl/>
        </w:rPr>
        <w:t>وَبِئْسَ</w:t>
      </w:r>
      <w:r w:rsidRPr="00FD3279">
        <w:rPr>
          <w:noProof/>
          <w:sz w:val="26"/>
          <w:szCs w:val="28"/>
          <w:rtl/>
        </w:rPr>
        <w:t xml:space="preserve"> </w:t>
      </w:r>
      <w:r w:rsidRPr="00FD3279">
        <w:rPr>
          <w:rFonts w:ascii="Mosawi" w:hAnsi="Mosawi"/>
          <w:noProof/>
          <w:sz w:val="24"/>
          <w:szCs w:val="28"/>
          <w:rtl/>
        </w:rPr>
        <w:t>الْمَصِيرُ</w:t>
      </w:r>
      <w:r>
        <w:rPr>
          <w:rFonts w:ascii="Mosawi" w:hAnsi="Mosawi"/>
          <w:noProof/>
          <w:sz w:val="24"/>
          <w:szCs w:val="28"/>
          <w:rtl/>
        </w:rPr>
        <w:tab/>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(الحشر /</w:t>
      </w:r>
      <w:r>
        <w:rPr>
          <w:rFonts w:hint="cs"/>
          <w:noProof/>
          <w:sz w:val="26"/>
          <w:szCs w:val="28"/>
          <w:rtl/>
        </w:rPr>
        <w:t xml:space="preserve"> 7</w:t>
      </w:r>
      <w:r w:rsidRPr="00FD3279">
        <w:rPr>
          <w:noProof/>
          <w:sz w:val="26"/>
          <w:szCs w:val="28"/>
          <w:rtl/>
        </w:rPr>
        <w:t xml:space="preserve">) </w:t>
      </w:r>
      <w:r w:rsidRPr="00FD3279">
        <w:rPr>
          <w:rFonts w:ascii="Mosawi" w:hAnsi="Mosawi"/>
          <w:noProof/>
          <w:sz w:val="24"/>
          <w:szCs w:val="28"/>
          <w:rtl/>
        </w:rPr>
        <w:t>وَمَا</w:t>
      </w:r>
      <w:r w:rsidRPr="00FD3279">
        <w:rPr>
          <w:noProof/>
          <w:sz w:val="26"/>
          <w:szCs w:val="28"/>
          <w:rtl/>
        </w:rPr>
        <w:t xml:space="preserve"> </w:t>
      </w:r>
      <w:r w:rsidRPr="00FD3279">
        <w:rPr>
          <w:rFonts w:ascii="Mosawi" w:hAnsi="Mosawi"/>
          <w:noProof/>
          <w:sz w:val="24"/>
          <w:szCs w:val="28"/>
          <w:rtl/>
        </w:rPr>
        <w:t>آتَاكُمْ</w:t>
      </w:r>
      <w:r w:rsidRPr="00FD3279">
        <w:rPr>
          <w:noProof/>
          <w:sz w:val="26"/>
          <w:szCs w:val="28"/>
          <w:rtl/>
        </w:rPr>
        <w:t xml:space="preserve"> </w:t>
      </w:r>
      <w:r w:rsidRPr="00FD3279">
        <w:rPr>
          <w:rFonts w:ascii="Mosawi" w:hAnsi="Mosawi"/>
          <w:noProof/>
          <w:sz w:val="24"/>
          <w:szCs w:val="28"/>
          <w:rtl/>
        </w:rPr>
        <w:t>الرَّسُولُ</w:t>
      </w:r>
      <w:r w:rsidRPr="00FD3279">
        <w:rPr>
          <w:noProof/>
          <w:sz w:val="26"/>
          <w:szCs w:val="28"/>
          <w:rtl/>
        </w:rPr>
        <w:t xml:space="preserve"> </w:t>
      </w:r>
      <w:r w:rsidRPr="00FD3279">
        <w:rPr>
          <w:rFonts w:ascii="Mosawi" w:hAnsi="Mosawi"/>
          <w:noProof/>
          <w:sz w:val="24"/>
          <w:szCs w:val="28"/>
          <w:rtl/>
        </w:rPr>
        <w:t>فَخُذُوهُ</w:t>
      </w:r>
      <w:r w:rsidRPr="00FD3279">
        <w:rPr>
          <w:noProof/>
          <w:sz w:val="26"/>
          <w:szCs w:val="28"/>
          <w:rtl/>
        </w:rPr>
        <w:t xml:space="preserve"> </w:t>
      </w:r>
      <w:r w:rsidRPr="00FD3279">
        <w:rPr>
          <w:rFonts w:ascii="Mosawi" w:hAnsi="Mosawi"/>
          <w:noProof/>
          <w:sz w:val="24"/>
          <w:szCs w:val="28"/>
          <w:rtl/>
        </w:rPr>
        <w:t>وَمَا</w:t>
      </w:r>
      <w:r w:rsidRPr="00FD3279">
        <w:rPr>
          <w:noProof/>
          <w:sz w:val="26"/>
          <w:szCs w:val="28"/>
          <w:rtl/>
        </w:rPr>
        <w:t xml:space="preserve"> </w:t>
      </w:r>
      <w:r w:rsidRPr="00FD3279">
        <w:rPr>
          <w:rFonts w:ascii="Mosawi" w:hAnsi="Mosawi"/>
          <w:noProof/>
          <w:sz w:val="24"/>
          <w:szCs w:val="28"/>
          <w:rtl/>
        </w:rPr>
        <w:t>نَهَاكُمْ</w:t>
      </w:r>
      <w:r w:rsidRPr="00FD3279">
        <w:rPr>
          <w:noProof/>
          <w:sz w:val="26"/>
          <w:szCs w:val="28"/>
          <w:rtl/>
        </w:rPr>
        <w:t xml:space="preserve"> </w:t>
      </w:r>
      <w:r w:rsidRPr="00FD3279">
        <w:rPr>
          <w:rFonts w:ascii="Mosawi" w:hAnsi="Mosawi"/>
          <w:noProof/>
          <w:sz w:val="24"/>
          <w:szCs w:val="28"/>
          <w:rtl/>
        </w:rPr>
        <w:t>عَنْهُ</w:t>
      </w:r>
      <w:r w:rsidRPr="00FD3279">
        <w:rPr>
          <w:noProof/>
          <w:sz w:val="26"/>
          <w:szCs w:val="28"/>
          <w:rtl/>
        </w:rPr>
        <w:t xml:space="preserve"> </w:t>
      </w:r>
      <w:r w:rsidRPr="00FD3279">
        <w:rPr>
          <w:rFonts w:ascii="Mosawi" w:hAnsi="Mosawi"/>
          <w:noProof/>
          <w:sz w:val="24"/>
          <w:szCs w:val="28"/>
          <w:rtl/>
        </w:rPr>
        <w:t>فَانْتَهُوا</w:t>
      </w:r>
      <w:r>
        <w:rPr>
          <w:rFonts w:ascii="Mosawi" w:hAnsi="Mosawi"/>
          <w:noProof/>
          <w:sz w:val="24"/>
          <w:szCs w:val="28"/>
          <w:rtl/>
        </w:rPr>
        <w:tab/>
      </w:r>
      <w:r w:rsidRPr="00FD3279">
        <w:rPr>
          <w:noProof/>
          <w:sz w:val="26"/>
          <w:szCs w:val="28"/>
          <w:rtl/>
        </w:rPr>
        <w:t xml:space="preserve"> </w:t>
      </w:r>
      <w:r w:rsidRPr="00FD3279">
        <w:rPr>
          <w:noProof/>
          <w:sz w:val="26"/>
          <w:szCs w:val="28"/>
        </w:rPr>
        <w:t>107</w:t>
      </w:r>
    </w:p>
    <w:p w:rsidR="0064415C" w:rsidRPr="00FD3279" w:rsidRDefault="0064415C" w:rsidP="0064415C">
      <w:pPr>
        <w:tabs>
          <w:tab w:val="right" w:pos="6804"/>
        </w:tabs>
        <w:ind w:firstLine="0"/>
        <w:rPr>
          <w:noProof/>
          <w:sz w:val="26"/>
          <w:szCs w:val="28"/>
        </w:rPr>
      </w:pPr>
      <w:r w:rsidRPr="00FD3279">
        <w:rPr>
          <w:noProof/>
          <w:sz w:val="26"/>
          <w:szCs w:val="28"/>
          <w:rtl/>
        </w:rPr>
        <w:t xml:space="preserve">(الممتحنة </w:t>
      </w:r>
      <w:r w:rsidRPr="00FD3279">
        <w:rPr>
          <w:noProof/>
          <w:sz w:val="26"/>
          <w:szCs w:val="28"/>
        </w:rPr>
        <w:t>/</w:t>
      </w:r>
      <w:r>
        <w:rPr>
          <w:rFonts w:hint="cs"/>
          <w:noProof/>
          <w:sz w:val="26"/>
          <w:szCs w:val="28"/>
          <w:rtl/>
        </w:rPr>
        <w:t xml:space="preserve"> 1</w:t>
      </w:r>
      <w:r w:rsidRPr="00FD3279">
        <w:rPr>
          <w:noProof/>
          <w:sz w:val="26"/>
          <w:szCs w:val="28"/>
          <w:rtl/>
        </w:rPr>
        <w:t xml:space="preserve">) </w:t>
      </w:r>
      <w:r w:rsidRPr="00FD3279">
        <w:rPr>
          <w:rFonts w:ascii="Mosawi" w:hAnsi="Mosawi"/>
          <w:noProof/>
          <w:sz w:val="24"/>
          <w:szCs w:val="28"/>
          <w:rtl/>
        </w:rPr>
        <w:t>يَا</w:t>
      </w:r>
      <w:r w:rsidRPr="00FD3279">
        <w:rPr>
          <w:noProof/>
          <w:sz w:val="26"/>
          <w:szCs w:val="28"/>
          <w:rtl/>
        </w:rPr>
        <w:t xml:space="preserve"> </w:t>
      </w:r>
      <w:r w:rsidRPr="00FD3279">
        <w:rPr>
          <w:rFonts w:ascii="Mosawi" w:hAnsi="Mosawi"/>
          <w:noProof/>
          <w:sz w:val="24"/>
          <w:szCs w:val="28"/>
          <w:rtl/>
        </w:rPr>
        <w:t>أَيُّهَا</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آمَنُوا</w:t>
      </w:r>
      <w:r w:rsidRPr="00FD3279">
        <w:rPr>
          <w:noProof/>
          <w:sz w:val="26"/>
          <w:szCs w:val="28"/>
          <w:rtl/>
        </w:rPr>
        <w:t xml:space="preserve"> </w:t>
      </w:r>
      <w:r w:rsidRPr="00FD3279">
        <w:rPr>
          <w:rFonts w:ascii="Mosawi" w:hAnsi="Mosawi"/>
          <w:noProof/>
          <w:sz w:val="24"/>
          <w:szCs w:val="28"/>
          <w:rtl/>
        </w:rPr>
        <w:t>لاَ</w:t>
      </w:r>
      <w:r w:rsidRPr="00FD3279">
        <w:rPr>
          <w:noProof/>
          <w:sz w:val="26"/>
          <w:szCs w:val="28"/>
          <w:rtl/>
        </w:rPr>
        <w:t xml:space="preserve"> </w:t>
      </w:r>
      <w:r w:rsidRPr="00FD3279">
        <w:rPr>
          <w:rFonts w:ascii="Mosawi" w:hAnsi="Mosawi"/>
          <w:noProof/>
          <w:sz w:val="24"/>
          <w:szCs w:val="28"/>
          <w:rtl/>
        </w:rPr>
        <w:t>تَتَّخِذُوا</w:t>
      </w:r>
      <w:r w:rsidRPr="00FD3279">
        <w:rPr>
          <w:noProof/>
          <w:sz w:val="26"/>
          <w:szCs w:val="28"/>
          <w:rtl/>
        </w:rPr>
        <w:t xml:space="preserve"> </w:t>
      </w:r>
      <w:r w:rsidRPr="00FD3279">
        <w:rPr>
          <w:rFonts w:ascii="Mosawi" w:hAnsi="Mosawi"/>
          <w:noProof/>
          <w:sz w:val="24"/>
          <w:szCs w:val="28"/>
          <w:rtl/>
        </w:rPr>
        <w:t>عَدُوِّي</w:t>
      </w:r>
      <w:r w:rsidRPr="00FD3279">
        <w:rPr>
          <w:noProof/>
          <w:sz w:val="26"/>
          <w:szCs w:val="28"/>
          <w:rtl/>
        </w:rPr>
        <w:t xml:space="preserve"> </w:t>
      </w:r>
      <w:r w:rsidRPr="00FD3279">
        <w:rPr>
          <w:rFonts w:ascii="Mosawi" w:hAnsi="Mosawi"/>
          <w:noProof/>
          <w:sz w:val="24"/>
          <w:szCs w:val="28"/>
          <w:rtl/>
        </w:rPr>
        <w:t>وَعَدُوَّكُمْ</w:t>
      </w:r>
      <w:r w:rsidRPr="00FD3279">
        <w:rPr>
          <w:noProof/>
          <w:sz w:val="26"/>
          <w:szCs w:val="28"/>
          <w:rtl/>
        </w:rPr>
        <w:t xml:space="preserve"> </w:t>
      </w:r>
      <w:r w:rsidRPr="00FD3279">
        <w:rPr>
          <w:rFonts w:ascii="Mosawi" w:hAnsi="Mosawi"/>
          <w:noProof/>
          <w:sz w:val="24"/>
          <w:szCs w:val="28"/>
          <w:rtl/>
        </w:rPr>
        <w:t>أَوْلِ</w:t>
      </w:r>
      <w:r w:rsidRPr="00FD3279">
        <w:rPr>
          <w:noProof/>
          <w:sz w:val="26"/>
          <w:szCs w:val="28"/>
          <w:rtl/>
        </w:rPr>
        <w:t>يَاءَ</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103</w:t>
      </w:r>
    </w:p>
    <w:p w:rsidR="0064415C" w:rsidRPr="00FD3279" w:rsidRDefault="0064415C" w:rsidP="0064415C">
      <w:pPr>
        <w:tabs>
          <w:tab w:val="right" w:pos="6804"/>
        </w:tabs>
        <w:ind w:firstLine="0"/>
        <w:rPr>
          <w:noProof/>
          <w:sz w:val="26"/>
          <w:szCs w:val="28"/>
        </w:rPr>
      </w:pPr>
      <w:r w:rsidRPr="00FD3279">
        <w:rPr>
          <w:noProof/>
          <w:sz w:val="26"/>
          <w:szCs w:val="28"/>
          <w:rtl/>
        </w:rPr>
        <w:t>(الممتحنة /</w:t>
      </w:r>
      <w:r>
        <w:rPr>
          <w:rFonts w:hint="cs"/>
          <w:noProof/>
          <w:sz w:val="26"/>
          <w:szCs w:val="28"/>
          <w:rtl/>
        </w:rPr>
        <w:t xml:space="preserve"> 8</w:t>
      </w:r>
      <w:r w:rsidRPr="00FD3279">
        <w:rPr>
          <w:noProof/>
          <w:sz w:val="26"/>
          <w:szCs w:val="28"/>
          <w:rtl/>
        </w:rPr>
        <w:t xml:space="preserve">) </w:t>
      </w:r>
      <w:r w:rsidRPr="00FD3279">
        <w:rPr>
          <w:rFonts w:ascii="Mosawi" w:hAnsi="Mosawi"/>
          <w:noProof/>
          <w:sz w:val="24"/>
          <w:szCs w:val="28"/>
          <w:rtl/>
        </w:rPr>
        <w:t>لاَ</w:t>
      </w:r>
      <w:r w:rsidRPr="00FD3279">
        <w:rPr>
          <w:noProof/>
          <w:sz w:val="26"/>
          <w:szCs w:val="28"/>
          <w:rtl/>
        </w:rPr>
        <w:t xml:space="preserve"> </w:t>
      </w:r>
      <w:r w:rsidRPr="00FD3279">
        <w:rPr>
          <w:rFonts w:ascii="Mosawi" w:hAnsi="Mosawi"/>
          <w:noProof/>
          <w:sz w:val="24"/>
          <w:szCs w:val="28"/>
          <w:rtl/>
        </w:rPr>
        <w:t>يَنْهَاكُمْ</w:t>
      </w:r>
      <w:r w:rsidRPr="00FD3279">
        <w:rPr>
          <w:noProof/>
          <w:sz w:val="26"/>
          <w:szCs w:val="28"/>
          <w:rtl/>
        </w:rPr>
        <w:t xml:space="preserve"> </w:t>
      </w:r>
      <w:r w:rsidRPr="00FD3279">
        <w:rPr>
          <w:rFonts w:ascii="Mosawi" w:hAnsi="Mosawi"/>
          <w:noProof/>
          <w:sz w:val="24"/>
          <w:szCs w:val="28"/>
          <w:rtl/>
        </w:rPr>
        <w:t>اللهُ</w:t>
      </w:r>
      <w:r w:rsidRPr="00FD3279">
        <w:rPr>
          <w:noProof/>
          <w:sz w:val="26"/>
          <w:szCs w:val="28"/>
          <w:rtl/>
        </w:rPr>
        <w:t xml:space="preserve"> </w:t>
      </w:r>
      <w:r w:rsidRPr="00FD3279">
        <w:rPr>
          <w:rFonts w:ascii="Mosawi" w:hAnsi="Mosawi"/>
          <w:noProof/>
          <w:sz w:val="24"/>
          <w:szCs w:val="28"/>
          <w:rtl/>
        </w:rPr>
        <w:t>عَنْ</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لَمْ</w:t>
      </w:r>
      <w:r w:rsidRPr="00FD3279">
        <w:rPr>
          <w:noProof/>
          <w:sz w:val="26"/>
          <w:szCs w:val="28"/>
          <w:rtl/>
        </w:rPr>
        <w:t xml:space="preserve"> </w:t>
      </w:r>
      <w:r w:rsidRPr="00FD3279">
        <w:rPr>
          <w:rFonts w:ascii="Mosawi" w:hAnsi="Mosawi"/>
          <w:noProof/>
          <w:sz w:val="24"/>
          <w:szCs w:val="28"/>
          <w:rtl/>
        </w:rPr>
        <w:t>يُقَاتِلُوكُمْ</w:t>
      </w:r>
      <w:r w:rsidRPr="00FD3279">
        <w:rPr>
          <w:noProof/>
          <w:sz w:val="26"/>
          <w:szCs w:val="28"/>
          <w:rtl/>
        </w:rPr>
        <w:t xml:space="preserve"> </w:t>
      </w:r>
      <w:r w:rsidRPr="00FD3279">
        <w:rPr>
          <w:rFonts w:ascii="Mosawi" w:hAnsi="Mosawi"/>
          <w:noProof/>
          <w:sz w:val="24"/>
          <w:szCs w:val="28"/>
          <w:rtl/>
        </w:rPr>
        <w:t>فِي</w:t>
      </w:r>
      <w:r w:rsidRPr="00FD3279">
        <w:rPr>
          <w:noProof/>
          <w:sz w:val="26"/>
          <w:szCs w:val="28"/>
          <w:rtl/>
        </w:rPr>
        <w:t xml:space="preserve"> </w:t>
      </w:r>
      <w:r w:rsidRPr="00FD3279">
        <w:rPr>
          <w:rFonts w:ascii="Mosawi" w:hAnsi="Mosawi"/>
          <w:noProof/>
          <w:sz w:val="24"/>
          <w:szCs w:val="28"/>
          <w:rtl/>
        </w:rPr>
        <w:t>الدِّينِ</w:t>
      </w:r>
      <w:r w:rsidRPr="00FD3279">
        <w:rPr>
          <w:noProof/>
          <w:sz w:val="26"/>
          <w:szCs w:val="28"/>
          <w:rtl/>
        </w:rPr>
        <w:t xml:space="preserve"> </w:t>
      </w:r>
      <w:r w:rsidRPr="00FD3279">
        <w:rPr>
          <w:rFonts w:ascii="Mosawi" w:hAnsi="Mosawi"/>
          <w:noProof/>
          <w:sz w:val="24"/>
          <w:szCs w:val="28"/>
          <w:rtl/>
        </w:rPr>
        <w:t>وَلَمْ</w:t>
      </w:r>
      <w:r w:rsidRPr="00FD3279">
        <w:rPr>
          <w:noProof/>
          <w:sz w:val="26"/>
          <w:szCs w:val="28"/>
          <w:rtl/>
        </w:rPr>
        <w:t xml:space="preserve"> </w:t>
      </w:r>
      <w:r w:rsidRPr="00FD3279">
        <w:rPr>
          <w:rFonts w:ascii="Mosawi" w:hAnsi="Mosawi"/>
          <w:noProof/>
          <w:sz w:val="24"/>
          <w:szCs w:val="28"/>
          <w:rtl/>
        </w:rPr>
        <w:t>يُخْرِجُوكُمْ</w:t>
      </w:r>
      <w:r w:rsidRPr="00FD3279">
        <w:rPr>
          <w:noProof/>
          <w:sz w:val="26"/>
          <w:szCs w:val="28"/>
        </w:rPr>
        <w:t>...</w:t>
      </w:r>
      <w:r>
        <w:rPr>
          <w:noProof/>
          <w:sz w:val="26"/>
          <w:szCs w:val="28"/>
          <w:rtl/>
        </w:rPr>
        <w:tab/>
      </w:r>
      <w:r w:rsidRPr="00FD3279">
        <w:rPr>
          <w:noProof/>
          <w:sz w:val="26"/>
          <w:szCs w:val="28"/>
          <w:rtl/>
        </w:rPr>
        <w:t xml:space="preserve"> </w:t>
      </w:r>
      <w:r w:rsidRPr="00FD3279">
        <w:rPr>
          <w:noProof/>
          <w:sz w:val="26"/>
          <w:szCs w:val="28"/>
        </w:rPr>
        <w:t>104</w:t>
      </w:r>
    </w:p>
    <w:p w:rsidR="0064415C" w:rsidRPr="00FD3279" w:rsidRDefault="0064415C" w:rsidP="0064415C">
      <w:pPr>
        <w:tabs>
          <w:tab w:val="right" w:pos="6804"/>
        </w:tabs>
        <w:ind w:firstLine="0"/>
        <w:rPr>
          <w:noProof/>
          <w:sz w:val="26"/>
          <w:szCs w:val="28"/>
        </w:rPr>
      </w:pPr>
      <w:r w:rsidRPr="00FD3279">
        <w:rPr>
          <w:noProof/>
          <w:sz w:val="26"/>
          <w:szCs w:val="28"/>
          <w:rtl/>
        </w:rPr>
        <w:t>(الممتحنة /</w:t>
      </w:r>
      <w:r>
        <w:rPr>
          <w:noProof/>
          <w:sz w:val="26"/>
          <w:szCs w:val="28"/>
          <w:rtl/>
        </w:rPr>
        <w:t xml:space="preserve"> 9</w:t>
      </w:r>
      <w:r w:rsidRPr="00FD3279">
        <w:rPr>
          <w:noProof/>
          <w:sz w:val="26"/>
          <w:szCs w:val="28"/>
          <w:rtl/>
        </w:rPr>
        <w:t xml:space="preserve">) </w:t>
      </w:r>
      <w:r w:rsidRPr="00FD3279">
        <w:rPr>
          <w:rFonts w:ascii="Mosawi" w:hAnsi="Mosawi"/>
          <w:noProof/>
          <w:sz w:val="24"/>
          <w:szCs w:val="28"/>
          <w:rtl/>
        </w:rPr>
        <w:t>وَمَنْ</w:t>
      </w:r>
      <w:r w:rsidRPr="00FD3279">
        <w:rPr>
          <w:noProof/>
          <w:sz w:val="26"/>
          <w:szCs w:val="28"/>
          <w:rtl/>
        </w:rPr>
        <w:t xml:space="preserve"> </w:t>
      </w:r>
      <w:r w:rsidRPr="00FD3279">
        <w:rPr>
          <w:rFonts w:ascii="Mosawi" w:hAnsi="Mosawi"/>
          <w:noProof/>
          <w:sz w:val="24"/>
          <w:szCs w:val="28"/>
          <w:rtl/>
        </w:rPr>
        <w:t>يَتَوَلَّهُمْ</w:t>
      </w:r>
      <w:r w:rsidRPr="00FD3279">
        <w:rPr>
          <w:noProof/>
          <w:sz w:val="26"/>
          <w:szCs w:val="28"/>
          <w:rtl/>
        </w:rPr>
        <w:t xml:space="preserve"> </w:t>
      </w:r>
      <w:r w:rsidRPr="00FD3279">
        <w:rPr>
          <w:rFonts w:ascii="Mosawi" w:hAnsi="Mosawi"/>
          <w:noProof/>
          <w:sz w:val="24"/>
          <w:szCs w:val="28"/>
          <w:rtl/>
        </w:rPr>
        <w:t>مِنْكُمْ</w:t>
      </w:r>
      <w:r w:rsidRPr="00FD3279">
        <w:rPr>
          <w:noProof/>
          <w:sz w:val="26"/>
          <w:szCs w:val="28"/>
          <w:rtl/>
        </w:rPr>
        <w:t xml:space="preserve"> </w:t>
      </w:r>
      <w:r w:rsidRPr="00FD3279">
        <w:rPr>
          <w:rFonts w:ascii="Mosawi" w:hAnsi="Mosawi"/>
          <w:noProof/>
          <w:sz w:val="24"/>
          <w:szCs w:val="28"/>
          <w:rtl/>
        </w:rPr>
        <w:t>فَأُوْلَئِكَ</w:t>
      </w:r>
      <w:r w:rsidRPr="00FD3279">
        <w:rPr>
          <w:noProof/>
          <w:sz w:val="26"/>
          <w:szCs w:val="28"/>
          <w:rtl/>
        </w:rPr>
        <w:t xml:space="preserve"> </w:t>
      </w:r>
      <w:r w:rsidRPr="00FD3279">
        <w:rPr>
          <w:rFonts w:ascii="Mosawi" w:hAnsi="Mosawi"/>
          <w:noProof/>
          <w:sz w:val="24"/>
          <w:szCs w:val="28"/>
          <w:rtl/>
        </w:rPr>
        <w:t>هُمْ</w:t>
      </w:r>
      <w:r w:rsidRPr="00FD3279">
        <w:rPr>
          <w:noProof/>
          <w:sz w:val="26"/>
          <w:szCs w:val="28"/>
          <w:rtl/>
        </w:rPr>
        <w:t xml:space="preserve"> </w:t>
      </w:r>
      <w:r w:rsidRPr="00FD3279">
        <w:rPr>
          <w:rFonts w:ascii="Mosawi" w:hAnsi="Mosawi"/>
          <w:noProof/>
          <w:sz w:val="24"/>
          <w:szCs w:val="28"/>
          <w:rtl/>
        </w:rPr>
        <w:t>الظَّالِمُونَ</w:t>
      </w:r>
      <w:r>
        <w:rPr>
          <w:rFonts w:ascii="Mosawi" w:hAnsi="Mosawi"/>
          <w:noProof/>
          <w:sz w:val="24"/>
          <w:szCs w:val="28"/>
          <w:rtl/>
        </w:rPr>
        <w:tab/>
      </w:r>
      <w:r w:rsidRPr="00FD3279">
        <w:rPr>
          <w:noProof/>
          <w:sz w:val="26"/>
          <w:szCs w:val="28"/>
          <w:rtl/>
        </w:rPr>
        <w:t xml:space="preserve"> </w:t>
      </w:r>
      <w:r w:rsidRPr="00FD3279">
        <w:rPr>
          <w:noProof/>
          <w:sz w:val="26"/>
          <w:szCs w:val="28"/>
        </w:rPr>
        <w:t>103</w:t>
      </w:r>
    </w:p>
    <w:p w:rsidR="0064415C" w:rsidRPr="00FD3279" w:rsidRDefault="0064415C" w:rsidP="0064415C">
      <w:pPr>
        <w:tabs>
          <w:tab w:val="right" w:pos="6804"/>
        </w:tabs>
        <w:ind w:firstLine="0"/>
        <w:rPr>
          <w:noProof/>
          <w:sz w:val="26"/>
          <w:szCs w:val="28"/>
        </w:rPr>
      </w:pPr>
      <w:r w:rsidRPr="00FD3279">
        <w:rPr>
          <w:noProof/>
          <w:sz w:val="26"/>
          <w:szCs w:val="28"/>
          <w:rtl/>
        </w:rPr>
        <w:t>(الممتحنة /</w:t>
      </w:r>
      <w:r>
        <w:rPr>
          <w:noProof/>
          <w:sz w:val="26"/>
          <w:szCs w:val="28"/>
          <w:rtl/>
        </w:rPr>
        <w:t xml:space="preserve"> 13</w:t>
      </w:r>
      <w:r w:rsidRPr="00FD3279">
        <w:rPr>
          <w:noProof/>
          <w:sz w:val="26"/>
          <w:szCs w:val="28"/>
          <w:rtl/>
        </w:rPr>
        <w:t xml:space="preserve">) </w:t>
      </w:r>
      <w:r w:rsidRPr="00FD3279">
        <w:rPr>
          <w:rFonts w:ascii="Mosawi" w:hAnsi="Mosawi"/>
          <w:noProof/>
          <w:sz w:val="24"/>
          <w:szCs w:val="28"/>
          <w:rtl/>
        </w:rPr>
        <w:t>يَا</w:t>
      </w:r>
      <w:r w:rsidRPr="00FD3279">
        <w:rPr>
          <w:noProof/>
          <w:sz w:val="26"/>
          <w:szCs w:val="28"/>
          <w:rtl/>
        </w:rPr>
        <w:t xml:space="preserve"> </w:t>
      </w:r>
      <w:r w:rsidRPr="00FD3279">
        <w:rPr>
          <w:rFonts w:ascii="Mosawi" w:hAnsi="Mosawi"/>
          <w:noProof/>
          <w:sz w:val="24"/>
          <w:szCs w:val="28"/>
          <w:rtl/>
        </w:rPr>
        <w:t>أَيُّهَا</w:t>
      </w:r>
      <w:r w:rsidRPr="00FD3279">
        <w:rPr>
          <w:noProof/>
          <w:sz w:val="26"/>
          <w:szCs w:val="28"/>
          <w:rtl/>
        </w:rPr>
        <w:t xml:space="preserve"> </w:t>
      </w:r>
      <w:r w:rsidRPr="00FD3279">
        <w:rPr>
          <w:rFonts w:ascii="Mosawi" w:hAnsi="Mosawi"/>
          <w:noProof/>
          <w:sz w:val="24"/>
          <w:szCs w:val="28"/>
          <w:rtl/>
        </w:rPr>
        <w:t>الَّذِينَ</w:t>
      </w:r>
      <w:r w:rsidRPr="00FD3279">
        <w:rPr>
          <w:noProof/>
          <w:sz w:val="26"/>
          <w:szCs w:val="28"/>
          <w:rtl/>
        </w:rPr>
        <w:t xml:space="preserve"> </w:t>
      </w:r>
      <w:r w:rsidRPr="00FD3279">
        <w:rPr>
          <w:rFonts w:ascii="Mosawi" w:hAnsi="Mosawi"/>
          <w:noProof/>
          <w:sz w:val="24"/>
          <w:szCs w:val="28"/>
          <w:rtl/>
        </w:rPr>
        <w:t>آمَنُوا</w:t>
      </w:r>
      <w:r w:rsidRPr="00FD3279">
        <w:rPr>
          <w:noProof/>
          <w:sz w:val="26"/>
          <w:szCs w:val="28"/>
          <w:rtl/>
        </w:rPr>
        <w:t xml:space="preserve"> لاَ تَتَوَلَّوْا قَوْماً غَضِبَ اللهُ عَلَيْهِمْ</w:t>
      </w:r>
      <w:r>
        <w:rPr>
          <w:noProof/>
          <w:sz w:val="26"/>
          <w:szCs w:val="28"/>
          <w:rtl/>
        </w:rPr>
        <w:tab/>
      </w:r>
      <w:r w:rsidRPr="00FD3279">
        <w:rPr>
          <w:noProof/>
          <w:sz w:val="26"/>
          <w:szCs w:val="28"/>
          <w:rtl/>
        </w:rPr>
        <w:t xml:space="preserve"> </w:t>
      </w:r>
      <w:r w:rsidRPr="00FD3279">
        <w:rPr>
          <w:noProof/>
          <w:sz w:val="26"/>
          <w:szCs w:val="28"/>
        </w:rPr>
        <w:t>103</w:t>
      </w:r>
    </w:p>
    <w:p w:rsidR="0064415C" w:rsidRPr="00FD3279" w:rsidRDefault="0064415C" w:rsidP="0064415C">
      <w:pPr>
        <w:tabs>
          <w:tab w:val="right" w:pos="6804"/>
        </w:tabs>
        <w:ind w:firstLine="0"/>
        <w:rPr>
          <w:noProof/>
          <w:sz w:val="26"/>
          <w:szCs w:val="28"/>
        </w:rPr>
      </w:pPr>
      <w:r w:rsidRPr="00FD3279">
        <w:rPr>
          <w:noProof/>
          <w:sz w:val="26"/>
          <w:szCs w:val="28"/>
          <w:rtl/>
        </w:rPr>
        <w:t>(التحريم /</w:t>
      </w:r>
      <w:r>
        <w:rPr>
          <w:noProof/>
          <w:sz w:val="26"/>
          <w:szCs w:val="28"/>
          <w:rtl/>
        </w:rPr>
        <w:t xml:space="preserve"> 4</w:t>
      </w:r>
      <w:r w:rsidRPr="00FD3279">
        <w:rPr>
          <w:noProof/>
          <w:sz w:val="26"/>
          <w:szCs w:val="28"/>
          <w:rtl/>
        </w:rPr>
        <w:t>) فَإِنَّ اللهَ هُوَ مَوْلاَهُ وَجِبْرِيلُ وَصَالِحُ الْمُؤْمِنِينَ</w:t>
      </w:r>
      <w:r>
        <w:rPr>
          <w:noProof/>
          <w:sz w:val="26"/>
          <w:szCs w:val="28"/>
          <w:rtl/>
        </w:rPr>
        <w:tab/>
      </w:r>
      <w:r w:rsidRPr="00FD3279">
        <w:rPr>
          <w:noProof/>
          <w:sz w:val="26"/>
          <w:szCs w:val="28"/>
          <w:rtl/>
        </w:rPr>
        <w:t xml:space="preserve"> </w:t>
      </w:r>
      <w:r w:rsidRPr="00FD3279">
        <w:rPr>
          <w:noProof/>
          <w:sz w:val="26"/>
          <w:szCs w:val="28"/>
        </w:rPr>
        <w:t>95</w:t>
      </w:r>
    </w:p>
    <w:p w:rsidR="0064415C" w:rsidRPr="00FD3279" w:rsidRDefault="0064415C" w:rsidP="0064415C">
      <w:pPr>
        <w:tabs>
          <w:tab w:val="right" w:pos="6804"/>
        </w:tabs>
        <w:ind w:firstLine="0"/>
        <w:rPr>
          <w:noProof/>
          <w:sz w:val="26"/>
          <w:szCs w:val="28"/>
          <w:rtl/>
        </w:rPr>
      </w:pPr>
      <w:r w:rsidRPr="00FD3279">
        <w:rPr>
          <w:noProof/>
          <w:sz w:val="26"/>
          <w:szCs w:val="28"/>
          <w:rtl/>
        </w:rPr>
        <w:t>(عبس /</w:t>
      </w:r>
      <w:r>
        <w:rPr>
          <w:noProof/>
          <w:sz w:val="26"/>
          <w:szCs w:val="28"/>
          <w:rtl/>
        </w:rPr>
        <w:t xml:space="preserve"> 1 </w:t>
      </w:r>
      <w:r>
        <w:rPr>
          <w:rFonts w:ascii="Times New Roman" w:hAnsi="Times New Roman" w:cs="Times New Roman"/>
          <w:noProof/>
          <w:sz w:val="26"/>
          <w:szCs w:val="28"/>
          <w:rtl/>
        </w:rPr>
        <w:t>–</w:t>
      </w:r>
      <w:r>
        <w:rPr>
          <w:noProof/>
          <w:sz w:val="26"/>
          <w:szCs w:val="28"/>
          <w:rtl/>
        </w:rPr>
        <w:t xml:space="preserve"> 2</w:t>
      </w:r>
      <w:r w:rsidRPr="00FD3279">
        <w:rPr>
          <w:noProof/>
          <w:sz w:val="26"/>
          <w:szCs w:val="28"/>
          <w:rtl/>
        </w:rPr>
        <w:t xml:space="preserve">) </w:t>
      </w:r>
      <w:r w:rsidRPr="00FD3279">
        <w:rPr>
          <w:rFonts w:ascii="Mosawi" w:hAnsi="Mosawi"/>
          <w:noProof/>
          <w:sz w:val="24"/>
          <w:szCs w:val="28"/>
          <w:rtl/>
        </w:rPr>
        <w:t>عَبَسَ</w:t>
      </w:r>
      <w:r w:rsidRPr="00FD3279">
        <w:rPr>
          <w:noProof/>
          <w:sz w:val="26"/>
          <w:szCs w:val="28"/>
          <w:rtl/>
        </w:rPr>
        <w:t xml:space="preserve"> </w:t>
      </w:r>
      <w:r w:rsidRPr="00FD3279">
        <w:rPr>
          <w:rFonts w:ascii="Mosawi" w:hAnsi="Mosawi"/>
          <w:noProof/>
          <w:sz w:val="24"/>
          <w:szCs w:val="28"/>
          <w:rtl/>
        </w:rPr>
        <w:t>وَتَوَلَّى</w:t>
      </w:r>
      <w:r w:rsidRPr="00FD3279">
        <w:rPr>
          <w:noProof/>
          <w:sz w:val="26"/>
          <w:szCs w:val="28"/>
          <w:rtl/>
        </w:rPr>
        <w:t xml:space="preserve"> </w:t>
      </w:r>
      <w:r w:rsidRPr="00FD3279">
        <w:rPr>
          <w:noProof/>
          <w:sz w:val="26"/>
          <w:szCs w:val="28"/>
        </w:rPr>
        <w:t>*</w:t>
      </w:r>
      <w:r w:rsidRPr="00FD3279">
        <w:rPr>
          <w:noProof/>
          <w:sz w:val="26"/>
          <w:szCs w:val="28"/>
          <w:rtl/>
        </w:rPr>
        <w:t xml:space="preserve"> أَنْ جَاءَهُ الأَعْمَى</w:t>
      </w:r>
      <w:r>
        <w:rPr>
          <w:noProof/>
          <w:sz w:val="26"/>
          <w:szCs w:val="28"/>
          <w:rtl/>
        </w:rPr>
        <w:tab/>
      </w:r>
      <w:r w:rsidRPr="00FD3279">
        <w:rPr>
          <w:noProof/>
          <w:sz w:val="26"/>
          <w:szCs w:val="28"/>
          <w:rtl/>
        </w:rPr>
        <w:t xml:space="preserve"> </w:t>
      </w:r>
      <w:r w:rsidRPr="00FD3279">
        <w:rPr>
          <w:noProof/>
          <w:sz w:val="26"/>
          <w:szCs w:val="28"/>
        </w:rPr>
        <w:t>87</w:t>
      </w:r>
    </w:p>
    <w:p w:rsidR="0064415C" w:rsidRPr="00FD3279" w:rsidRDefault="0064415C" w:rsidP="0058188A">
      <w:pPr>
        <w:tabs>
          <w:tab w:val="right" w:pos="6804"/>
        </w:tabs>
        <w:ind w:firstLine="0"/>
        <w:rPr>
          <w:noProof/>
          <w:sz w:val="26"/>
          <w:szCs w:val="28"/>
        </w:rPr>
      </w:pPr>
      <w:r w:rsidRPr="00FD3279">
        <w:rPr>
          <w:noProof/>
          <w:sz w:val="26"/>
          <w:szCs w:val="28"/>
          <w:rtl/>
        </w:rPr>
        <w:t>(الشوریٰ</w:t>
      </w:r>
      <w:r w:rsidRPr="00FD3279">
        <w:rPr>
          <w:noProof/>
          <w:sz w:val="26"/>
          <w:szCs w:val="28"/>
        </w:rPr>
        <w:t>/</w:t>
      </w:r>
      <w:r w:rsidRPr="00FD3279">
        <w:rPr>
          <w:noProof/>
          <w:sz w:val="26"/>
          <w:szCs w:val="28"/>
          <w:rtl/>
        </w:rPr>
        <w:t xml:space="preserve"> </w:t>
      </w:r>
      <w:r>
        <w:rPr>
          <w:noProof/>
          <w:sz w:val="26"/>
          <w:szCs w:val="28"/>
          <w:rtl/>
        </w:rPr>
        <w:t xml:space="preserve"> </w:t>
      </w:r>
      <w:r w:rsidR="0058188A">
        <w:rPr>
          <w:noProof/>
          <w:sz w:val="26"/>
          <w:szCs w:val="28"/>
          <w:rtl/>
        </w:rPr>
        <w:t>8</w:t>
      </w:r>
      <w:r w:rsidRPr="00FD3279">
        <w:rPr>
          <w:noProof/>
          <w:sz w:val="26"/>
          <w:szCs w:val="28"/>
          <w:rtl/>
        </w:rPr>
        <w:t xml:space="preserve">) </w:t>
      </w:r>
      <w:r w:rsidRPr="00FD3279">
        <w:rPr>
          <w:rFonts w:ascii="Mosawi" w:hAnsi="Mosawi"/>
          <w:noProof/>
          <w:sz w:val="24"/>
          <w:szCs w:val="28"/>
          <w:rtl/>
        </w:rPr>
        <w:t>وَالظَّالِمُونَ</w:t>
      </w:r>
      <w:r w:rsidRPr="00FD3279">
        <w:rPr>
          <w:noProof/>
          <w:sz w:val="26"/>
          <w:szCs w:val="28"/>
          <w:rtl/>
        </w:rPr>
        <w:t xml:space="preserve"> </w:t>
      </w:r>
      <w:r w:rsidRPr="00FD3279">
        <w:rPr>
          <w:rFonts w:ascii="Mosawi" w:hAnsi="Mosawi"/>
          <w:noProof/>
          <w:sz w:val="24"/>
          <w:szCs w:val="28"/>
          <w:rtl/>
        </w:rPr>
        <w:t>مَا</w:t>
      </w:r>
      <w:r w:rsidRPr="00FD3279">
        <w:rPr>
          <w:noProof/>
          <w:sz w:val="26"/>
          <w:szCs w:val="28"/>
          <w:rtl/>
        </w:rPr>
        <w:t xml:space="preserve"> </w:t>
      </w:r>
      <w:r w:rsidRPr="00FD3279">
        <w:rPr>
          <w:rFonts w:ascii="Mosawi" w:hAnsi="Mosawi"/>
          <w:noProof/>
          <w:sz w:val="24"/>
          <w:szCs w:val="28"/>
          <w:rtl/>
        </w:rPr>
        <w:t>لَهُمْ</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وَلِيٍّ</w:t>
      </w:r>
      <w:r w:rsidRPr="00FD3279">
        <w:rPr>
          <w:noProof/>
          <w:sz w:val="26"/>
          <w:szCs w:val="28"/>
          <w:rtl/>
        </w:rPr>
        <w:t xml:space="preserve"> </w:t>
      </w:r>
      <w:r w:rsidRPr="00FD3279">
        <w:rPr>
          <w:rFonts w:ascii="Mosawi" w:hAnsi="Mosawi"/>
          <w:noProof/>
          <w:sz w:val="24"/>
          <w:szCs w:val="28"/>
          <w:rtl/>
        </w:rPr>
        <w:t>وَل</w:t>
      </w:r>
      <w:r w:rsidRPr="00FD3279">
        <w:rPr>
          <w:noProof/>
          <w:sz w:val="26"/>
          <w:szCs w:val="28"/>
          <w:rtl/>
        </w:rPr>
        <w:t>اَ نَصِيرٍ</w:t>
      </w:r>
      <w:r>
        <w:rPr>
          <w:noProof/>
          <w:sz w:val="26"/>
          <w:szCs w:val="28"/>
          <w:rtl/>
        </w:rPr>
        <w:tab/>
      </w:r>
      <w:r w:rsidRPr="00FD3279">
        <w:rPr>
          <w:noProof/>
          <w:sz w:val="26"/>
          <w:szCs w:val="28"/>
          <w:rtl/>
        </w:rPr>
        <w:t xml:space="preserve"> </w:t>
      </w:r>
      <w:r w:rsidRPr="00FD3279">
        <w:rPr>
          <w:noProof/>
          <w:sz w:val="26"/>
          <w:szCs w:val="28"/>
        </w:rPr>
        <w:t>90</w:t>
      </w:r>
      <w:r w:rsidRPr="00FD3279">
        <w:rPr>
          <w:noProof/>
          <w:sz w:val="26"/>
          <w:szCs w:val="28"/>
          <w:rtl/>
        </w:rPr>
        <w:t xml:space="preserve">، </w:t>
      </w:r>
      <w:r w:rsidRPr="00FD3279">
        <w:rPr>
          <w:noProof/>
          <w:sz w:val="26"/>
          <w:szCs w:val="28"/>
        </w:rPr>
        <w:t>101</w:t>
      </w:r>
      <w:r w:rsidRPr="00FD3279">
        <w:rPr>
          <w:noProof/>
          <w:sz w:val="26"/>
          <w:szCs w:val="28"/>
          <w:rtl/>
        </w:rPr>
        <w:t xml:space="preserve">، </w:t>
      </w:r>
      <w:r w:rsidRPr="00FD3279">
        <w:rPr>
          <w:noProof/>
          <w:sz w:val="26"/>
          <w:szCs w:val="28"/>
        </w:rPr>
        <w:t>102</w:t>
      </w:r>
    </w:p>
    <w:p w:rsidR="0064415C" w:rsidRPr="00FD3279" w:rsidRDefault="0064415C" w:rsidP="0064415C">
      <w:pPr>
        <w:tabs>
          <w:tab w:val="right" w:pos="6804"/>
        </w:tabs>
        <w:ind w:firstLine="0"/>
        <w:rPr>
          <w:noProof/>
          <w:sz w:val="26"/>
          <w:szCs w:val="28"/>
        </w:rPr>
      </w:pPr>
      <w:r w:rsidRPr="00FD3279">
        <w:rPr>
          <w:noProof/>
          <w:sz w:val="26"/>
          <w:szCs w:val="28"/>
          <w:rtl/>
        </w:rPr>
        <w:t>(الشوریٰ</w:t>
      </w:r>
      <w:r w:rsidRPr="00FD3279">
        <w:rPr>
          <w:noProof/>
          <w:sz w:val="26"/>
          <w:szCs w:val="28"/>
        </w:rPr>
        <w:t>/</w:t>
      </w:r>
      <w:r w:rsidRPr="00FD3279">
        <w:rPr>
          <w:noProof/>
          <w:sz w:val="26"/>
          <w:szCs w:val="28"/>
          <w:rtl/>
        </w:rPr>
        <w:t xml:space="preserve"> </w:t>
      </w:r>
      <w:r>
        <w:rPr>
          <w:noProof/>
          <w:sz w:val="26"/>
          <w:szCs w:val="28"/>
          <w:rtl/>
        </w:rPr>
        <w:t xml:space="preserve"> ۹</w:t>
      </w:r>
      <w:r w:rsidRPr="00FD3279">
        <w:rPr>
          <w:noProof/>
          <w:sz w:val="26"/>
          <w:szCs w:val="28"/>
          <w:rtl/>
        </w:rPr>
        <w:t xml:space="preserve">) </w:t>
      </w:r>
      <w:r w:rsidRPr="00FD3279">
        <w:rPr>
          <w:rFonts w:ascii="Mosawi" w:hAnsi="Mosawi"/>
          <w:noProof/>
          <w:sz w:val="24"/>
          <w:szCs w:val="28"/>
          <w:rtl/>
        </w:rPr>
        <w:t>أَمْ</w:t>
      </w:r>
      <w:r w:rsidRPr="00FD3279">
        <w:rPr>
          <w:noProof/>
          <w:sz w:val="26"/>
          <w:szCs w:val="28"/>
          <w:rtl/>
        </w:rPr>
        <w:t xml:space="preserve"> </w:t>
      </w:r>
      <w:r w:rsidRPr="00FD3279">
        <w:rPr>
          <w:rFonts w:ascii="Mosawi" w:hAnsi="Mosawi"/>
          <w:noProof/>
          <w:sz w:val="24"/>
          <w:szCs w:val="28"/>
          <w:rtl/>
        </w:rPr>
        <w:t>اتَّخَذُوا</w:t>
      </w:r>
      <w:r w:rsidRPr="00FD3279">
        <w:rPr>
          <w:noProof/>
          <w:sz w:val="26"/>
          <w:szCs w:val="28"/>
          <w:rtl/>
        </w:rPr>
        <w:t xml:space="preserve"> </w:t>
      </w:r>
      <w:r w:rsidRPr="00FD3279">
        <w:rPr>
          <w:rFonts w:ascii="Mosawi" w:hAnsi="Mosawi"/>
          <w:noProof/>
          <w:sz w:val="24"/>
          <w:szCs w:val="28"/>
          <w:rtl/>
        </w:rPr>
        <w:t>مِنْ</w:t>
      </w:r>
      <w:r w:rsidRPr="00FD3279">
        <w:rPr>
          <w:noProof/>
          <w:sz w:val="26"/>
          <w:szCs w:val="28"/>
          <w:rtl/>
        </w:rPr>
        <w:t xml:space="preserve"> </w:t>
      </w:r>
      <w:r w:rsidRPr="00FD3279">
        <w:rPr>
          <w:rFonts w:ascii="Mosawi" w:hAnsi="Mosawi"/>
          <w:noProof/>
          <w:sz w:val="24"/>
          <w:szCs w:val="28"/>
          <w:rtl/>
        </w:rPr>
        <w:t>دُونِهِ</w:t>
      </w:r>
      <w:r w:rsidRPr="00FD3279">
        <w:rPr>
          <w:noProof/>
          <w:sz w:val="26"/>
          <w:szCs w:val="28"/>
          <w:rtl/>
        </w:rPr>
        <w:t xml:space="preserve"> </w:t>
      </w:r>
      <w:r w:rsidRPr="00FD3279">
        <w:rPr>
          <w:rFonts w:ascii="Mosawi" w:hAnsi="Mosawi"/>
          <w:noProof/>
          <w:sz w:val="24"/>
          <w:szCs w:val="28"/>
          <w:rtl/>
        </w:rPr>
        <w:t>أَوْلِيَاءَ</w:t>
      </w:r>
      <w:r w:rsidRPr="00FD3279">
        <w:rPr>
          <w:noProof/>
          <w:sz w:val="26"/>
          <w:szCs w:val="28"/>
          <w:rtl/>
        </w:rPr>
        <w:t xml:space="preserve"> </w:t>
      </w:r>
      <w:r w:rsidRPr="00FD3279">
        <w:rPr>
          <w:rFonts w:ascii="Mosawi" w:hAnsi="Mosawi"/>
          <w:noProof/>
          <w:sz w:val="24"/>
          <w:szCs w:val="28"/>
          <w:rtl/>
        </w:rPr>
        <w:t>فَاللهُ</w:t>
      </w:r>
      <w:r w:rsidRPr="00FD3279">
        <w:rPr>
          <w:noProof/>
          <w:sz w:val="26"/>
          <w:szCs w:val="28"/>
          <w:rtl/>
        </w:rPr>
        <w:t xml:space="preserve"> </w:t>
      </w:r>
      <w:r w:rsidRPr="00FD3279">
        <w:rPr>
          <w:rFonts w:ascii="Mosawi" w:hAnsi="Mosawi"/>
          <w:noProof/>
          <w:sz w:val="24"/>
          <w:szCs w:val="28"/>
          <w:rtl/>
        </w:rPr>
        <w:t>هُوَ</w:t>
      </w:r>
      <w:r w:rsidRPr="00FD3279">
        <w:rPr>
          <w:noProof/>
          <w:sz w:val="26"/>
          <w:szCs w:val="28"/>
          <w:rtl/>
        </w:rPr>
        <w:t xml:space="preserve"> </w:t>
      </w:r>
      <w:r w:rsidRPr="00FD3279">
        <w:rPr>
          <w:rFonts w:ascii="Mosawi" w:hAnsi="Mosawi"/>
          <w:noProof/>
          <w:sz w:val="24"/>
          <w:szCs w:val="28"/>
          <w:rtl/>
        </w:rPr>
        <w:t>الْوَلِيُّ</w:t>
      </w:r>
      <w:r>
        <w:rPr>
          <w:rFonts w:ascii="Mosawi" w:hAnsi="Mosawi"/>
          <w:noProof/>
          <w:sz w:val="24"/>
          <w:szCs w:val="28"/>
          <w:rtl/>
        </w:rPr>
        <w:tab/>
      </w:r>
      <w:r w:rsidRPr="00FD3279">
        <w:rPr>
          <w:noProof/>
          <w:sz w:val="26"/>
          <w:szCs w:val="28"/>
          <w:rtl/>
        </w:rPr>
        <w:t xml:space="preserve"> </w:t>
      </w:r>
      <w:r w:rsidRPr="00FD3279">
        <w:rPr>
          <w:noProof/>
          <w:sz w:val="26"/>
          <w:szCs w:val="28"/>
        </w:rPr>
        <w:t>89</w:t>
      </w:r>
      <w:r w:rsidRPr="00FD3279">
        <w:rPr>
          <w:noProof/>
          <w:sz w:val="26"/>
          <w:szCs w:val="28"/>
          <w:rtl/>
        </w:rPr>
        <w:t xml:space="preserve">، </w:t>
      </w:r>
      <w:r w:rsidRPr="00FD3279">
        <w:rPr>
          <w:noProof/>
          <w:sz w:val="26"/>
          <w:szCs w:val="28"/>
        </w:rPr>
        <w:t>90</w:t>
      </w:r>
    </w:p>
    <w:p w:rsidR="0064415C" w:rsidRPr="00FD3279" w:rsidRDefault="0064415C" w:rsidP="0064415C">
      <w:pPr>
        <w:tabs>
          <w:tab w:val="right" w:pos="6804"/>
        </w:tabs>
        <w:ind w:firstLine="0"/>
        <w:rPr>
          <w:noProof/>
          <w:sz w:val="26"/>
          <w:szCs w:val="28"/>
        </w:rPr>
      </w:pPr>
      <w:r w:rsidRPr="00FD3279">
        <w:rPr>
          <w:noProof/>
          <w:sz w:val="26"/>
          <w:szCs w:val="28"/>
          <w:rtl/>
        </w:rPr>
        <w:t>(الشوریٰ/</w:t>
      </w:r>
      <w:r>
        <w:rPr>
          <w:noProof/>
          <w:sz w:val="26"/>
          <w:szCs w:val="28"/>
          <w:rtl/>
        </w:rPr>
        <w:t xml:space="preserve"> 23</w:t>
      </w:r>
      <w:r w:rsidRPr="00FD3279">
        <w:rPr>
          <w:noProof/>
          <w:sz w:val="26"/>
          <w:szCs w:val="28"/>
          <w:rtl/>
        </w:rPr>
        <w:t xml:space="preserve">) </w:t>
      </w:r>
      <w:r w:rsidRPr="00FD3279">
        <w:rPr>
          <w:rFonts w:ascii="Mosawi" w:hAnsi="Mosawi"/>
          <w:noProof/>
          <w:sz w:val="24"/>
          <w:szCs w:val="28"/>
          <w:rtl/>
        </w:rPr>
        <w:t>قُلْ</w:t>
      </w:r>
      <w:r w:rsidRPr="00FD3279">
        <w:rPr>
          <w:noProof/>
          <w:sz w:val="26"/>
          <w:szCs w:val="28"/>
          <w:rtl/>
        </w:rPr>
        <w:t xml:space="preserve"> </w:t>
      </w:r>
      <w:r w:rsidRPr="00FD3279">
        <w:rPr>
          <w:rFonts w:ascii="Mosawi" w:hAnsi="Mosawi"/>
          <w:noProof/>
          <w:sz w:val="24"/>
          <w:szCs w:val="28"/>
          <w:rtl/>
        </w:rPr>
        <w:t>لاَ</w:t>
      </w:r>
      <w:r w:rsidRPr="00FD3279">
        <w:rPr>
          <w:noProof/>
          <w:sz w:val="26"/>
          <w:szCs w:val="28"/>
          <w:rtl/>
        </w:rPr>
        <w:t xml:space="preserve"> </w:t>
      </w:r>
      <w:r w:rsidRPr="00FD3279">
        <w:rPr>
          <w:rFonts w:ascii="Mosawi" w:hAnsi="Mosawi"/>
          <w:noProof/>
          <w:sz w:val="24"/>
          <w:szCs w:val="28"/>
          <w:rtl/>
        </w:rPr>
        <w:t>أَسْأَلُكُمْ</w:t>
      </w:r>
      <w:r w:rsidRPr="00FD3279">
        <w:rPr>
          <w:noProof/>
          <w:sz w:val="26"/>
          <w:szCs w:val="28"/>
          <w:rtl/>
        </w:rPr>
        <w:t xml:space="preserve"> </w:t>
      </w:r>
      <w:r w:rsidRPr="00FD3279">
        <w:rPr>
          <w:rFonts w:ascii="Mosawi" w:hAnsi="Mosawi"/>
          <w:noProof/>
          <w:sz w:val="24"/>
          <w:szCs w:val="28"/>
          <w:rtl/>
        </w:rPr>
        <w:t>عَلَيْهِ</w:t>
      </w:r>
      <w:r w:rsidRPr="00FD3279">
        <w:rPr>
          <w:noProof/>
          <w:sz w:val="26"/>
          <w:szCs w:val="28"/>
          <w:rtl/>
        </w:rPr>
        <w:t xml:space="preserve"> </w:t>
      </w:r>
      <w:r w:rsidRPr="00FD3279">
        <w:rPr>
          <w:rFonts w:ascii="Mosawi" w:hAnsi="Mosawi"/>
          <w:noProof/>
          <w:sz w:val="24"/>
          <w:szCs w:val="28"/>
          <w:rtl/>
        </w:rPr>
        <w:t>أَجْراً</w:t>
      </w:r>
      <w:r w:rsidRPr="00FD3279">
        <w:rPr>
          <w:noProof/>
          <w:sz w:val="26"/>
          <w:szCs w:val="28"/>
          <w:rtl/>
        </w:rPr>
        <w:t xml:space="preserve"> </w:t>
      </w:r>
      <w:r w:rsidRPr="00FD3279">
        <w:rPr>
          <w:rFonts w:ascii="Mosawi" w:hAnsi="Mosawi"/>
          <w:noProof/>
          <w:sz w:val="24"/>
          <w:szCs w:val="28"/>
          <w:rtl/>
        </w:rPr>
        <w:t>إِلاَّ</w:t>
      </w:r>
      <w:r w:rsidRPr="00FD3279">
        <w:rPr>
          <w:noProof/>
          <w:sz w:val="26"/>
          <w:szCs w:val="28"/>
          <w:rtl/>
        </w:rPr>
        <w:t xml:space="preserve"> </w:t>
      </w:r>
      <w:r w:rsidRPr="00FD3279">
        <w:rPr>
          <w:rFonts w:ascii="Mosawi" w:hAnsi="Mosawi"/>
          <w:noProof/>
          <w:sz w:val="24"/>
          <w:szCs w:val="28"/>
          <w:rtl/>
        </w:rPr>
        <w:t>الْمَوَدَّةَ</w:t>
      </w:r>
      <w:r w:rsidRPr="00FD3279">
        <w:rPr>
          <w:noProof/>
          <w:sz w:val="26"/>
          <w:szCs w:val="28"/>
          <w:rtl/>
        </w:rPr>
        <w:t xml:space="preserve"> </w:t>
      </w:r>
      <w:r w:rsidRPr="00FD3279">
        <w:rPr>
          <w:rFonts w:ascii="Mosawi" w:hAnsi="Mosawi"/>
          <w:noProof/>
          <w:sz w:val="24"/>
          <w:szCs w:val="28"/>
          <w:rtl/>
        </w:rPr>
        <w:t>فِي</w:t>
      </w:r>
      <w:r w:rsidRPr="00FD3279">
        <w:rPr>
          <w:noProof/>
          <w:sz w:val="26"/>
          <w:szCs w:val="28"/>
          <w:rtl/>
        </w:rPr>
        <w:t xml:space="preserve"> </w:t>
      </w:r>
      <w:r w:rsidRPr="00FD3279">
        <w:rPr>
          <w:rFonts w:ascii="Mosawi" w:hAnsi="Mosawi"/>
          <w:noProof/>
          <w:sz w:val="24"/>
          <w:szCs w:val="28"/>
          <w:rtl/>
        </w:rPr>
        <w:t>الْقُرْبَى</w:t>
      </w:r>
      <w:r>
        <w:rPr>
          <w:noProof/>
          <w:sz w:val="26"/>
          <w:szCs w:val="28"/>
          <w:rtl/>
        </w:rPr>
        <w:tab/>
      </w:r>
      <w:r w:rsidRPr="00FD3279">
        <w:rPr>
          <w:noProof/>
          <w:sz w:val="26"/>
          <w:szCs w:val="28"/>
          <w:rtl/>
        </w:rPr>
        <w:t xml:space="preserve"> </w:t>
      </w:r>
      <w:r w:rsidRPr="00FD3279">
        <w:rPr>
          <w:noProof/>
          <w:sz w:val="26"/>
          <w:szCs w:val="28"/>
        </w:rPr>
        <w:t>55</w:t>
      </w:r>
    </w:p>
    <w:p w:rsidR="0064415C" w:rsidRPr="00FD3279" w:rsidRDefault="0064415C" w:rsidP="0064415C">
      <w:pPr>
        <w:tabs>
          <w:tab w:val="right" w:pos="6804"/>
        </w:tabs>
        <w:ind w:firstLine="0"/>
        <w:rPr>
          <w:noProof/>
          <w:sz w:val="26"/>
          <w:szCs w:val="28"/>
        </w:rPr>
      </w:pPr>
      <w:r w:rsidRPr="00FD3279">
        <w:rPr>
          <w:noProof/>
          <w:sz w:val="26"/>
          <w:szCs w:val="28"/>
          <w:rtl/>
        </w:rPr>
        <w:t>(الشوریٰ</w:t>
      </w:r>
      <w:r w:rsidRPr="00FD3279">
        <w:rPr>
          <w:noProof/>
          <w:sz w:val="26"/>
          <w:szCs w:val="28"/>
        </w:rPr>
        <w:t>/</w:t>
      </w:r>
      <w:r>
        <w:rPr>
          <w:noProof/>
          <w:sz w:val="26"/>
          <w:szCs w:val="28"/>
          <w:rtl/>
        </w:rPr>
        <w:t>28</w:t>
      </w:r>
      <w:r w:rsidRPr="00FD3279">
        <w:rPr>
          <w:noProof/>
          <w:sz w:val="26"/>
          <w:szCs w:val="28"/>
          <w:rtl/>
        </w:rPr>
        <w:t xml:space="preserve">) </w:t>
      </w:r>
      <w:r w:rsidRPr="00FD3279">
        <w:rPr>
          <w:rFonts w:ascii="Mosawi" w:hAnsi="Mosawi"/>
          <w:noProof/>
          <w:sz w:val="24"/>
          <w:szCs w:val="28"/>
          <w:rtl/>
        </w:rPr>
        <w:t>وَهُوَ</w:t>
      </w:r>
      <w:r w:rsidRPr="00FD3279">
        <w:rPr>
          <w:noProof/>
          <w:sz w:val="26"/>
          <w:szCs w:val="28"/>
          <w:rtl/>
        </w:rPr>
        <w:t xml:space="preserve"> </w:t>
      </w:r>
      <w:r w:rsidRPr="00FD3279">
        <w:rPr>
          <w:rFonts w:ascii="Mosawi" w:hAnsi="Mosawi"/>
          <w:noProof/>
          <w:sz w:val="24"/>
          <w:szCs w:val="28"/>
          <w:rtl/>
        </w:rPr>
        <w:t>الْوَلِيُّ</w:t>
      </w:r>
      <w:r w:rsidRPr="00FD3279">
        <w:rPr>
          <w:noProof/>
          <w:sz w:val="26"/>
          <w:szCs w:val="28"/>
          <w:rtl/>
        </w:rPr>
        <w:t xml:space="preserve"> </w:t>
      </w:r>
      <w:r w:rsidRPr="00FD3279">
        <w:rPr>
          <w:rFonts w:ascii="Mosawi" w:hAnsi="Mosawi"/>
          <w:noProof/>
          <w:sz w:val="24"/>
          <w:szCs w:val="28"/>
          <w:rtl/>
        </w:rPr>
        <w:t>الْحَمِيدُ</w:t>
      </w:r>
      <w:r>
        <w:rPr>
          <w:rFonts w:ascii="Mosawi" w:hAnsi="Mosawi"/>
          <w:noProof/>
          <w:sz w:val="24"/>
          <w:szCs w:val="28"/>
          <w:rtl/>
        </w:rPr>
        <w:tab/>
      </w:r>
      <w:r w:rsidRPr="00FD3279">
        <w:rPr>
          <w:noProof/>
          <w:sz w:val="26"/>
          <w:szCs w:val="28"/>
          <w:rtl/>
        </w:rPr>
        <w:t xml:space="preserve"> </w:t>
      </w:r>
      <w:r w:rsidRPr="00FD3279">
        <w:rPr>
          <w:noProof/>
          <w:sz w:val="26"/>
          <w:szCs w:val="28"/>
        </w:rPr>
        <w:t>49</w:t>
      </w:r>
      <w:r w:rsidRPr="00FD3279">
        <w:rPr>
          <w:noProof/>
          <w:sz w:val="26"/>
          <w:szCs w:val="28"/>
          <w:rtl/>
        </w:rPr>
        <w:t xml:space="preserve">، </w:t>
      </w:r>
      <w:r w:rsidRPr="00FD3279">
        <w:rPr>
          <w:noProof/>
          <w:sz w:val="26"/>
          <w:szCs w:val="28"/>
        </w:rPr>
        <w:t>89</w:t>
      </w:r>
    </w:p>
    <w:p w:rsidR="0064415C" w:rsidRPr="00FD3279" w:rsidRDefault="0064415C" w:rsidP="003326A9">
      <w:pPr>
        <w:tabs>
          <w:tab w:val="right" w:pos="6804"/>
        </w:tabs>
        <w:ind w:firstLine="0"/>
        <w:rPr>
          <w:noProof/>
          <w:sz w:val="26"/>
          <w:szCs w:val="28"/>
        </w:rPr>
      </w:pPr>
      <w:r w:rsidRPr="00FD3279">
        <w:rPr>
          <w:noProof/>
          <w:sz w:val="26"/>
          <w:szCs w:val="28"/>
          <w:rtl/>
        </w:rPr>
        <w:t>(الشوریٰ</w:t>
      </w:r>
      <w:r w:rsidRPr="00FD3279">
        <w:rPr>
          <w:noProof/>
          <w:sz w:val="26"/>
          <w:szCs w:val="28"/>
        </w:rPr>
        <w:t>/</w:t>
      </w:r>
      <w:r w:rsidRPr="00FD3279">
        <w:rPr>
          <w:noProof/>
          <w:sz w:val="26"/>
          <w:szCs w:val="28"/>
          <w:rtl/>
        </w:rPr>
        <w:t xml:space="preserve"> </w:t>
      </w:r>
      <w:r>
        <w:rPr>
          <w:noProof/>
          <w:sz w:val="26"/>
          <w:szCs w:val="28"/>
          <w:rtl/>
        </w:rPr>
        <w:t xml:space="preserve"> </w:t>
      </w:r>
      <w:r w:rsidR="003326A9">
        <w:rPr>
          <w:noProof/>
          <w:sz w:val="26"/>
          <w:szCs w:val="28"/>
          <w:rtl/>
        </w:rPr>
        <w:t>53</w:t>
      </w:r>
      <w:r w:rsidRPr="00FD3279">
        <w:rPr>
          <w:noProof/>
          <w:sz w:val="26"/>
          <w:szCs w:val="28"/>
          <w:rtl/>
        </w:rPr>
        <w:t xml:space="preserve">) </w:t>
      </w:r>
      <w:r w:rsidRPr="00FD3279">
        <w:rPr>
          <w:rFonts w:ascii="Mosawi" w:hAnsi="Mosawi"/>
          <w:noProof/>
          <w:sz w:val="24"/>
          <w:szCs w:val="28"/>
          <w:rtl/>
        </w:rPr>
        <w:t>وَإِنَّكَ</w:t>
      </w:r>
      <w:r w:rsidRPr="00FD3279">
        <w:rPr>
          <w:noProof/>
          <w:sz w:val="26"/>
          <w:szCs w:val="28"/>
          <w:rtl/>
        </w:rPr>
        <w:t xml:space="preserve"> </w:t>
      </w:r>
      <w:r w:rsidRPr="00FD3279">
        <w:rPr>
          <w:rFonts w:ascii="Mosawi" w:hAnsi="Mosawi"/>
          <w:noProof/>
          <w:sz w:val="24"/>
          <w:szCs w:val="28"/>
          <w:rtl/>
        </w:rPr>
        <w:t>لَتَهْدِي</w:t>
      </w:r>
      <w:r w:rsidRPr="00FD3279">
        <w:rPr>
          <w:noProof/>
          <w:sz w:val="26"/>
          <w:szCs w:val="28"/>
          <w:rtl/>
        </w:rPr>
        <w:t xml:space="preserve"> إِلَى صِرَاطٍ مُسْتَقِيمٍ</w:t>
      </w:r>
      <w:r>
        <w:rPr>
          <w:noProof/>
          <w:sz w:val="26"/>
          <w:szCs w:val="28"/>
          <w:rtl/>
        </w:rPr>
        <w:tab/>
      </w:r>
      <w:r w:rsidRPr="00FD3279">
        <w:rPr>
          <w:noProof/>
          <w:sz w:val="26"/>
          <w:szCs w:val="28"/>
          <w:rtl/>
        </w:rPr>
        <w:t xml:space="preserve"> </w:t>
      </w:r>
      <w:r w:rsidRPr="00FD3279">
        <w:rPr>
          <w:noProof/>
          <w:sz w:val="26"/>
          <w:szCs w:val="28"/>
        </w:rPr>
        <w:t>93</w:t>
      </w:r>
    </w:p>
    <w:p w:rsidR="002002F4" w:rsidRDefault="002002F4" w:rsidP="002002F4">
      <w:pPr>
        <w:pStyle w:val="Index2"/>
        <w:tabs>
          <w:tab w:val="right" w:leader="dot" w:pos="6793"/>
        </w:tabs>
        <w:bidi/>
        <w:ind w:left="0" w:firstLine="0"/>
        <w:jc w:val="center"/>
        <w:rPr>
          <w:rFonts w:ascii="IRBadr" w:hAnsi="IRBadr" w:cs="IRBadr"/>
          <w:noProof/>
          <w:sz w:val="24"/>
          <w:szCs w:val="24"/>
          <w:rtl/>
        </w:rPr>
      </w:pPr>
      <w:r>
        <w:rPr>
          <w:rFonts w:ascii="IRBadr" w:hAnsi="IRBadr" w:cs="IRBadr"/>
          <w:noProof/>
          <w:sz w:val="24"/>
          <w:szCs w:val="24"/>
          <w:rtl/>
        </w:rPr>
        <w:br w:type="page"/>
      </w:r>
    </w:p>
    <w:p w:rsidR="00810B7A" w:rsidRDefault="00810B7A" w:rsidP="00810B7A">
      <w:pPr>
        <w:rPr>
          <w:rtl/>
        </w:rPr>
        <w:sectPr w:rsidR="00810B7A" w:rsidSect="00EA09EB">
          <w:headerReference w:type="even" r:id="rId79"/>
          <w:headerReference w:type="default" r:id="rId80"/>
          <w:headerReference w:type="first" r:id="rId81"/>
          <w:footnotePr>
            <w:numRestart w:val="eachPage"/>
          </w:footnotePr>
          <w:type w:val="oddPage"/>
          <w:pgSz w:w="11907" w:h="16840" w:code="9"/>
          <w:pgMar w:top="2835" w:right="2552" w:bottom="3232" w:left="2552" w:header="2268" w:footer="1106" w:gutter="0"/>
          <w:cols w:space="720"/>
          <w:titlePg/>
          <w:docGrid w:linePitch="360"/>
        </w:sectPr>
      </w:pPr>
    </w:p>
    <w:p w:rsidR="002002F4" w:rsidRDefault="002002F4" w:rsidP="002002F4">
      <w:pPr>
        <w:pStyle w:val="Heading2"/>
        <w:jc w:val="center"/>
        <w:rPr>
          <w:noProof/>
          <w:rtl/>
        </w:rPr>
      </w:pPr>
      <w:bookmarkStart w:id="67" w:name="_Toc413658849"/>
      <w:r w:rsidRPr="002002F4">
        <w:rPr>
          <w:rtl/>
        </w:rPr>
        <w:t>فه</w:t>
      </w:r>
      <w:r w:rsidRPr="002002F4">
        <w:rPr>
          <w:rFonts w:hint="cs"/>
          <w:rtl/>
        </w:rPr>
        <w:t>رس</w:t>
      </w:r>
      <w:r>
        <w:rPr>
          <w:noProof/>
          <w:rtl/>
        </w:rPr>
        <w:t xml:space="preserve"> </w:t>
      </w:r>
      <w:r>
        <w:rPr>
          <w:rFonts w:hint="cs"/>
          <w:rtl/>
        </w:rPr>
        <w:t>الأحاديث</w:t>
      </w:r>
      <w:bookmarkEnd w:id="67"/>
    </w:p>
    <w:p w:rsidR="002002F4" w:rsidRDefault="002002F4" w:rsidP="002002F4">
      <w:pPr>
        <w:ind w:firstLine="0"/>
        <w:rPr>
          <w:noProof/>
          <w:rtl/>
          <w:lang w:bidi="fa-IR"/>
        </w:rPr>
      </w:pPr>
      <w:r>
        <w:rPr>
          <w:noProof/>
          <w:rtl/>
        </w:rPr>
        <w:t>رسول الله(ص): ...</w:t>
      </w:r>
      <w:r>
        <w:rPr>
          <w:noProof/>
        </w:rPr>
        <w:t xml:space="preserve"> </w:t>
      </w:r>
      <w:r>
        <w:rPr>
          <w:noProof/>
          <w:rtl/>
        </w:rPr>
        <w:t>اتّباع</w:t>
      </w:r>
      <w:r>
        <w:rPr>
          <w:noProof/>
        </w:rPr>
        <w:t xml:space="preserve"> </w:t>
      </w:r>
      <w:r>
        <w:rPr>
          <w:noProof/>
          <w:rtl/>
        </w:rPr>
        <w:t>السلاطين،</w:t>
      </w:r>
      <w:r>
        <w:rPr>
          <w:noProof/>
        </w:rPr>
        <w:t xml:space="preserve"> </w:t>
      </w:r>
      <w:r>
        <w:rPr>
          <w:noProof/>
          <w:rtl/>
        </w:rPr>
        <w:t>فإذا</w:t>
      </w:r>
      <w:r>
        <w:rPr>
          <w:noProof/>
        </w:rPr>
        <w:t xml:space="preserve"> </w:t>
      </w:r>
      <w:r>
        <w:rPr>
          <w:noProof/>
          <w:rtl/>
        </w:rPr>
        <w:t>فعلوا</w:t>
      </w:r>
      <w:r>
        <w:rPr>
          <w:noProof/>
        </w:rPr>
        <w:t xml:space="preserve"> </w:t>
      </w:r>
      <w:r>
        <w:rPr>
          <w:noProof/>
          <w:rtl/>
        </w:rPr>
        <w:t>ذلك</w:t>
      </w:r>
      <w:r>
        <w:rPr>
          <w:noProof/>
        </w:rPr>
        <w:t xml:space="preserve"> </w:t>
      </w:r>
      <w:r>
        <w:rPr>
          <w:noProof/>
          <w:rtl/>
        </w:rPr>
        <w:t>فاحذروهم</w:t>
      </w:r>
      <w:r>
        <w:rPr>
          <w:noProof/>
        </w:rPr>
        <w:t xml:space="preserve"> </w:t>
      </w:r>
      <w:r>
        <w:rPr>
          <w:noProof/>
          <w:rtl/>
        </w:rPr>
        <w:t>على</w:t>
      </w:r>
      <w:r>
        <w:rPr>
          <w:noProof/>
        </w:rPr>
        <w:t xml:space="preserve"> </w:t>
      </w:r>
      <w:r>
        <w:rPr>
          <w:noProof/>
          <w:rtl/>
        </w:rPr>
        <w:t>دينكم،</w:t>
      </w:r>
      <w:r>
        <w:rPr>
          <w:noProof/>
        </w:rPr>
        <w:t xml:space="preserve"> 312</w:t>
      </w:r>
    </w:p>
    <w:p w:rsidR="002002F4" w:rsidRDefault="002002F4" w:rsidP="002002F4">
      <w:pPr>
        <w:ind w:firstLine="0"/>
        <w:rPr>
          <w:noProof/>
        </w:rPr>
      </w:pPr>
      <w:r>
        <w:rPr>
          <w:noProof/>
          <w:rtl/>
        </w:rPr>
        <w:t>رسول الله(ص): أفتخر</w:t>
      </w:r>
      <w:r>
        <w:rPr>
          <w:noProof/>
        </w:rPr>
        <w:t xml:space="preserve"> </w:t>
      </w:r>
      <w:r>
        <w:rPr>
          <w:noProof/>
          <w:rtl/>
        </w:rPr>
        <w:t>يوم</w:t>
      </w:r>
      <w:r>
        <w:rPr>
          <w:noProof/>
        </w:rPr>
        <w:t xml:space="preserve"> </w:t>
      </w:r>
      <w:r>
        <w:rPr>
          <w:noProof/>
          <w:rtl/>
        </w:rPr>
        <w:t>القيامة</w:t>
      </w:r>
      <w:r>
        <w:rPr>
          <w:noProof/>
        </w:rPr>
        <w:t xml:space="preserve"> </w:t>
      </w:r>
      <w:r>
        <w:rPr>
          <w:noProof/>
          <w:rtl/>
        </w:rPr>
        <w:t>بعلماء</w:t>
      </w:r>
      <w:r>
        <w:rPr>
          <w:noProof/>
        </w:rPr>
        <w:t xml:space="preserve"> </w:t>
      </w:r>
      <w:r>
        <w:rPr>
          <w:noProof/>
          <w:rtl/>
        </w:rPr>
        <w:t>أمّتي،</w:t>
      </w:r>
      <w:r>
        <w:rPr>
          <w:noProof/>
        </w:rPr>
        <w:t xml:space="preserve"> </w:t>
      </w:r>
      <w:r>
        <w:rPr>
          <w:noProof/>
          <w:rtl/>
        </w:rPr>
        <w:t>فأقول،</w:t>
      </w:r>
      <w:r>
        <w:rPr>
          <w:noProof/>
        </w:rPr>
        <w:t xml:space="preserve"> </w:t>
      </w:r>
      <w:r>
        <w:rPr>
          <w:noProof/>
          <w:rtl/>
        </w:rPr>
        <w:t>علماء</w:t>
      </w:r>
      <w:r>
        <w:rPr>
          <w:noProof/>
        </w:rPr>
        <w:t xml:space="preserve"> </w:t>
      </w:r>
      <w:r>
        <w:rPr>
          <w:noProof/>
          <w:rtl/>
        </w:rPr>
        <w:t>أمّتي</w:t>
      </w:r>
      <w:r>
        <w:rPr>
          <w:noProof/>
        </w:rPr>
        <w:t xml:space="preserve"> </w:t>
      </w:r>
      <w:r>
        <w:rPr>
          <w:noProof/>
          <w:rtl/>
        </w:rPr>
        <w:t>كسائر</w:t>
      </w:r>
      <w:r>
        <w:rPr>
          <w:noProof/>
        </w:rPr>
        <w:t xml:space="preserve"> </w:t>
      </w:r>
      <w:r>
        <w:rPr>
          <w:noProof/>
          <w:rtl/>
        </w:rPr>
        <w:t>الأنبياء</w:t>
      </w:r>
      <w:r>
        <w:rPr>
          <w:noProof/>
        </w:rPr>
        <w:t xml:space="preserve"> </w:t>
      </w:r>
      <w:r>
        <w:rPr>
          <w:noProof/>
          <w:rtl/>
        </w:rPr>
        <w:t>قبلي،</w:t>
      </w:r>
      <w:r>
        <w:rPr>
          <w:noProof/>
        </w:rPr>
        <w:t xml:space="preserve"> 321</w:t>
      </w:r>
    </w:p>
    <w:p w:rsidR="002002F4" w:rsidRDefault="002002F4" w:rsidP="002002F4">
      <w:pPr>
        <w:ind w:firstLine="0"/>
        <w:rPr>
          <w:noProof/>
        </w:rPr>
      </w:pPr>
      <w:r>
        <w:rPr>
          <w:noProof/>
          <w:rtl/>
        </w:rPr>
        <w:t>رسول الله(ص): الذين</w:t>
      </w:r>
      <w:r>
        <w:rPr>
          <w:noProof/>
        </w:rPr>
        <w:t xml:space="preserve"> </w:t>
      </w:r>
      <w:r>
        <w:rPr>
          <w:noProof/>
          <w:rtl/>
        </w:rPr>
        <w:t>يأتون</w:t>
      </w:r>
      <w:r>
        <w:rPr>
          <w:noProof/>
        </w:rPr>
        <w:t xml:space="preserve"> </w:t>
      </w:r>
      <w:r>
        <w:rPr>
          <w:noProof/>
          <w:rtl/>
        </w:rPr>
        <w:t>من</w:t>
      </w:r>
      <w:r>
        <w:rPr>
          <w:noProof/>
        </w:rPr>
        <w:t xml:space="preserve"> </w:t>
      </w:r>
      <w:r>
        <w:rPr>
          <w:noProof/>
          <w:rtl/>
        </w:rPr>
        <w:t>بعدي،</w:t>
      </w:r>
      <w:r>
        <w:rPr>
          <w:noProof/>
        </w:rPr>
        <w:t xml:space="preserve"> </w:t>
      </w:r>
      <w:r>
        <w:rPr>
          <w:noProof/>
          <w:rtl/>
        </w:rPr>
        <w:t>يروون</w:t>
      </w:r>
      <w:r>
        <w:rPr>
          <w:noProof/>
        </w:rPr>
        <w:t xml:space="preserve"> </w:t>
      </w:r>
      <w:r>
        <w:rPr>
          <w:noProof/>
          <w:rtl/>
        </w:rPr>
        <w:t>حديثي</w:t>
      </w:r>
      <w:r>
        <w:rPr>
          <w:noProof/>
        </w:rPr>
        <w:t xml:space="preserve"> </w:t>
      </w:r>
      <w:r>
        <w:rPr>
          <w:noProof/>
          <w:rtl/>
        </w:rPr>
        <w:t>وسنتي،</w:t>
      </w:r>
      <w:r>
        <w:rPr>
          <w:noProof/>
        </w:rPr>
        <w:t xml:space="preserve"> 304</w:t>
      </w:r>
      <w:r>
        <w:rPr>
          <w:noProof/>
          <w:rtl/>
        </w:rPr>
        <w:t xml:space="preserve">، </w:t>
      </w:r>
      <w:r>
        <w:rPr>
          <w:noProof/>
        </w:rPr>
        <w:t xml:space="preserve"> 306</w:t>
      </w:r>
    </w:p>
    <w:p w:rsidR="002002F4" w:rsidRDefault="002002F4" w:rsidP="002002F4">
      <w:pPr>
        <w:ind w:firstLine="0"/>
        <w:rPr>
          <w:noProof/>
        </w:rPr>
      </w:pPr>
      <w:r>
        <w:rPr>
          <w:noProof/>
          <w:rtl/>
        </w:rPr>
        <w:t>رسول الله(ص): اللّهمّ</w:t>
      </w:r>
      <w:r>
        <w:rPr>
          <w:noProof/>
        </w:rPr>
        <w:t xml:space="preserve"> </w:t>
      </w:r>
      <w:r>
        <w:rPr>
          <w:noProof/>
          <w:rtl/>
        </w:rPr>
        <w:t>ارحم</w:t>
      </w:r>
      <w:r>
        <w:rPr>
          <w:noProof/>
        </w:rPr>
        <w:t xml:space="preserve"> </w:t>
      </w:r>
      <w:r>
        <w:rPr>
          <w:noProof/>
          <w:rtl/>
        </w:rPr>
        <w:t>خلفائي،</w:t>
      </w:r>
      <w:r>
        <w:rPr>
          <w:noProof/>
        </w:rPr>
        <w:t xml:space="preserve"> </w:t>
      </w:r>
      <w:r>
        <w:rPr>
          <w:noProof/>
          <w:rtl/>
        </w:rPr>
        <w:t>الذين</w:t>
      </w:r>
      <w:r>
        <w:rPr>
          <w:noProof/>
        </w:rPr>
        <w:t xml:space="preserve"> </w:t>
      </w:r>
      <w:r>
        <w:rPr>
          <w:noProof/>
          <w:rtl/>
        </w:rPr>
        <w:t>يأتون</w:t>
      </w:r>
      <w:r>
        <w:rPr>
          <w:noProof/>
        </w:rPr>
        <w:t xml:space="preserve"> </w:t>
      </w:r>
      <w:r>
        <w:rPr>
          <w:noProof/>
          <w:rtl/>
        </w:rPr>
        <w:t>من</w:t>
      </w:r>
      <w:r>
        <w:rPr>
          <w:noProof/>
        </w:rPr>
        <w:t xml:space="preserve"> </w:t>
      </w:r>
      <w:r>
        <w:rPr>
          <w:noProof/>
          <w:rtl/>
        </w:rPr>
        <w:t>بعدي...،</w:t>
      </w:r>
      <w:r>
        <w:rPr>
          <w:noProof/>
        </w:rPr>
        <w:t xml:space="preserve"> 294</w:t>
      </w:r>
      <w:r>
        <w:rPr>
          <w:noProof/>
          <w:rtl/>
        </w:rPr>
        <w:t>،</w:t>
      </w:r>
      <w:r>
        <w:rPr>
          <w:noProof/>
        </w:rPr>
        <w:t xml:space="preserve"> 302</w:t>
      </w:r>
      <w:r>
        <w:rPr>
          <w:noProof/>
          <w:rtl/>
        </w:rPr>
        <w:t>،</w:t>
      </w:r>
      <w:r>
        <w:rPr>
          <w:noProof/>
        </w:rPr>
        <w:t xml:space="preserve"> 310</w:t>
      </w:r>
      <w:r>
        <w:rPr>
          <w:noProof/>
          <w:rtl/>
        </w:rPr>
        <w:t>،</w:t>
      </w:r>
      <w:r>
        <w:rPr>
          <w:noProof/>
        </w:rPr>
        <w:t xml:space="preserve"> 311</w:t>
      </w:r>
      <w:r>
        <w:rPr>
          <w:noProof/>
          <w:rtl/>
        </w:rPr>
        <w:t>،</w:t>
      </w:r>
      <w:r>
        <w:rPr>
          <w:noProof/>
        </w:rPr>
        <w:t xml:space="preserve"> 333</w:t>
      </w:r>
      <w:r>
        <w:rPr>
          <w:noProof/>
          <w:rtl/>
        </w:rPr>
        <w:t>،</w:t>
      </w:r>
      <w:r>
        <w:rPr>
          <w:noProof/>
        </w:rPr>
        <w:t xml:space="preserve"> 392</w:t>
      </w:r>
      <w:r>
        <w:rPr>
          <w:noProof/>
          <w:rtl/>
        </w:rPr>
        <w:t>،</w:t>
      </w:r>
      <w:r>
        <w:rPr>
          <w:noProof/>
        </w:rPr>
        <w:t xml:space="preserve"> 403</w:t>
      </w:r>
      <w:r>
        <w:rPr>
          <w:noProof/>
          <w:rtl/>
        </w:rPr>
        <w:t>،</w:t>
      </w:r>
      <w:r>
        <w:rPr>
          <w:noProof/>
        </w:rPr>
        <w:t xml:space="preserve"> 404</w:t>
      </w:r>
    </w:p>
    <w:p w:rsidR="002002F4" w:rsidRDefault="002002F4" w:rsidP="002002F4">
      <w:pPr>
        <w:ind w:firstLine="0"/>
        <w:rPr>
          <w:noProof/>
        </w:rPr>
      </w:pPr>
      <w:r>
        <w:rPr>
          <w:noProof/>
          <w:rtl/>
        </w:rPr>
        <w:t>رسول الله(ص): إن</w:t>
      </w:r>
      <w:r>
        <w:rPr>
          <w:noProof/>
        </w:rPr>
        <w:t xml:space="preserve"> </w:t>
      </w:r>
      <w:r>
        <w:rPr>
          <w:noProof/>
          <w:rtl/>
        </w:rPr>
        <w:t>الخلق</w:t>
      </w:r>
      <w:r>
        <w:rPr>
          <w:noProof/>
        </w:rPr>
        <w:t xml:space="preserve"> </w:t>
      </w:r>
      <w:r>
        <w:rPr>
          <w:noProof/>
          <w:rtl/>
        </w:rPr>
        <w:t>لمّا</w:t>
      </w:r>
      <w:r>
        <w:rPr>
          <w:noProof/>
        </w:rPr>
        <w:t xml:space="preserve"> </w:t>
      </w:r>
      <w:r>
        <w:rPr>
          <w:noProof/>
          <w:rtl/>
        </w:rPr>
        <w:t>وقفوا</w:t>
      </w:r>
      <w:r>
        <w:rPr>
          <w:noProof/>
        </w:rPr>
        <w:t xml:space="preserve"> </w:t>
      </w:r>
      <w:r>
        <w:rPr>
          <w:noProof/>
          <w:rtl/>
        </w:rPr>
        <w:t>على</w:t>
      </w:r>
      <w:r>
        <w:rPr>
          <w:noProof/>
        </w:rPr>
        <w:t xml:space="preserve"> </w:t>
      </w:r>
      <w:r>
        <w:rPr>
          <w:noProof/>
          <w:rtl/>
        </w:rPr>
        <w:t>حدٍّ</w:t>
      </w:r>
      <w:r>
        <w:rPr>
          <w:noProof/>
        </w:rPr>
        <w:t xml:space="preserve"> </w:t>
      </w:r>
      <w:r>
        <w:rPr>
          <w:noProof/>
          <w:rtl/>
        </w:rPr>
        <w:t>محدود...،</w:t>
      </w:r>
      <w:r>
        <w:rPr>
          <w:noProof/>
        </w:rPr>
        <w:t xml:space="preserve"> 314</w:t>
      </w:r>
    </w:p>
    <w:p w:rsidR="002002F4" w:rsidRDefault="002002F4" w:rsidP="002002F4">
      <w:pPr>
        <w:ind w:firstLine="0"/>
        <w:rPr>
          <w:noProof/>
        </w:rPr>
      </w:pPr>
      <w:r>
        <w:rPr>
          <w:noProof/>
          <w:rtl/>
        </w:rPr>
        <w:t>رسول الله(ص): إنّ</w:t>
      </w:r>
      <w:r>
        <w:rPr>
          <w:noProof/>
        </w:rPr>
        <w:t xml:space="preserve"> </w:t>
      </w:r>
      <w:r>
        <w:rPr>
          <w:noProof/>
          <w:rtl/>
        </w:rPr>
        <w:t>العلماء</w:t>
      </w:r>
      <w:r>
        <w:rPr>
          <w:noProof/>
        </w:rPr>
        <w:t xml:space="preserve"> </w:t>
      </w:r>
      <w:r>
        <w:rPr>
          <w:noProof/>
          <w:rtl/>
        </w:rPr>
        <w:t>ورثة</w:t>
      </w:r>
      <w:r>
        <w:rPr>
          <w:noProof/>
        </w:rPr>
        <w:t xml:space="preserve"> </w:t>
      </w:r>
      <w:r>
        <w:rPr>
          <w:noProof/>
          <w:rtl/>
        </w:rPr>
        <w:t>الأنبياء...،</w:t>
      </w:r>
      <w:r>
        <w:rPr>
          <w:noProof/>
        </w:rPr>
        <w:t xml:space="preserve"> 51</w:t>
      </w:r>
      <w:r>
        <w:rPr>
          <w:noProof/>
          <w:rtl/>
        </w:rPr>
        <w:t>،</w:t>
      </w:r>
      <w:r>
        <w:rPr>
          <w:noProof/>
        </w:rPr>
        <w:t xml:space="preserve"> 294</w:t>
      </w:r>
      <w:r>
        <w:rPr>
          <w:noProof/>
          <w:rtl/>
        </w:rPr>
        <w:t>،</w:t>
      </w:r>
      <w:r>
        <w:rPr>
          <w:noProof/>
        </w:rPr>
        <w:t xml:space="preserve"> 318</w:t>
      </w:r>
      <w:r>
        <w:rPr>
          <w:noProof/>
          <w:rtl/>
        </w:rPr>
        <w:t>،</w:t>
      </w:r>
      <w:r>
        <w:rPr>
          <w:noProof/>
        </w:rPr>
        <w:t xml:space="preserve"> 319</w:t>
      </w:r>
      <w:r>
        <w:rPr>
          <w:noProof/>
          <w:rtl/>
        </w:rPr>
        <w:t>،</w:t>
      </w:r>
      <w:r>
        <w:rPr>
          <w:noProof/>
        </w:rPr>
        <w:t xml:space="preserve"> 323</w:t>
      </w:r>
      <w:r>
        <w:rPr>
          <w:noProof/>
          <w:rtl/>
        </w:rPr>
        <w:t>،</w:t>
      </w:r>
      <w:r>
        <w:rPr>
          <w:noProof/>
        </w:rPr>
        <w:t xml:space="preserve"> 324</w:t>
      </w:r>
      <w:r>
        <w:rPr>
          <w:noProof/>
          <w:rtl/>
        </w:rPr>
        <w:t>،</w:t>
      </w:r>
      <w:r>
        <w:rPr>
          <w:noProof/>
        </w:rPr>
        <w:t xml:space="preserve"> 330</w:t>
      </w:r>
      <w:r>
        <w:rPr>
          <w:noProof/>
          <w:rtl/>
        </w:rPr>
        <w:t>،</w:t>
      </w:r>
      <w:r>
        <w:rPr>
          <w:noProof/>
        </w:rPr>
        <w:t xml:space="preserve"> 331</w:t>
      </w:r>
      <w:r>
        <w:rPr>
          <w:noProof/>
          <w:rtl/>
        </w:rPr>
        <w:t>،</w:t>
      </w:r>
      <w:r>
        <w:rPr>
          <w:noProof/>
        </w:rPr>
        <w:t xml:space="preserve"> 343</w:t>
      </w:r>
      <w:r>
        <w:rPr>
          <w:noProof/>
          <w:rtl/>
        </w:rPr>
        <w:t>،</w:t>
      </w:r>
      <w:r>
        <w:rPr>
          <w:noProof/>
        </w:rPr>
        <w:t xml:space="preserve"> 393</w:t>
      </w:r>
    </w:p>
    <w:p w:rsidR="002002F4" w:rsidRDefault="002002F4" w:rsidP="002002F4">
      <w:pPr>
        <w:ind w:firstLine="0"/>
        <w:rPr>
          <w:noProof/>
        </w:rPr>
      </w:pPr>
      <w:r>
        <w:rPr>
          <w:noProof/>
          <w:rtl/>
        </w:rPr>
        <w:t>رسول الله(ص): أيها</w:t>
      </w:r>
      <w:r>
        <w:rPr>
          <w:noProof/>
        </w:rPr>
        <w:t xml:space="preserve"> </w:t>
      </w:r>
      <w:r>
        <w:rPr>
          <w:noProof/>
          <w:rtl/>
        </w:rPr>
        <w:t>الناس،</w:t>
      </w:r>
      <w:r>
        <w:rPr>
          <w:noProof/>
        </w:rPr>
        <w:t xml:space="preserve"> </w:t>
      </w:r>
      <w:r>
        <w:rPr>
          <w:noProof/>
          <w:rtl/>
        </w:rPr>
        <w:t>إني</w:t>
      </w:r>
      <w:r>
        <w:rPr>
          <w:noProof/>
        </w:rPr>
        <w:t xml:space="preserve"> </w:t>
      </w:r>
      <w:r>
        <w:rPr>
          <w:noProof/>
          <w:rtl/>
        </w:rPr>
        <w:t>تارك</w:t>
      </w:r>
      <w:r>
        <w:rPr>
          <w:noProof/>
        </w:rPr>
        <w:t xml:space="preserve"> </w:t>
      </w:r>
      <w:r>
        <w:rPr>
          <w:noProof/>
          <w:rtl/>
        </w:rPr>
        <w:t>فيكم</w:t>
      </w:r>
      <w:r>
        <w:rPr>
          <w:noProof/>
        </w:rPr>
        <w:t xml:space="preserve"> </w:t>
      </w:r>
      <w:r>
        <w:rPr>
          <w:noProof/>
          <w:rtl/>
        </w:rPr>
        <w:t>الثقلين،</w:t>
      </w:r>
      <w:r>
        <w:rPr>
          <w:noProof/>
        </w:rPr>
        <w:t xml:space="preserve"> </w:t>
      </w:r>
      <w:r>
        <w:rPr>
          <w:noProof/>
          <w:rtl/>
        </w:rPr>
        <w:t>كتاب</w:t>
      </w:r>
      <w:r>
        <w:rPr>
          <w:noProof/>
        </w:rPr>
        <w:t xml:space="preserve"> </w:t>
      </w:r>
      <w:r>
        <w:rPr>
          <w:noProof/>
          <w:rtl/>
        </w:rPr>
        <w:t>الله؛</w:t>
      </w:r>
      <w:r>
        <w:rPr>
          <w:noProof/>
        </w:rPr>
        <w:t xml:space="preserve"> </w:t>
      </w:r>
      <w:r>
        <w:rPr>
          <w:noProof/>
          <w:rtl/>
        </w:rPr>
        <w:t>وعترتي</w:t>
      </w:r>
      <w:r>
        <w:rPr>
          <w:noProof/>
        </w:rPr>
        <w:t xml:space="preserve"> </w:t>
      </w:r>
      <w:r>
        <w:rPr>
          <w:noProof/>
          <w:rtl/>
        </w:rPr>
        <w:t>أهل</w:t>
      </w:r>
      <w:r>
        <w:rPr>
          <w:noProof/>
        </w:rPr>
        <w:t xml:space="preserve"> </w:t>
      </w:r>
      <w:r>
        <w:rPr>
          <w:noProof/>
          <w:rtl/>
        </w:rPr>
        <w:t>بيتي...،</w:t>
      </w:r>
      <w:r>
        <w:rPr>
          <w:noProof/>
        </w:rPr>
        <w:t xml:space="preserve"> 59</w:t>
      </w:r>
      <w:r>
        <w:rPr>
          <w:noProof/>
          <w:rtl/>
        </w:rPr>
        <w:t>،</w:t>
      </w:r>
      <w:r>
        <w:rPr>
          <w:noProof/>
        </w:rPr>
        <w:t xml:space="preserve"> 108</w:t>
      </w:r>
    </w:p>
    <w:p w:rsidR="002002F4" w:rsidRDefault="002002F4" w:rsidP="002002F4">
      <w:pPr>
        <w:ind w:firstLine="0"/>
        <w:rPr>
          <w:noProof/>
        </w:rPr>
      </w:pPr>
      <w:r>
        <w:rPr>
          <w:noProof/>
          <w:rtl/>
        </w:rPr>
        <w:t>رسول الله(ص): السلطان</w:t>
      </w:r>
      <w:r>
        <w:rPr>
          <w:noProof/>
        </w:rPr>
        <w:t xml:space="preserve"> </w:t>
      </w:r>
      <w:r>
        <w:rPr>
          <w:noProof/>
          <w:rtl/>
        </w:rPr>
        <w:t>ظل</w:t>
      </w:r>
      <w:r>
        <w:rPr>
          <w:noProof/>
        </w:rPr>
        <w:t xml:space="preserve"> </w:t>
      </w:r>
      <w:r>
        <w:rPr>
          <w:noProof/>
          <w:rtl/>
        </w:rPr>
        <w:t>الله</w:t>
      </w:r>
      <w:r>
        <w:rPr>
          <w:noProof/>
        </w:rPr>
        <w:t xml:space="preserve"> </w:t>
      </w:r>
      <w:r>
        <w:rPr>
          <w:noProof/>
          <w:rtl/>
        </w:rPr>
        <w:t>يأوي</w:t>
      </w:r>
      <w:r>
        <w:rPr>
          <w:noProof/>
        </w:rPr>
        <w:t xml:space="preserve"> </w:t>
      </w:r>
      <w:r>
        <w:rPr>
          <w:noProof/>
          <w:rtl/>
        </w:rPr>
        <w:t>إليه</w:t>
      </w:r>
      <w:r>
        <w:rPr>
          <w:noProof/>
        </w:rPr>
        <w:t xml:space="preserve"> </w:t>
      </w:r>
      <w:r>
        <w:rPr>
          <w:noProof/>
          <w:rtl/>
        </w:rPr>
        <w:t>كلّ</w:t>
      </w:r>
      <w:r>
        <w:rPr>
          <w:noProof/>
        </w:rPr>
        <w:t xml:space="preserve"> </w:t>
      </w:r>
      <w:r>
        <w:rPr>
          <w:noProof/>
          <w:rtl/>
        </w:rPr>
        <w:t>مظلوم،</w:t>
      </w:r>
      <w:r>
        <w:rPr>
          <w:noProof/>
        </w:rPr>
        <w:t xml:space="preserve"> 49</w:t>
      </w:r>
    </w:p>
    <w:p w:rsidR="002002F4" w:rsidRDefault="002002F4" w:rsidP="002002F4">
      <w:pPr>
        <w:ind w:firstLine="0"/>
        <w:rPr>
          <w:noProof/>
          <w:rtl/>
        </w:rPr>
      </w:pPr>
      <w:r>
        <w:rPr>
          <w:noProof/>
          <w:rtl/>
        </w:rPr>
        <w:t>رسول الله(ص): السلطان</w:t>
      </w:r>
      <w:r>
        <w:rPr>
          <w:noProof/>
        </w:rPr>
        <w:t xml:space="preserve"> </w:t>
      </w:r>
      <w:r>
        <w:rPr>
          <w:noProof/>
          <w:rtl/>
        </w:rPr>
        <w:t>وليّ</w:t>
      </w:r>
      <w:r>
        <w:rPr>
          <w:noProof/>
        </w:rPr>
        <w:t xml:space="preserve"> </w:t>
      </w:r>
      <w:r>
        <w:rPr>
          <w:noProof/>
          <w:rtl/>
        </w:rPr>
        <w:t>مَنْ</w:t>
      </w:r>
      <w:r>
        <w:rPr>
          <w:noProof/>
        </w:rPr>
        <w:t xml:space="preserve"> </w:t>
      </w:r>
      <w:r>
        <w:rPr>
          <w:noProof/>
          <w:rtl/>
        </w:rPr>
        <w:t>لا</w:t>
      </w:r>
      <w:r>
        <w:rPr>
          <w:noProof/>
        </w:rPr>
        <w:t xml:space="preserve"> </w:t>
      </w:r>
      <w:r>
        <w:rPr>
          <w:noProof/>
          <w:rtl/>
        </w:rPr>
        <w:t>وليّ</w:t>
      </w:r>
      <w:r>
        <w:rPr>
          <w:noProof/>
        </w:rPr>
        <w:t xml:space="preserve"> </w:t>
      </w:r>
      <w:r>
        <w:rPr>
          <w:noProof/>
          <w:rtl/>
        </w:rPr>
        <w:t>له،</w:t>
      </w:r>
      <w:r>
        <w:rPr>
          <w:noProof/>
        </w:rPr>
        <w:t xml:space="preserve"> 117</w:t>
      </w:r>
      <w:r>
        <w:rPr>
          <w:noProof/>
          <w:rtl/>
        </w:rPr>
        <w:t>،</w:t>
      </w:r>
      <w:r>
        <w:rPr>
          <w:noProof/>
        </w:rPr>
        <w:t xml:space="preserve"> 135</w:t>
      </w:r>
      <w:r>
        <w:rPr>
          <w:noProof/>
          <w:rtl/>
        </w:rPr>
        <w:t>،</w:t>
      </w:r>
      <w:r>
        <w:rPr>
          <w:noProof/>
        </w:rPr>
        <w:t xml:space="preserve"> 294</w:t>
      </w:r>
      <w:r>
        <w:rPr>
          <w:noProof/>
          <w:rtl/>
        </w:rPr>
        <w:t>،</w:t>
      </w:r>
      <w:r>
        <w:rPr>
          <w:noProof/>
        </w:rPr>
        <w:t xml:space="preserve"> 302</w:t>
      </w:r>
      <w:r>
        <w:rPr>
          <w:noProof/>
          <w:rtl/>
        </w:rPr>
        <w:t>،</w:t>
      </w:r>
      <w:r>
        <w:rPr>
          <w:noProof/>
        </w:rPr>
        <w:t xml:space="preserve"> 392</w:t>
      </w:r>
    </w:p>
    <w:p w:rsidR="002002F4" w:rsidRDefault="002002F4" w:rsidP="002002F4">
      <w:pPr>
        <w:ind w:firstLine="0"/>
        <w:rPr>
          <w:noProof/>
        </w:rPr>
      </w:pPr>
      <w:r>
        <w:rPr>
          <w:noProof/>
          <w:rtl/>
        </w:rPr>
        <w:t>رسول الله(ص): علماء</w:t>
      </w:r>
      <w:r>
        <w:rPr>
          <w:noProof/>
        </w:rPr>
        <w:t xml:space="preserve"> </w:t>
      </w:r>
      <w:r>
        <w:rPr>
          <w:noProof/>
          <w:rtl/>
        </w:rPr>
        <w:t>أمتي</w:t>
      </w:r>
      <w:r>
        <w:rPr>
          <w:noProof/>
        </w:rPr>
        <w:t xml:space="preserve"> </w:t>
      </w:r>
      <w:r>
        <w:rPr>
          <w:noProof/>
          <w:rtl/>
        </w:rPr>
        <w:t>كأنبياء</w:t>
      </w:r>
      <w:r>
        <w:rPr>
          <w:noProof/>
        </w:rPr>
        <w:t xml:space="preserve"> </w:t>
      </w:r>
      <w:r>
        <w:rPr>
          <w:noProof/>
          <w:rtl/>
        </w:rPr>
        <w:t>بني</w:t>
      </w:r>
      <w:r>
        <w:rPr>
          <w:noProof/>
        </w:rPr>
        <w:t xml:space="preserve"> </w:t>
      </w:r>
      <w:r>
        <w:rPr>
          <w:noProof/>
          <w:rtl/>
        </w:rPr>
        <w:t>إسرائيل،</w:t>
      </w:r>
      <w:r>
        <w:rPr>
          <w:noProof/>
        </w:rPr>
        <w:t xml:space="preserve"> 321</w:t>
      </w:r>
    </w:p>
    <w:p w:rsidR="002002F4" w:rsidRDefault="002002F4" w:rsidP="002002F4">
      <w:pPr>
        <w:ind w:firstLine="0"/>
        <w:rPr>
          <w:noProof/>
        </w:rPr>
      </w:pPr>
      <w:r>
        <w:rPr>
          <w:noProof/>
          <w:rtl/>
        </w:rPr>
        <w:t>رسول الله(ص): فاحذروهم</w:t>
      </w:r>
      <w:r>
        <w:rPr>
          <w:noProof/>
        </w:rPr>
        <w:t xml:space="preserve"> </w:t>
      </w:r>
      <w:r>
        <w:rPr>
          <w:noProof/>
          <w:rtl/>
        </w:rPr>
        <w:t>على</w:t>
      </w:r>
      <w:r>
        <w:rPr>
          <w:noProof/>
        </w:rPr>
        <w:t xml:space="preserve"> </w:t>
      </w:r>
      <w:r>
        <w:rPr>
          <w:noProof/>
          <w:rtl/>
        </w:rPr>
        <w:t>دينكم،</w:t>
      </w:r>
      <w:r>
        <w:rPr>
          <w:noProof/>
        </w:rPr>
        <w:t xml:space="preserve"> 317</w:t>
      </w:r>
    </w:p>
    <w:p w:rsidR="002002F4" w:rsidRDefault="002002F4" w:rsidP="002002F4">
      <w:pPr>
        <w:ind w:firstLine="0"/>
        <w:rPr>
          <w:noProof/>
        </w:rPr>
      </w:pPr>
      <w:r>
        <w:rPr>
          <w:noProof/>
          <w:rtl/>
        </w:rPr>
        <w:t>رسول الله(ص): الفقهاء</w:t>
      </w:r>
      <w:r>
        <w:rPr>
          <w:noProof/>
        </w:rPr>
        <w:t xml:space="preserve"> </w:t>
      </w:r>
      <w:r>
        <w:rPr>
          <w:noProof/>
          <w:rtl/>
        </w:rPr>
        <w:t>أمناء</w:t>
      </w:r>
      <w:r>
        <w:rPr>
          <w:noProof/>
        </w:rPr>
        <w:t xml:space="preserve"> </w:t>
      </w:r>
      <w:r>
        <w:rPr>
          <w:noProof/>
          <w:rtl/>
        </w:rPr>
        <w:t>الرسل</w:t>
      </w:r>
      <w:r>
        <w:rPr>
          <w:noProof/>
        </w:rPr>
        <w:t xml:space="preserve"> </w:t>
      </w:r>
      <w:r>
        <w:rPr>
          <w:noProof/>
          <w:rtl/>
        </w:rPr>
        <w:t>ما</w:t>
      </w:r>
      <w:r>
        <w:rPr>
          <w:noProof/>
        </w:rPr>
        <w:t xml:space="preserve"> </w:t>
      </w:r>
      <w:r>
        <w:rPr>
          <w:noProof/>
          <w:rtl/>
        </w:rPr>
        <w:t>لم</w:t>
      </w:r>
      <w:r>
        <w:rPr>
          <w:noProof/>
        </w:rPr>
        <w:t xml:space="preserve"> </w:t>
      </w:r>
      <w:r>
        <w:rPr>
          <w:noProof/>
          <w:rtl/>
        </w:rPr>
        <w:t>يدخلوا</w:t>
      </w:r>
      <w:r>
        <w:rPr>
          <w:noProof/>
        </w:rPr>
        <w:t xml:space="preserve"> </w:t>
      </w:r>
      <w:r>
        <w:rPr>
          <w:noProof/>
          <w:rtl/>
        </w:rPr>
        <w:t>في</w:t>
      </w:r>
      <w:r>
        <w:rPr>
          <w:noProof/>
        </w:rPr>
        <w:t xml:space="preserve"> </w:t>
      </w:r>
      <w:r>
        <w:rPr>
          <w:noProof/>
          <w:rtl/>
        </w:rPr>
        <w:t>الدنيا،</w:t>
      </w:r>
      <w:r>
        <w:rPr>
          <w:noProof/>
        </w:rPr>
        <w:t xml:space="preserve"> 294</w:t>
      </w:r>
      <w:r>
        <w:rPr>
          <w:noProof/>
          <w:rtl/>
        </w:rPr>
        <w:t xml:space="preserve">، </w:t>
      </w:r>
      <w:r>
        <w:rPr>
          <w:noProof/>
        </w:rPr>
        <w:t xml:space="preserve"> 312</w:t>
      </w:r>
      <w:r>
        <w:rPr>
          <w:noProof/>
          <w:rtl/>
        </w:rPr>
        <w:t>،</w:t>
      </w:r>
      <w:r>
        <w:rPr>
          <w:noProof/>
        </w:rPr>
        <w:t xml:space="preserve"> 314</w:t>
      </w:r>
      <w:r>
        <w:rPr>
          <w:noProof/>
          <w:rtl/>
        </w:rPr>
        <w:t>،</w:t>
      </w:r>
      <w:r>
        <w:rPr>
          <w:noProof/>
        </w:rPr>
        <w:t xml:space="preserve"> 318</w:t>
      </w:r>
      <w:r>
        <w:rPr>
          <w:noProof/>
          <w:rtl/>
        </w:rPr>
        <w:t>،</w:t>
      </w:r>
      <w:r>
        <w:rPr>
          <w:noProof/>
        </w:rPr>
        <w:t xml:space="preserve"> 343</w:t>
      </w:r>
      <w:r>
        <w:rPr>
          <w:noProof/>
          <w:rtl/>
        </w:rPr>
        <w:t>،</w:t>
      </w:r>
      <w:r>
        <w:rPr>
          <w:noProof/>
        </w:rPr>
        <w:t xml:space="preserve"> 393</w:t>
      </w:r>
    </w:p>
    <w:p w:rsidR="002002F4" w:rsidRDefault="002002F4" w:rsidP="002002F4">
      <w:pPr>
        <w:ind w:firstLine="0"/>
        <w:rPr>
          <w:noProof/>
        </w:rPr>
      </w:pPr>
      <w:r>
        <w:rPr>
          <w:noProof/>
          <w:rtl/>
        </w:rPr>
        <w:t>رسول الله(ص): فيعلِّمونها</w:t>
      </w:r>
      <w:r>
        <w:rPr>
          <w:noProof/>
        </w:rPr>
        <w:t xml:space="preserve"> </w:t>
      </w:r>
      <w:r>
        <w:rPr>
          <w:noProof/>
          <w:rtl/>
        </w:rPr>
        <w:t>الناس</w:t>
      </w:r>
      <w:r>
        <w:rPr>
          <w:noProof/>
        </w:rPr>
        <w:t xml:space="preserve"> </w:t>
      </w:r>
      <w:r>
        <w:rPr>
          <w:noProof/>
          <w:rtl/>
        </w:rPr>
        <w:t>من</w:t>
      </w:r>
      <w:r>
        <w:rPr>
          <w:noProof/>
        </w:rPr>
        <w:t xml:space="preserve"> </w:t>
      </w:r>
      <w:r>
        <w:rPr>
          <w:noProof/>
          <w:rtl/>
        </w:rPr>
        <w:t>بعدي،</w:t>
      </w:r>
      <w:r>
        <w:rPr>
          <w:noProof/>
        </w:rPr>
        <w:t xml:space="preserve"> 305</w:t>
      </w:r>
      <w:r>
        <w:rPr>
          <w:noProof/>
          <w:rtl/>
        </w:rPr>
        <w:t>،</w:t>
      </w:r>
      <w:r>
        <w:rPr>
          <w:noProof/>
        </w:rPr>
        <w:t xml:space="preserve"> 306</w:t>
      </w:r>
    </w:p>
    <w:p w:rsidR="002002F4" w:rsidRDefault="002002F4" w:rsidP="002002F4">
      <w:pPr>
        <w:ind w:firstLine="0"/>
        <w:rPr>
          <w:noProof/>
        </w:rPr>
      </w:pPr>
      <w:r>
        <w:rPr>
          <w:noProof/>
          <w:rtl/>
        </w:rPr>
        <w:t>رسول الله(ص): مَنْ</w:t>
      </w:r>
      <w:r>
        <w:rPr>
          <w:noProof/>
        </w:rPr>
        <w:t xml:space="preserve"> </w:t>
      </w:r>
      <w:r>
        <w:rPr>
          <w:noProof/>
          <w:rtl/>
        </w:rPr>
        <w:t>سَلَك</w:t>
      </w:r>
      <w:r>
        <w:rPr>
          <w:noProof/>
        </w:rPr>
        <w:t xml:space="preserve"> </w:t>
      </w:r>
      <w:r>
        <w:rPr>
          <w:noProof/>
          <w:rtl/>
        </w:rPr>
        <w:t>طريقاً</w:t>
      </w:r>
      <w:r>
        <w:rPr>
          <w:noProof/>
        </w:rPr>
        <w:t xml:space="preserve"> </w:t>
      </w:r>
      <w:r>
        <w:rPr>
          <w:noProof/>
          <w:rtl/>
        </w:rPr>
        <w:t>يطلب</w:t>
      </w:r>
      <w:r>
        <w:rPr>
          <w:noProof/>
        </w:rPr>
        <w:t xml:space="preserve"> </w:t>
      </w:r>
      <w:r>
        <w:rPr>
          <w:noProof/>
          <w:rtl/>
        </w:rPr>
        <w:t>فيه</w:t>
      </w:r>
      <w:r>
        <w:rPr>
          <w:noProof/>
        </w:rPr>
        <w:t xml:space="preserve"> </w:t>
      </w:r>
      <w:r>
        <w:rPr>
          <w:noProof/>
          <w:rtl/>
        </w:rPr>
        <w:t>علماً</w:t>
      </w:r>
      <w:r>
        <w:rPr>
          <w:noProof/>
        </w:rPr>
        <w:t xml:space="preserve"> </w:t>
      </w:r>
      <w:r>
        <w:rPr>
          <w:noProof/>
          <w:rtl/>
        </w:rPr>
        <w:t>سلك</w:t>
      </w:r>
      <w:r>
        <w:rPr>
          <w:noProof/>
        </w:rPr>
        <w:t xml:space="preserve"> </w:t>
      </w:r>
      <w:r>
        <w:rPr>
          <w:noProof/>
          <w:rtl/>
        </w:rPr>
        <w:t>الله</w:t>
      </w:r>
      <w:r>
        <w:rPr>
          <w:noProof/>
        </w:rPr>
        <w:t xml:space="preserve"> </w:t>
      </w:r>
      <w:r>
        <w:rPr>
          <w:noProof/>
          <w:rtl/>
        </w:rPr>
        <w:t>به</w:t>
      </w:r>
      <w:r>
        <w:rPr>
          <w:noProof/>
        </w:rPr>
        <w:t xml:space="preserve"> </w:t>
      </w:r>
      <w:r>
        <w:rPr>
          <w:noProof/>
          <w:rtl/>
        </w:rPr>
        <w:t>طريقاً</w:t>
      </w:r>
      <w:r>
        <w:rPr>
          <w:noProof/>
        </w:rPr>
        <w:t xml:space="preserve"> </w:t>
      </w:r>
      <w:r>
        <w:rPr>
          <w:noProof/>
          <w:rtl/>
        </w:rPr>
        <w:t>إلى</w:t>
      </w:r>
      <w:r>
        <w:rPr>
          <w:noProof/>
        </w:rPr>
        <w:t xml:space="preserve"> </w:t>
      </w:r>
      <w:r>
        <w:rPr>
          <w:noProof/>
          <w:rtl/>
        </w:rPr>
        <w:t>الجنة...،</w:t>
      </w:r>
      <w:r>
        <w:rPr>
          <w:noProof/>
        </w:rPr>
        <w:t xml:space="preserve"> 319</w:t>
      </w:r>
    </w:p>
    <w:p w:rsidR="002002F4" w:rsidRDefault="002002F4" w:rsidP="002002F4">
      <w:pPr>
        <w:ind w:firstLine="0"/>
        <w:rPr>
          <w:noProof/>
        </w:rPr>
      </w:pPr>
      <w:r>
        <w:rPr>
          <w:noProof/>
          <w:rtl/>
        </w:rPr>
        <w:t>رسول الله(ص): مَنْ</w:t>
      </w:r>
      <w:r>
        <w:rPr>
          <w:noProof/>
        </w:rPr>
        <w:t xml:space="preserve"> </w:t>
      </w:r>
      <w:r>
        <w:rPr>
          <w:noProof/>
          <w:rtl/>
        </w:rPr>
        <w:t>كُنتُ</w:t>
      </w:r>
      <w:r>
        <w:rPr>
          <w:noProof/>
        </w:rPr>
        <w:t xml:space="preserve"> </w:t>
      </w:r>
      <w:r>
        <w:rPr>
          <w:noProof/>
          <w:rtl/>
        </w:rPr>
        <w:t>مولاه</w:t>
      </w:r>
      <w:r>
        <w:rPr>
          <w:noProof/>
        </w:rPr>
        <w:t xml:space="preserve"> </w:t>
      </w:r>
      <w:r>
        <w:rPr>
          <w:noProof/>
          <w:rtl/>
        </w:rPr>
        <w:t>فعليٌّ</w:t>
      </w:r>
      <w:r>
        <w:rPr>
          <w:noProof/>
        </w:rPr>
        <w:t xml:space="preserve"> </w:t>
      </w:r>
      <w:r>
        <w:rPr>
          <w:noProof/>
          <w:rtl/>
        </w:rPr>
        <w:t>مولاه...،</w:t>
      </w:r>
      <w:r>
        <w:rPr>
          <w:noProof/>
        </w:rPr>
        <w:t xml:space="preserve"> 114</w:t>
      </w:r>
    </w:p>
    <w:p w:rsidR="002002F4" w:rsidRDefault="002002F4" w:rsidP="002002F4">
      <w:pPr>
        <w:ind w:firstLine="0"/>
        <w:rPr>
          <w:noProof/>
        </w:rPr>
      </w:pPr>
      <w:r>
        <w:rPr>
          <w:noProof/>
          <w:rtl/>
        </w:rPr>
        <w:t>رسول الله(ص): ولا</w:t>
      </w:r>
      <w:r>
        <w:rPr>
          <w:noProof/>
        </w:rPr>
        <w:t xml:space="preserve"> </w:t>
      </w:r>
      <w:r>
        <w:rPr>
          <w:noProof/>
          <w:rtl/>
        </w:rPr>
        <w:t>يقوم</w:t>
      </w:r>
      <w:r>
        <w:rPr>
          <w:noProof/>
        </w:rPr>
        <w:t xml:space="preserve"> </w:t>
      </w:r>
      <w:r>
        <w:rPr>
          <w:noProof/>
          <w:rtl/>
        </w:rPr>
        <w:t>إلاّ</w:t>
      </w:r>
      <w:r>
        <w:rPr>
          <w:noProof/>
        </w:rPr>
        <w:t xml:space="preserve"> </w:t>
      </w:r>
      <w:r>
        <w:rPr>
          <w:noProof/>
          <w:rtl/>
        </w:rPr>
        <w:t>أن</w:t>
      </w:r>
      <w:r>
        <w:rPr>
          <w:noProof/>
        </w:rPr>
        <w:t xml:space="preserve"> </w:t>
      </w:r>
      <w:r>
        <w:rPr>
          <w:noProof/>
          <w:rtl/>
        </w:rPr>
        <w:t>يجعل</w:t>
      </w:r>
      <w:r>
        <w:rPr>
          <w:noProof/>
        </w:rPr>
        <w:t xml:space="preserve"> </w:t>
      </w:r>
      <w:r>
        <w:rPr>
          <w:noProof/>
          <w:rtl/>
        </w:rPr>
        <w:t>عليهم</w:t>
      </w:r>
      <w:r>
        <w:rPr>
          <w:noProof/>
        </w:rPr>
        <w:t xml:space="preserve"> </w:t>
      </w:r>
      <w:r>
        <w:rPr>
          <w:noProof/>
          <w:rtl/>
        </w:rPr>
        <w:t>قيِّماً</w:t>
      </w:r>
      <w:r>
        <w:rPr>
          <w:noProof/>
        </w:rPr>
        <w:t xml:space="preserve"> </w:t>
      </w:r>
      <w:r>
        <w:rPr>
          <w:noProof/>
          <w:rtl/>
        </w:rPr>
        <w:t>يمنعهم</w:t>
      </w:r>
      <w:r>
        <w:rPr>
          <w:noProof/>
        </w:rPr>
        <w:t xml:space="preserve"> </w:t>
      </w:r>
      <w:r>
        <w:rPr>
          <w:noProof/>
          <w:rtl/>
        </w:rPr>
        <w:t>من</w:t>
      </w:r>
      <w:r>
        <w:rPr>
          <w:noProof/>
        </w:rPr>
        <w:t xml:space="preserve"> </w:t>
      </w:r>
      <w:r>
        <w:rPr>
          <w:noProof/>
          <w:rtl/>
        </w:rPr>
        <w:t>التعدّي...،</w:t>
      </w:r>
      <w:r>
        <w:rPr>
          <w:noProof/>
        </w:rPr>
        <w:t xml:space="preserve"> 314</w:t>
      </w:r>
    </w:p>
    <w:p w:rsidR="002002F4" w:rsidRDefault="002002F4" w:rsidP="002002F4">
      <w:pPr>
        <w:ind w:firstLine="0"/>
        <w:rPr>
          <w:noProof/>
        </w:rPr>
      </w:pPr>
      <w:r>
        <w:rPr>
          <w:noProof/>
          <w:rtl/>
        </w:rPr>
        <w:t>رسول الله(ص): ولم</w:t>
      </w:r>
      <w:r>
        <w:rPr>
          <w:noProof/>
        </w:rPr>
        <w:t xml:space="preserve"> </w:t>
      </w:r>
      <w:r>
        <w:rPr>
          <w:noProof/>
          <w:rtl/>
        </w:rPr>
        <w:t>ينادَ</w:t>
      </w:r>
      <w:r>
        <w:rPr>
          <w:noProof/>
        </w:rPr>
        <w:t xml:space="preserve"> </w:t>
      </w:r>
      <w:r>
        <w:rPr>
          <w:noProof/>
          <w:rtl/>
        </w:rPr>
        <w:t>بشيء</w:t>
      </w:r>
      <w:r>
        <w:rPr>
          <w:noProof/>
        </w:rPr>
        <w:t xml:space="preserve"> </w:t>
      </w:r>
      <w:r>
        <w:rPr>
          <w:noProof/>
          <w:rtl/>
        </w:rPr>
        <w:t>ما</w:t>
      </w:r>
      <w:r>
        <w:rPr>
          <w:noProof/>
        </w:rPr>
        <w:t xml:space="preserve"> </w:t>
      </w:r>
      <w:r>
        <w:rPr>
          <w:noProof/>
          <w:rtl/>
        </w:rPr>
        <w:t>نودي</w:t>
      </w:r>
      <w:r>
        <w:rPr>
          <w:noProof/>
        </w:rPr>
        <w:t xml:space="preserve"> </w:t>
      </w:r>
      <w:r>
        <w:rPr>
          <w:noProof/>
          <w:rtl/>
        </w:rPr>
        <w:t>بالولاية</w:t>
      </w:r>
      <w:r>
        <w:rPr>
          <w:noProof/>
        </w:rPr>
        <w:t xml:space="preserve"> </w:t>
      </w:r>
      <w:r>
        <w:rPr>
          <w:noProof/>
          <w:rtl/>
        </w:rPr>
        <w:t>يوم</w:t>
      </w:r>
      <w:r>
        <w:rPr>
          <w:noProof/>
        </w:rPr>
        <w:t xml:space="preserve"> </w:t>
      </w:r>
      <w:r>
        <w:rPr>
          <w:noProof/>
          <w:rtl/>
        </w:rPr>
        <w:t>الغدير،</w:t>
      </w:r>
      <w:r>
        <w:rPr>
          <w:noProof/>
        </w:rPr>
        <w:t xml:space="preserve"> 115</w:t>
      </w:r>
    </w:p>
    <w:p w:rsidR="002002F4" w:rsidRDefault="002002F4" w:rsidP="002002F4">
      <w:pPr>
        <w:ind w:firstLine="0"/>
        <w:rPr>
          <w:noProof/>
        </w:rPr>
      </w:pPr>
      <w:r>
        <w:rPr>
          <w:noProof/>
          <w:rtl/>
        </w:rPr>
        <w:t>رسول الله(ص): ويعلِّمونها</w:t>
      </w:r>
      <w:r>
        <w:rPr>
          <w:noProof/>
        </w:rPr>
        <w:t xml:space="preserve"> </w:t>
      </w:r>
      <w:r>
        <w:rPr>
          <w:noProof/>
          <w:rtl/>
        </w:rPr>
        <w:t>الناس</w:t>
      </w:r>
      <w:r>
        <w:rPr>
          <w:noProof/>
        </w:rPr>
        <w:t xml:space="preserve"> </w:t>
      </w:r>
      <w:r>
        <w:rPr>
          <w:noProof/>
          <w:rtl/>
        </w:rPr>
        <w:t>من بعدي،</w:t>
      </w:r>
      <w:r>
        <w:rPr>
          <w:noProof/>
        </w:rPr>
        <w:t xml:space="preserve"> 309</w:t>
      </w:r>
    </w:p>
    <w:p w:rsidR="002002F4" w:rsidRDefault="002002F4" w:rsidP="002002F4">
      <w:pPr>
        <w:ind w:firstLine="0"/>
        <w:rPr>
          <w:noProof/>
        </w:rPr>
      </w:pPr>
      <w:r>
        <w:rPr>
          <w:noProof/>
          <w:rtl/>
        </w:rPr>
        <w:t>رسول الله(ص): يا</w:t>
      </w:r>
      <w:r>
        <w:rPr>
          <w:noProof/>
        </w:rPr>
        <w:t xml:space="preserve"> </w:t>
      </w:r>
      <w:r>
        <w:rPr>
          <w:noProof/>
          <w:rtl/>
        </w:rPr>
        <w:t>أيّها</w:t>
      </w:r>
      <w:r>
        <w:rPr>
          <w:noProof/>
        </w:rPr>
        <w:t xml:space="preserve"> </w:t>
      </w:r>
      <w:r>
        <w:rPr>
          <w:noProof/>
          <w:rtl/>
        </w:rPr>
        <w:t>الناس،</w:t>
      </w:r>
      <w:r>
        <w:rPr>
          <w:noProof/>
        </w:rPr>
        <w:t xml:space="preserve"> </w:t>
      </w:r>
      <w:r>
        <w:rPr>
          <w:noProof/>
          <w:rtl/>
        </w:rPr>
        <w:t>مَنْ</w:t>
      </w:r>
      <w:r>
        <w:rPr>
          <w:noProof/>
        </w:rPr>
        <w:t xml:space="preserve"> </w:t>
      </w:r>
      <w:r>
        <w:rPr>
          <w:noProof/>
          <w:rtl/>
        </w:rPr>
        <w:t>وليُّكم</w:t>
      </w:r>
      <w:r>
        <w:rPr>
          <w:noProof/>
        </w:rPr>
        <w:t xml:space="preserve"> </w:t>
      </w:r>
      <w:r>
        <w:rPr>
          <w:noProof/>
          <w:rtl/>
        </w:rPr>
        <w:t>وأولى</w:t>
      </w:r>
      <w:r>
        <w:rPr>
          <w:noProof/>
        </w:rPr>
        <w:t xml:space="preserve"> </w:t>
      </w:r>
      <w:r>
        <w:rPr>
          <w:noProof/>
          <w:rtl/>
        </w:rPr>
        <w:t>بكم</w:t>
      </w:r>
      <w:r>
        <w:rPr>
          <w:noProof/>
        </w:rPr>
        <w:t xml:space="preserve"> </w:t>
      </w:r>
      <w:r>
        <w:rPr>
          <w:noProof/>
          <w:rtl/>
        </w:rPr>
        <w:t>من</w:t>
      </w:r>
      <w:r>
        <w:rPr>
          <w:noProof/>
        </w:rPr>
        <w:t xml:space="preserve"> </w:t>
      </w:r>
      <w:r>
        <w:rPr>
          <w:noProof/>
          <w:rtl/>
        </w:rPr>
        <w:t>أنفسكم؟،</w:t>
      </w:r>
      <w:r>
        <w:rPr>
          <w:noProof/>
        </w:rPr>
        <w:t xml:space="preserve"> 113</w:t>
      </w:r>
    </w:p>
    <w:p w:rsidR="002002F4" w:rsidRDefault="002002F4" w:rsidP="002002F4">
      <w:pPr>
        <w:ind w:firstLine="0"/>
        <w:rPr>
          <w:noProof/>
        </w:rPr>
      </w:pPr>
      <w:r>
        <w:rPr>
          <w:noProof/>
          <w:rtl/>
        </w:rPr>
        <w:t>رسول الله(ص): يروون</w:t>
      </w:r>
      <w:r>
        <w:rPr>
          <w:noProof/>
        </w:rPr>
        <w:t xml:space="preserve"> </w:t>
      </w:r>
      <w:r>
        <w:rPr>
          <w:noProof/>
          <w:rtl/>
        </w:rPr>
        <w:t>عنّي</w:t>
      </w:r>
      <w:r>
        <w:rPr>
          <w:noProof/>
        </w:rPr>
        <w:t xml:space="preserve"> </w:t>
      </w:r>
      <w:r>
        <w:rPr>
          <w:noProof/>
          <w:rtl/>
        </w:rPr>
        <w:t>حديثي</w:t>
      </w:r>
      <w:r>
        <w:rPr>
          <w:noProof/>
        </w:rPr>
        <w:t xml:space="preserve"> </w:t>
      </w:r>
      <w:r>
        <w:rPr>
          <w:noProof/>
          <w:rtl/>
        </w:rPr>
        <w:t>وسنّتي،</w:t>
      </w:r>
      <w:r>
        <w:rPr>
          <w:noProof/>
        </w:rPr>
        <w:t xml:space="preserve"> 310</w:t>
      </w:r>
    </w:p>
    <w:p w:rsidR="002002F4" w:rsidRDefault="002002F4" w:rsidP="002002F4">
      <w:pPr>
        <w:ind w:firstLine="0"/>
        <w:rPr>
          <w:noProof/>
        </w:rPr>
      </w:pPr>
      <w:r>
        <w:rPr>
          <w:noProof/>
          <w:rtl/>
        </w:rPr>
        <w:t>الإمام علي(ع): إن</w:t>
      </w:r>
      <w:r>
        <w:rPr>
          <w:noProof/>
        </w:rPr>
        <w:t xml:space="preserve"> </w:t>
      </w:r>
      <w:r>
        <w:rPr>
          <w:noProof/>
          <w:rtl/>
        </w:rPr>
        <w:t>أولى</w:t>
      </w:r>
      <w:r>
        <w:rPr>
          <w:noProof/>
        </w:rPr>
        <w:t xml:space="preserve"> </w:t>
      </w:r>
      <w:r>
        <w:rPr>
          <w:noProof/>
          <w:rtl/>
        </w:rPr>
        <w:t>الناس</w:t>
      </w:r>
      <w:r>
        <w:rPr>
          <w:noProof/>
        </w:rPr>
        <w:t xml:space="preserve"> </w:t>
      </w:r>
      <w:r>
        <w:rPr>
          <w:noProof/>
          <w:rtl/>
        </w:rPr>
        <w:t>بالأنبياء</w:t>
      </w:r>
      <w:r>
        <w:rPr>
          <w:noProof/>
        </w:rPr>
        <w:t xml:space="preserve"> </w:t>
      </w:r>
      <w:r>
        <w:rPr>
          <w:noProof/>
          <w:rtl/>
        </w:rPr>
        <w:t>أعلمهم</w:t>
      </w:r>
      <w:r>
        <w:rPr>
          <w:noProof/>
        </w:rPr>
        <w:t xml:space="preserve"> </w:t>
      </w:r>
      <w:r>
        <w:rPr>
          <w:noProof/>
          <w:rtl/>
        </w:rPr>
        <w:t>بما</w:t>
      </w:r>
      <w:r>
        <w:rPr>
          <w:noProof/>
        </w:rPr>
        <w:t xml:space="preserve"> </w:t>
      </w:r>
      <w:r>
        <w:rPr>
          <w:noProof/>
          <w:rtl/>
        </w:rPr>
        <w:t>جاؤوا</w:t>
      </w:r>
      <w:r>
        <w:rPr>
          <w:noProof/>
        </w:rPr>
        <w:t xml:space="preserve"> </w:t>
      </w:r>
      <w:r>
        <w:rPr>
          <w:noProof/>
          <w:rtl/>
        </w:rPr>
        <w:t>به،</w:t>
      </w:r>
      <w:r>
        <w:rPr>
          <w:noProof/>
        </w:rPr>
        <w:t xml:space="preserve"> 320</w:t>
      </w:r>
      <w:r>
        <w:rPr>
          <w:noProof/>
          <w:rtl/>
        </w:rPr>
        <w:t>،</w:t>
      </w:r>
      <w:r>
        <w:rPr>
          <w:noProof/>
        </w:rPr>
        <w:t xml:space="preserve"> 329</w:t>
      </w:r>
    </w:p>
    <w:p w:rsidR="002002F4" w:rsidRDefault="002002F4" w:rsidP="002002F4">
      <w:pPr>
        <w:ind w:firstLine="0"/>
        <w:rPr>
          <w:noProof/>
        </w:rPr>
      </w:pPr>
      <w:r>
        <w:rPr>
          <w:noProof/>
          <w:rtl/>
        </w:rPr>
        <w:t>الإمام علي(ع): إنما</w:t>
      </w:r>
      <w:r>
        <w:rPr>
          <w:noProof/>
        </w:rPr>
        <w:t xml:space="preserve"> </w:t>
      </w:r>
      <w:r>
        <w:rPr>
          <w:noProof/>
          <w:rtl/>
        </w:rPr>
        <w:t>الوالي</w:t>
      </w:r>
      <w:r>
        <w:rPr>
          <w:noProof/>
        </w:rPr>
        <w:t xml:space="preserve"> </w:t>
      </w:r>
      <w:r>
        <w:rPr>
          <w:noProof/>
          <w:rtl/>
        </w:rPr>
        <w:t>بشر،</w:t>
      </w:r>
      <w:r>
        <w:rPr>
          <w:noProof/>
        </w:rPr>
        <w:t xml:space="preserve"> </w:t>
      </w:r>
      <w:r>
        <w:rPr>
          <w:noProof/>
          <w:rtl/>
        </w:rPr>
        <w:t>لا</w:t>
      </w:r>
      <w:r>
        <w:rPr>
          <w:noProof/>
        </w:rPr>
        <w:t xml:space="preserve"> </w:t>
      </w:r>
      <w:r>
        <w:rPr>
          <w:noProof/>
          <w:rtl/>
        </w:rPr>
        <w:t>يعرف</w:t>
      </w:r>
      <w:r>
        <w:rPr>
          <w:noProof/>
        </w:rPr>
        <w:t xml:space="preserve"> </w:t>
      </w:r>
      <w:r>
        <w:rPr>
          <w:noProof/>
          <w:rtl/>
        </w:rPr>
        <w:t>ما</w:t>
      </w:r>
      <w:r>
        <w:rPr>
          <w:noProof/>
        </w:rPr>
        <w:t xml:space="preserve"> </w:t>
      </w:r>
      <w:r>
        <w:rPr>
          <w:noProof/>
          <w:rtl/>
        </w:rPr>
        <w:t>توارى</w:t>
      </w:r>
      <w:r>
        <w:rPr>
          <w:noProof/>
        </w:rPr>
        <w:t xml:space="preserve"> </w:t>
      </w:r>
      <w:r>
        <w:rPr>
          <w:noProof/>
          <w:rtl/>
        </w:rPr>
        <w:t>عنه</w:t>
      </w:r>
      <w:r>
        <w:rPr>
          <w:noProof/>
        </w:rPr>
        <w:t xml:space="preserve"> </w:t>
      </w:r>
      <w:r>
        <w:rPr>
          <w:noProof/>
          <w:rtl/>
        </w:rPr>
        <w:t>الناس</w:t>
      </w:r>
      <w:r>
        <w:rPr>
          <w:noProof/>
        </w:rPr>
        <w:t xml:space="preserve"> </w:t>
      </w:r>
      <w:r>
        <w:rPr>
          <w:noProof/>
          <w:rtl/>
        </w:rPr>
        <w:t>به</w:t>
      </w:r>
      <w:r>
        <w:rPr>
          <w:noProof/>
        </w:rPr>
        <w:t xml:space="preserve"> </w:t>
      </w:r>
      <w:r>
        <w:rPr>
          <w:noProof/>
          <w:rtl/>
        </w:rPr>
        <w:t>من</w:t>
      </w:r>
      <w:r>
        <w:rPr>
          <w:noProof/>
        </w:rPr>
        <w:t xml:space="preserve"> </w:t>
      </w:r>
      <w:r>
        <w:rPr>
          <w:noProof/>
          <w:rtl/>
        </w:rPr>
        <w:t>الأمور...،</w:t>
      </w:r>
      <w:r>
        <w:rPr>
          <w:noProof/>
        </w:rPr>
        <w:t xml:space="preserve"> 121</w:t>
      </w:r>
    </w:p>
    <w:p w:rsidR="002002F4" w:rsidRDefault="002002F4" w:rsidP="002002F4">
      <w:pPr>
        <w:ind w:firstLine="0"/>
        <w:rPr>
          <w:noProof/>
        </w:rPr>
      </w:pPr>
      <w:r>
        <w:rPr>
          <w:noProof/>
          <w:rtl/>
        </w:rPr>
        <w:t>الإمام علي(ع): العلم</w:t>
      </w:r>
      <w:r>
        <w:rPr>
          <w:noProof/>
        </w:rPr>
        <w:t xml:space="preserve"> </w:t>
      </w:r>
      <w:r>
        <w:rPr>
          <w:noProof/>
          <w:rtl/>
        </w:rPr>
        <w:t>حاكم،</w:t>
      </w:r>
      <w:r>
        <w:rPr>
          <w:noProof/>
        </w:rPr>
        <w:t xml:space="preserve"> </w:t>
      </w:r>
      <w:r>
        <w:rPr>
          <w:noProof/>
          <w:rtl/>
        </w:rPr>
        <w:t>والمال</w:t>
      </w:r>
      <w:r>
        <w:rPr>
          <w:noProof/>
        </w:rPr>
        <w:t xml:space="preserve"> </w:t>
      </w:r>
      <w:r>
        <w:rPr>
          <w:noProof/>
          <w:rtl/>
        </w:rPr>
        <w:t>محكوم</w:t>
      </w:r>
      <w:r>
        <w:rPr>
          <w:noProof/>
        </w:rPr>
        <w:t xml:space="preserve"> </w:t>
      </w:r>
      <w:r>
        <w:rPr>
          <w:noProof/>
          <w:rtl/>
        </w:rPr>
        <w:t>عليه،</w:t>
      </w:r>
      <w:r>
        <w:rPr>
          <w:noProof/>
        </w:rPr>
        <w:t xml:space="preserve"> 336</w:t>
      </w:r>
    </w:p>
    <w:p w:rsidR="002002F4" w:rsidRDefault="002002F4" w:rsidP="002002F4">
      <w:pPr>
        <w:ind w:firstLine="0"/>
        <w:rPr>
          <w:noProof/>
        </w:rPr>
      </w:pPr>
      <w:r>
        <w:rPr>
          <w:noProof/>
          <w:rtl/>
        </w:rPr>
        <w:t>الإمام علي(ع): العلماء</w:t>
      </w:r>
      <w:r>
        <w:rPr>
          <w:noProof/>
        </w:rPr>
        <w:t xml:space="preserve"> </w:t>
      </w:r>
      <w:r>
        <w:rPr>
          <w:noProof/>
          <w:rtl/>
        </w:rPr>
        <w:t>حكام</w:t>
      </w:r>
      <w:r>
        <w:rPr>
          <w:noProof/>
        </w:rPr>
        <w:t xml:space="preserve"> </w:t>
      </w:r>
      <w:r>
        <w:rPr>
          <w:noProof/>
          <w:rtl/>
        </w:rPr>
        <w:t>على</w:t>
      </w:r>
      <w:r>
        <w:rPr>
          <w:noProof/>
        </w:rPr>
        <w:t xml:space="preserve"> </w:t>
      </w:r>
      <w:r>
        <w:rPr>
          <w:noProof/>
          <w:rtl/>
        </w:rPr>
        <w:t>الناس،</w:t>
      </w:r>
      <w:r>
        <w:rPr>
          <w:noProof/>
        </w:rPr>
        <w:t xml:space="preserve"> 333</w:t>
      </w:r>
      <w:r>
        <w:rPr>
          <w:noProof/>
          <w:rtl/>
        </w:rPr>
        <w:t>،</w:t>
      </w:r>
      <w:r>
        <w:rPr>
          <w:noProof/>
        </w:rPr>
        <w:t xml:space="preserve"> 334</w:t>
      </w:r>
      <w:r>
        <w:rPr>
          <w:noProof/>
          <w:rtl/>
        </w:rPr>
        <w:t>،</w:t>
      </w:r>
      <w:r>
        <w:rPr>
          <w:noProof/>
        </w:rPr>
        <w:t xml:space="preserve"> 392</w:t>
      </w:r>
    </w:p>
    <w:p w:rsidR="002002F4" w:rsidRDefault="002002F4" w:rsidP="002002F4">
      <w:pPr>
        <w:ind w:firstLine="0"/>
        <w:rPr>
          <w:noProof/>
        </w:rPr>
      </w:pPr>
      <w:r>
        <w:rPr>
          <w:noProof/>
          <w:rtl/>
        </w:rPr>
        <w:t>الإمام علي(ع): فقد</w:t>
      </w:r>
      <w:r>
        <w:rPr>
          <w:noProof/>
        </w:rPr>
        <w:t xml:space="preserve"> </w:t>
      </w:r>
      <w:r>
        <w:rPr>
          <w:noProof/>
          <w:rtl/>
        </w:rPr>
        <w:t>جعل</w:t>
      </w:r>
      <w:r>
        <w:rPr>
          <w:noProof/>
        </w:rPr>
        <w:t xml:space="preserve"> </w:t>
      </w:r>
      <w:r>
        <w:rPr>
          <w:noProof/>
          <w:rtl/>
        </w:rPr>
        <w:t>الله</w:t>
      </w:r>
      <w:r>
        <w:rPr>
          <w:noProof/>
        </w:rPr>
        <w:t xml:space="preserve"> </w:t>
      </w:r>
      <w:r>
        <w:rPr>
          <w:noProof/>
          <w:rtl/>
        </w:rPr>
        <w:t>سبحانه</w:t>
      </w:r>
      <w:r>
        <w:rPr>
          <w:noProof/>
        </w:rPr>
        <w:t xml:space="preserve"> </w:t>
      </w:r>
      <w:r>
        <w:rPr>
          <w:noProof/>
          <w:rtl/>
        </w:rPr>
        <w:t>لي</w:t>
      </w:r>
      <w:r>
        <w:rPr>
          <w:noProof/>
        </w:rPr>
        <w:t xml:space="preserve"> </w:t>
      </w:r>
      <w:r>
        <w:rPr>
          <w:noProof/>
          <w:rtl/>
        </w:rPr>
        <w:t>عليكم</w:t>
      </w:r>
      <w:r>
        <w:rPr>
          <w:noProof/>
        </w:rPr>
        <w:t xml:space="preserve"> </w:t>
      </w:r>
      <w:r>
        <w:rPr>
          <w:noProof/>
          <w:rtl/>
        </w:rPr>
        <w:t>حقّاً</w:t>
      </w:r>
      <w:r>
        <w:rPr>
          <w:noProof/>
        </w:rPr>
        <w:t xml:space="preserve"> </w:t>
      </w:r>
      <w:r>
        <w:rPr>
          <w:noProof/>
          <w:rtl/>
        </w:rPr>
        <w:t>بولاية</w:t>
      </w:r>
      <w:r>
        <w:rPr>
          <w:noProof/>
        </w:rPr>
        <w:t xml:space="preserve"> </w:t>
      </w:r>
      <w:r>
        <w:rPr>
          <w:noProof/>
          <w:rtl/>
        </w:rPr>
        <w:t>أمركم،</w:t>
      </w:r>
      <w:r>
        <w:rPr>
          <w:noProof/>
        </w:rPr>
        <w:t xml:space="preserve"> </w:t>
      </w:r>
      <w:r>
        <w:rPr>
          <w:noProof/>
          <w:rtl/>
        </w:rPr>
        <w:t>ولكم</w:t>
      </w:r>
      <w:r>
        <w:rPr>
          <w:noProof/>
        </w:rPr>
        <w:t xml:space="preserve"> </w:t>
      </w:r>
      <w:r>
        <w:rPr>
          <w:noProof/>
          <w:rtl/>
        </w:rPr>
        <w:t>عليّ...،</w:t>
      </w:r>
      <w:r>
        <w:rPr>
          <w:noProof/>
        </w:rPr>
        <w:t xml:space="preserve"> 122</w:t>
      </w:r>
    </w:p>
    <w:p w:rsidR="002002F4" w:rsidRDefault="002002F4" w:rsidP="002002F4">
      <w:pPr>
        <w:ind w:firstLine="0"/>
        <w:rPr>
          <w:noProof/>
        </w:rPr>
      </w:pPr>
      <w:r>
        <w:rPr>
          <w:noProof/>
          <w:rtl/>
        </w:rPr>
        <w:t>الإمام علي(ع): فلا</w:t>
      </w:r>
      <w:r>
        <w:rPr>
          <w:noProof/>
        </w:rPr>
        <w:t xml:space="preserve"> </w:t>
      </w:r>
      <w:r>
        <w:rPr>
          <w:noProof/>
          <w:rtl/>
        </w:rPr>
        <w:t>تطوّلن</w:t>
      </w:r>
      <w:r>
        <w:rPr>
          <w:noProof/>
        </w:rPr>
        <w:t xml:space="preserve"> </w:t>
      </w:r>
      <w:r>
        <w:rPr>
          <w:noProof/>
          <w:rtl/>
        </w:rPr>
        <w:t>احتجابك</w:t>
      </w:r>
      <w:r>
        <w:rPr>
          <w:noProof/>
        </w:rPr>
        <w:t xml:space="preserve"> </w:t>
      </w:r>
      <w:r>
        <w:rPr>
          <w:noProof/>
          <w:rtl/>
        </w:rPr>
        <w:t>عن</w:t>
      </w:r>
      <w:r>
        <w:rPr>
          <w:noProof/>
        </w:rPr>
        <w:t xml:space="preserve"> </w:t>
      </w:r>
      <w:r>
        <w:rPr>
          <w:noProof/>
          <w:rtl/>
        </w:rPr>
        <w:t>رعيتك،</w:t>
      </w:r>
      <w:r>
        <w:rPr>
          <w:noProof/>
        </w:rPr>
        <w:t xml:space="preserve"> </w:t>
      </w:r>
      <w:r>
        <w:rPr>
          <w:noProof/>
          <w:rtl/>
        </w:rPr>
        <w:t>فإن</w:t>
      </w:r>
      <w:r>
        <w:rPr>
          <w:noProof/>
        </w:rPr>
        <w:t xml:space="preserve"> </w:t>
      </w:r>
      <w:r>
        <w:rPr>
          <w:noProof/>
          <w:rtl/>
        </w:rPr>
        <w:t>احتجاب</w:t>
      </w:r>
      <w:r>
        <w:rPr>
          <w:noProof/>
        </w:rPr>
        <w:t xml:space="preserve"> </w:t>
      </w:r>
      <w:r>
        <w:rPr>
          <w:noProof/>
          <w:rtl/>
        </w:rPr>
        <w:t>الولاة...،</w:t>
      </w:r>
      <w:r>
        <w:rPr>
          <w:noProof/>
        </w:rPr>
        <w:t xml:space="preserve"> 121</w:t>
      </w:r>
    </w:p>
    <w:p w:rsidR="002002F4" w:rsidRDefault="002002F4" w:rsidP="002002F4">
      <w:pPr>
        <w:ind w:firstLine="0"/>
        <w:rPr>
          <w:noProof/>
        </w:rPr>
      </w:pPr>
      <w:r>
        <w:rPr>
          <w:noProof/>
          <w:rtl/>
        </w:rPr>
        <w:t>الإمام علي(ع): فولِّ</w:t>
      </w:r>
      <w:r>
        <w:rPr>
          <w:noProof/>
        </w:rPr>
        <w:t xml:space="preserve"> </w:t>
      </w:r>
      <w:r>
        <w:rPr>
          <w:noProof/>
          <w:rtl/>
        </w:rPr>
        <w:t>من</w:t>
      </w:r>
      <w:r>
        <w:rPr>
          <w:noProof/>
        </w:rPr>
        <w:t xml:space="preserve"> </w:t>
      </w:r>
      <w:r>
        <w:rPr>
          <w:noProof/>
          <w:rtl/>
        </w:rPr>
        <w:t>جنودك</w:t>
      </w:r>
      <w:r>
        <w:rPr>
          <w:noProof/>
        </w:rPr>
        <w:t xml:space="preserve"> </w:t>
      </w:r>
      <w:r>
        <w:rPr>
          <w:noProof/>
          <w:rtl/>
        </w:rPr>
        <w:t>أنصحهم</w:t>
      </w:r>
      <w:r>
        <w:rPr>
          <w:noProof/>
        </w:rPr>
        <w:t xml:space="preserve"> </w:t>
      </w:r>
      <w:r>
        <w:rPr>
          <w:noProof/>
          <w:rtl/>
        </w:rPr>
        <w:t>من</w:t>
      </w:r>
      <w:r>
        <w:rPr>
          <w:noProof/>
        </w:rPr>
        <w:t xml:space="preserve"> </w:t>
      </w:r>
      <w:r>
        <w:rPr>
          <w:noProof/>
          <w:rtl/>
        </w:rPr>
        <w:t>نفسك</w:t>
      </w:r>
      <w:r>
        <w:rPr>
          <w:noProof/>
        </w:rPr>
        <w:t xml:space="preserve"> </w:t>
      </w:r>
      <w:r>
        <w:rPr>
          <w:noProof/>
          <w:rtl/>
        </w:rPr>
        <w:t>لله</w:t>
      </w:r>
      <w:r>
        <w:rPr>
          <w:noProof/>
        </w:rPr>
        <w:t xml:space="preserve"> </w:t>
      </w:r>
      <w:r>
        <w:rPr>
          <w:noProof/>
          <w:rtl/>
        </w:rPr>
        <w:t>ورسوله</w:t>
      </w:r>
      <w:r>
        <w:rPr>
          <w:noProof/>
        </w:rPr>
        <w:t xml:space="preserve"> </w:t>
      </w:r>
      <w:r>
        <w:rPr>
          <w:noProof/>
          <w:rtl/>
        </w:rPr>
        <w:t>ولإمامك،</w:t>
      </w:r>
      <w:r>
        <w:rPr>
          <w:noProof/>
        </w:rPr>
        <w:t xml:space="preserve"> 121</w:t>
      </w:r>
    </w:p>
    <w:p w:rsidR="002002F4" w:rsidRDefault="002002F4" w:rsidP="002002F4">
      <w:pPr>
        <w:ind w:firstLine="0"/>
        <w:rPr>
          <w:noProof/>
        </w:rPr>
      </w:pPr>
      <w:r>
        <w:rPr>
          <w:noProof/>
          <w:rtl/>
        </w:rPr>
        <w:t>الإمام علي(ع): لا</w:t>
      </w:r>
      <w:r>
        <w:rPr>
          <w:noProof/>
        </w:rPr>
        <w:t xml:space="preserve"> </w:t>
      </w:r>
      <w:r>
        <w:rPr>
          <w:noProof/>
          <w:rtl/>
        </w:rPr>
        <w:t>تتركوا</w:t>
      </w:r>
      <w:r>
        <w:rPr>
          <w:noProof/>
        </w:rPr>
        <w:t xml:space="preserve"> </w:t>
      </w:r>
      <w:r>
        <w:rPr>
          <w:noProof/>
          <w:rtl/>
        </w:rPr>
        <w:t>الأمر</w:t>
      </w:r>
      <w:r>
        <w:rPr>
          <w:noProof/>
        </w:rPr>
        <w:t xml:space="preserve"> </w:t>
      </w:r>
      <w:r>
        <w:rPr>
          <w:noProof/>
          <w:rtl/>
        </w:rPr>
        <w:t>بالمعروف</w:t>
      </w:r>
      <w:r>
        <w:rPr>
          <w:noProof/>
        </w:rPr>
        <w:t xml:space="preserve"> </w:t>
      </w:r>
      <w:r>
        <w:rPr>
          <w:noProof/>
          <w:rtl/>
        </w:rPr>
        <w:t>والنهي</w:t>
      </w:r>
      <w:r>
        <w:rPr>
          <w:noProof/>
        </w:rPr>
        <w:t xml:space="preserve"> </w:t>
      </w:r>
      <w:r>
        <w:rPr>
          <w:noProof/>
          <w:rtl/>
        </w:rPr>
        <w:t>عن</w:t>
      </w:r>
      <w:r>
        <w:rPr>
          <w:noProof/>
        </w:rPr>
        <w:t xml:space="preserve"> </w:t>
      </w:r>
      <w:r>
        <w:rPr>
          <w:noProof/>
          <w:rtl/>
        </w:rPr>
        <w:t>المنكر</w:t>
      </w:r>
      <w:r>
        <w:rPr>
          <w:noProof/>
        </w:rPr>
        <w:t xml:space="preserve"> </w:t>
      </w:r>
      <w:r>
        <w:rPr>
          <w:noProof/>
          <w:rtl/>
        </w:rPr>
        <w:t>فيولّى</w:t>
      </w:r>
      <w:r>
        <w:rPr>
          <w:noProof/>
        </w:rPr>
        <w:t xml:space="preserve"> </w:t>
      </w:r>
      <w:r>
        <w:rPr>
          <w:noProof/>
          <w:rtl/>
        </w:rPr>
        <w:t>عليكم</w:t>
      </w:r>
      <w:r>
        <w:rPr>
          <w:noProof/>
        </w:rPr>
        <w:t xml:space="preserve"> </w:t>
      </w:r>
      <w:r>
        <w:rPr>
          <w:noProof/>
          <w:rtl/>
        </w:rPr>
        <w:t>شراركم...،</w:t>
      </w:r>
      <w:r>
        <w:rPr>
          <w:noProof/>
        </w:rPr>
        <w:t xml:space="preserve"> 122</w:t>
      </w:r>
    </w:p>
    <w:p w:rsidR="002002F4" w:rsidRDefault="002002F4" w:rsidP="002002F4">
      <w:pPr>
        <w:ind w:firstLine="0"/>
        <w:rPr>
          <w:noProof/>
        </w:rPr>
      </w:pPr>
      <w:r>
        <w:rPr>
          <w:noProof/>
          <w:rtl/>
        </w:rPr>
        <w:t>الإمام علي(ع): وأجمعوا</w:t>
      </w:r>
      <w:r>
        <w:rPr>
          <w:noProof/>
        </w:rPr>
        <w:t xml:space="preserve"> </w:t>
      </w:r>
      <w:r>
        <w:rPr>
          <w:noProof/>
          <w:rtl/>
        </w:rPr>
        <w:t>على</w:t>
      </w:r>
      <w:r>
        <w:rPr>
          <w:noProof/>
        </w:rPr>
        <w:t xml:space="preserve"> </w:t>
      </w:r>
      <w:r>
        <w:rPr>
          <w:noProof/>
          <w:rtl/>
        </w:rPr>
        <w:t>منازعتي</w:t>
      </w:r>
      <w:r>
        <w:rPr>
          <w:noProof/>
        </w:rPr>
        <w:t xml:space="preserve"> </w:t>
      </w:r>
      <w:r>
        <w:rPr>
          <w:noProof/>
          <w:rtl/>
        </w:rPr>
        <w:t>حقّاً</w:t>
      </w:r>
      <w:r>
        <w:rPr>
          <w:noProof/>
        </w:rPr>
        <w:t xml:space="preserve"> </w:t>
      </w:r>
      <w:r>
        <w:rPr>
          <w:noProof/>
          <w:rtl/>
        </w:rPr>
        <w:t>كنت</w:t>
      </w:r>
      <w:r>
        <w:rPr>
          <w:noProof/>
        </w:rPr>
        <w:t xml:space="preserve"> </w:t>
      </w:r>
      <w:r>
        <w:rPr>
          <w:noProof/>
          <w:rtl/>
        </w:rPr>
        <w:t>أولى</w:t>
      </w:r>
      <w:r>
        <w:rPr>
          <w:noProof/>
        </w:rPr>
        <w:t xml:space="preserve"> </w:t>
      </w:r>
      <w:r>
        <w:rPr>
          <w:noProof/>
          <w:rtl/>
        </w:rPr>
        <w:t>به</w:t>
      </w:r>
      <w:r>
        <w:rPr>
          <w:noProof/>
        </w:rPr>
        <w:t xml:space="preserve"> </w:t>
      </w:r>
      <w:r>
        <w:rPr>
          <w:noProof/>
          <w:rtl/>
        </w:rPr>
        <w:t>من</w:t>
      </w:r>
      <w:r>
        <w:rPr>
          <w:noProof/>
        </w:rPr>
        <w:t xml:space="preserve"> </w:t>
      </w:r>
      <w:r>
        <w:rPr>
          <w:noProof/>
          <w:rtl/>
        </w:rPr>
        <w:t>غيري،</w:t>
      </w:r>
      <w:r>
        <w:rPr>
          <w:noProof/>
        </w:rPr>
        <w:t xml:space="preserve"> 114</w:t>
      </w:r>
    </w:p>
    <w:p w:rsidR="002002F4" w:rsidRDefault="002002F4" w:rsidP="002002F4">
      <w:pPr>
        <w:ind w:firstLine="0"/>
        <w:rPr>
          <w:noProof/>
        </w:rPr>
      </w:pPr>
      <w:r>
        <w:rPr>
          <w:noProof/>
          <w:rtl/>
        </w:rPr>
        <w:t>الإمام علي(ع): وأعظم</w:t>
      </w:r>
      <w:r>
        <w:rPr>
          <w:noProof/>
        </w:rPr>
        <w:t xml:space="preserve"> </w:t>
      </w:r>
      <w:r>
        <w:rPr>
          <w:noProof/>
          <w:rtl/>
        </w:rPr>
        <w:t>ما</w:t>
      </w:r>
      <w:r>
        <w:rPr>
          <w:noProof/>
        </w:rPr>
        <w:t xml:space="preserve"> </w:t>
      </w:r>
      <w:r>
        <w:rPr>
          <w:noProof/>
          <w:rtl/>
        </w:rPr>
        <w:t>افترض</w:t>
      </w:r>
      <w:r>
        <w:rPr>
          <w:noProof/>
        </w:rPr>
        <w:t xml:space="preserve"> </w:t>
      </w:r>
      <w:r>
        <w:rPr>
          <w:noProof/>
          <w:rtl/>
        </w:rPr>
        <w:t>سبحانه</w:t>
      </w:r>
      <w:r>
        <w:rPr>
          <w:noProof/>
        </w:rPr>
        <w:t xml:space="preserve"> </w:t>
      </w:r>
      <w:r>
        <w:rPr>
          <w:noProof/>
          <w:rtl/>
        </w:rPr>
        <w:t>من</w:t>
      </w:r>
      <w:r>
        <w:rPr>
          <w:noProof/>
        </w:rPr>
        <w:t xml:space="preserve"> </w:t>
      </w:r>
      <w:r>
        <w:rPr>
          <w:noProof/>
          <w:rtl/>
        </w:rPr>
        <w:t>تلك</w:t>
      </w:r>
      <w:r>
        <w:rPr>
          <w:noProof/>
        </w:rPr>
        <w:t xml:space="preserve"> </w:t>
      </w:r>
      <w:r>
        <w:rPr>
          <w:noProof/>
          <w:rtl/>
        </w:rPr>
        <w:t>الحقوق</w:t>
      </w:r>
      <w:r>
        <w:rPr>
          <w:noProof/>
        </w:rPr>
        <w:t xml:space="preserve"> </w:t>
      </w:r>
      <w:r>
        <w:rPr>
          <w:noProof/>
          <w:rtl/>
        </w:rPr>
        <w:t>حقّ</w:t>
      </w:r>
      <w:r>
        <w:rPr>
          <w:noProof/>
        </w:rPr>
        <w:t xml:space="preserve"> </w:t>
      </w:r>
      <w:r>
        <w:rPr>
          <w:noProof/>
          <w:rtl/>
        </w:rPr>
        <w:t>الوالي</w:t>
      </w:r>
      <w:r>
        <w:rPr>
          <w:noProof/>
        </w:rPr>
        <w:t xml:space="preserve"> </w:t>
      </w:r>
      <w:r>
        <w:rPr>
          <w:noProof/>
          <w:rtl/>
        </w:rPr>
        <w:t>على</w:t>
      </w:r>
      <w:r>
        <w:rPr>
          <w:noProof/>
        </w:rPr>
        <w:t xml:space="preserve"> </w:t>
      </w:r>
      <w:r>
        <w:rPr>
          <w:noProof/>
          <w:rtl/>
        </w:rPr>
        <w:t>الرعية...،</w:t>
      </w:r>
      <w:r>
        <w:rPr>
          <w:noProof/>
        </w:rPr>
        <w:t xml:space="preserve"> 122</w:t>
      </w:r>
    </w:p>
    <w:p w:rsidR="002002F4" w:rsidRDefault="002002F4" w:rsidP="002002F4">
      <w:pPr>
        <w:ind w:firstLine="0"/>
        <w:rPr>
          <w:noProof/>
        </w:rPr>
      </w:pPr>
      <w:r>
        <w:rPr>
          <w:noProof/>
          <w:rtl/>
        </w:rPr>
        <w:t>الإمام علي(ع): وإن</w:t>
      </w:r>
      <w:r>
        <w:rPr>
          <w:noProof/>
        </w:rPr>
        <w:t xml:space="preserve"> </w:t>
      </w:r>
      <w:r>
        <w:rPr>
          <w:noProof/>
          <w:rtl/>
        </w:rPr>
        <w:t>من</w:t>
      </w:r>
      <w:r>
        <w:rPr>
          <w:noProof/>
        </w:rPr>
        <w:t xml:space="preserve"> </w:t>
      </w:r>
      <w:r>
        <w:rPr>
          <w:noProof/>
          <w:rtl/>
        </w:rPr>
        <w:t>أسخف</w:t>
      </w:r>
      <w:r>
        <w:rPr>
          <w:noProof/>
        </w:rPr>
        <w:t xml:space="preserve"> </w:t>
      </w:r>
      <w:r>
        <w:rPr>
          <w:noProof/>
          <w:rtl/>
        </w:rPr>
        <w:t>حالات</w:t>
      </w:r>
      <w:r>
        <w:rPr>
          <w:noProof/>
        </w:rPr>
        <w:t xml:space="preserve"> </w:t>
      </w:r>
      <w:r>
        <w:rPr>
          <w:noProof/>
          <w:rtl/>
        </w:rPr>
        <w:t>الولاة</w:t>
      </w:r>
      <w:r>
        <w:rPr>
          <w:noProof/>
        </w:rPr>
        <w:t xml:space="preserve"> </w:t>
      </w:r>
      <w:r>
        <w:rPr>
          <w:noProof/>
          <w:rtl/>
        </w:rPr>
        <w:t>عند</w:t>
      </w:r>
      <w:r>
        <w:rPr>
          <w:noProof/>
        </w:rPr>
        <w:t xml:space="preserve"> </w:t>
      </w:r>
      <w:r>
        <w:rPr>
          <w:noProof/>
          <w:rtl/>
        </w:rPr>
        <w:t>صالح</w:t>
      </w:r>
      <w:r>
        <w:rPr>
          <w:noProof/>
        </w:rPr>
        <w:t xml:space="preserve"> </w:t>
      </w:r>
      <w:r>
        <w:rPr>
          <w:noProof/>
          <w:rtl/>
        </w:rPr>
        <w:t>الناس...،</w:t>
      </w:r>
      <w:r>
        <w:rPr>
          <w:noProof/>
        </w:rPr>
        <w:t xml:space="preserve"> 122</w:t>
      </w:r>
    </w:p>
    <w:p w:rsidR="002002F4" w:rsidRDefault="002002F4" w:rsidP="002002F4">
      <w:pPr>
        <w:ind w:firstLine="0"/>
        <w:rPr>
          <w:noProof/>
        </w:rPr>
      </w:pPr>
      <w:r>
        <w:rPr>
          <w:noProof/>
          <w:rtl/>
        </w:rPr>
        <w:t>الإمام علي(ع): وأنتم</w:t>
      </w:r>
      <w:r>
        <w:rPr>
          <w:noProof/>
        </w:rPr>
        <w:t xml:space="preserve"> </w:t>
      </w:r>
      <w:r>
        <w:rPr>
          <w:noProof/>
          <w:rtl/>
        </w:rPr>
        <w:t>أعظم</w:t>
      </w:r>
      <w:r>
        <w:rPr>
          <w:noProof/>
        </w:rPr>
        <w:t xml:space="preserve"> </w:t>
      </w:r>
      <w:r>
        <w:rPr>
          <w:noProof/>
          <w:rtl/>
        </w:rPr>
        <w:t>الناس</w:t>
      </w:r>
      <w:r>
        <w:rPr>
          <w:noProof/>
        </w:rPr>
        <w:t xml:space="preserve"> </w:t>
      </w:r>
      <w:r>
        <w:rPr>
          <w:noProof/>
          <w:rtl/>
        </w:rPr>
        <w:t>مصيبة،</w:t>
      </w:r>
      <w:r>
        <w:rPr>
          <w:noProof/>
        </w:rPr>
        <w:t xml:space="preserve"> </w:t>
      </w:r>
      <w:r>
        <w:rPr>
          <w:noProof/>
          <w:rtl/>
        </w:rPr>
        <w:t>كما</w:t>
      </w:r>
      <w:r>
        <w:rPr>
          <w:noProof/>
        </w:rPr>
        <w:t xml:space="preserve"> </w:t>
      </w:r>
      <w:r>
        <w:rPr>
          <w:noProof/>
          <w:rtl/>
        </w:rPr>
        <w:t>غلبتم</w:t>
      </w:r>
      <w:r>
        <w:rPr>
          <w:noProof/>
        </w:rPr>
        <w:t xml:space="preserve"> </w:t>
      </w:r>
      <w:r>
        <w:rPr>
          <w:noProof/>
          <w:rtl/>
        </w:rPr>
        <w:t>عليه...،</w:t>
      </w:r>
      <w:r>
        <w:rPr>
          <w:noProof/>
        </w:rPr>
        <w:t xml:space="preserve"> 338</w:t>
      </w:r>
      <w:r>
        <w:rPr>
          <w:noProof/>
          <w:rtl/>
        </w:rPr>
        <w:t>،</w:t>
      </w:r>
      <w:r>
        <w:rPr>
          <w:noProof/>
        </w:rPr>
        <w:t xml:space="preserve"> 340</w:t>
      </w:r>
      <w:r>
        <w:rPr>
          <w:noProof/>
          <w:rtl/>
        </w:rPr>
        <w:t>،</w:t>
      </w:r>
      <w:r>
        <w:rPr>
          <w:noProof/>
        </w:rPr>
        <w:t xml:space="preserve"> 341</w:t>
      </w:r>
      <w:r>
        <w:rPr>
          <w:noProof/>
          <w:rtl/>
        </w:rPr>
        <w:t>،</w:t>
      </w:r>
      <w:r>
        <w:rPr>
          <w:noProof/>
        </w:rPr>
        <w:t xml:space="preserve"> 392</w:t>
      </w:r>
    </w:p>
    <w:p w:rsidR="002002F4" w:rsidRDefault="002002F4" w:rsidP="002002F4">
      <w:pPr>
        <w:ind w:firstLine="0"/>
        <w:rPr>
          <w:noProof/>
        </w:rPr>
      </w:pPr>
      <w:r>
        <w:rPr>
          <w:noProof/>
          <w:rtl/>
        </w:rPr>
        <w:t>الإمام علي(ع): يا</w:t>
      </w:r>
      <w:r>
        <w:rPr>
          <w:noProof/>
        </w:rPr>
        <w:t xml:space="preserve"> </w:t>
      </w:r>
      <w:r>
        <w:rPr>
          <w:noProof/>
          <w:rtl/>
        </w:rPr>
        <w:t>مالك</w:t>
      </w:r>
      <w:r>
        <w:rPr>
          <w:noProof/>
        </w:rPr>
        <w:t xml:space="preserve"> </w:t>
      </w:r>
      <w:r>
        <w:rPr>
          <w:noProof/>
          <w:rtl/>
        </w:rPr>
        <w:t>إنّ</w:t>
      </w:r>
      <w:r>
        <w:rPr>
          <w:noProof/>
        </w:rPr>
        <w:t xml:space="preserve"> </w:t>
      </w:r>
      <w:r>
        <w:rPr>
          <w:noProof/>
          <w:rtl/>
        </w:rPr>
        <w:t>الناس</w:t>
      </w:r>
      <w:r>
        <w:rPr>
          <w:noProof/>
        </w:rPr>
        <w:t xml:space="preserve"> </w:t>
      </w:r>
      <w:r>
        <w:rPr>
          <w:noProof/>
          <w:rtl/>
        </w:rPr>
        <w:t>ينظرون</w:t>
      </w:r>
      <w:r>
        <w:rPr>
          <w:noProof/>
        </w:rPr>
        <w:t xml:space="preserve"> </w:t>
      </w:r>
      <w:r>
        <w:rPr>
          <w:noProof/>
          <w:rtl/>
        </w:rPr>
        <w:t>من</w:t>
      </w:r>
      <w:r>
        <w:rPr>
          <w:noProof/>
        </w:rPr>
        <w:t xml:space="preserve"> </w:t>
      </w:r>
      <w:r>
        <w:rPr>
          <w:noProof/>
          <w:rtl/>
        </w:rPr>
        <w:t>أمورك</w:t>
      </w:r>
      <w:r>
        <w:rPr>
          <w:noProof/>
        </w:rPr>
        <w:t xml:space="preserve"> </w:t>
      </w:r>
      <w:r>
        <w:rPr>
          <w:noProof/>
          <w:rtl/>
        </w:rPr>
        <w:t>في</w:t>
      </w:r>
      <w:r>
        <w:rPr>
          <w:noProof/>
        </w:rPr>
        <w:t xml:space="preserve"> </w:t>
      </w:r>
      <w:r>
        <w:rPr>
          <w:noProof/>
          <w:rtl/>
        </w:rPr>
        <w:t>مثل</w:t>
      </w:r>
      <w:r>
        <w:rPr>
          <w:noProof/>
        </w:rPr>
        <w:t xml:space="preserve"> </w:t>
      </w:r>
      <w:r>
        <w:rPr>
          <w:noProof/>
          <w:rtl/>
        </w:rPr>
        <w:t>ما</w:t>
      </w:r>
      <w:r>
        <w:rPr>
          <w:noProof/>
        </w:rPr>
        <w:t xml:space="preserve"> </w:t>
      </w:r>
      <w:r>
        <w:rPr>
          <w:noProof/>
          <w:rtl/>
        </w:rPr>
        <w:t>كنت...،</w:t>
      </w:r>
      <w:r>
        <w:rPr>
          <w:noProof/>
        </w:rPr>
        <w:t xml:space="preserve"> 121</w:t>
      </w:r>
    </w:p>
    <w:p w:rsidR="002002F4" w:rsidRDefault="002002F4" w:rsidP="002002F4">
      <w:pPr>
        <w:ind w:firstLine="0"/>
        <w:rPr>
          <w:noProof/>
        </w:rPr>
      </w:pPr>
      <w:r>
        <w:rPr>
          <w:noProof/>
          <w:rtl/>
        </w:rPr>
        <w:t>الإمام</w:t>
      </w:r>
      <w:r>
        <w:rPr>
          <w:noProof/>
        </w:rPr>
        <w:t xml:space="preserve"> </w:t>
      </w:r>
      <w:r>
        <w:rPr>
          <w:noProof/>
          <w:rtl/>
        </w:rPr>
        <w:t>الحسين(ع): وأنتم</w:t>
      </w:r>
      <w:r>
        <w:rPr>
          <w:noProof/>
        </w:rPr>
        <w:t xml:space="preserve"> </w:t>
      </w:r>
      <w:r>
        <w:rPr>
          <w:noProof/>
          <w:rtl/>
        </w:rPr>
        <w:t>أعظم</w:t>
      </w:r>
      <w:r>
        <w:rPr>
          <w:noProof/>
        </w:rPr>
        <w:t xml:space="preserve"> </w:t>
      </w:r>
      <w:r>
        <w:rPr>
          <w:noProof/>
          <w:rtl/>
        </w:rPr>
        <w:t>الناس</w:t>
      </w:r>
      <w:r>
        <w:rPr>
          <w:noProof/>
        </w:rPr>
        <w:t xml:space="preserve"> </w:t>
      </w:r>
      <w:r>
        <w:rPr>
          <w:noProof/>
          <w:rtl/>
        </w:rPr>
        <w:t>مصيبة،</w:t>
      </w:r>
      <w:r>
        <w:rPr>
          <w:noProof/>
        </w:rPr>
        <w:t xml:space="preserve"> </w:t>
      </w:r>
      <w:r>
        <w:rPr>
          <w:noProof/>
          <w:rtl/>
        </w:rPr>
        <w:t>كما</w:t>
      </w:r>
      <w:r>
        <w:rPr>
          <w:noProof/>
        </w:rPr>
        <w:t xml:space="preserve"> </w:t>
      </w:r>
      <w:r>
        <w:rPr>
          <w:noProof/>
          <w:rtl/>
        </w:rPr>
        <w:t>غلبتم</w:t>
      </w:r>
      <w:r>
        <w:rPr>
          <w:noProof/>
        </w:rPr>
        <w:t xml:space="preserve"> </w:t>
      </w:r>
      <w:r>
        <w:rPr>
          <w:noProof/>
          <w:rtl/>
        </w:rPr>
        <w:t>عليه...،</w:t>
      </w:r>
      <w:r>
        <w:rPr>
          <w:noProof/>
        </w:rPr>
        <w:t xml:space="preserve"> 337</w:t>
      </w:r>
      <w:r>
        <w:rPr>
          <w:noProof/>
          <w:rtl/>
        </w:rPr>
        <w:t>،</w:t>
      </w:r>
      <w:r>
        <w:rPr>
          <w:noProof/>
        </w:rPr>
        <w:t xml:space="preserve"> 338</w:t>
      </w:r>
    </w:p>
    <w:p w:rsidR="002002F4" w:rsidRDefault="002002F4" w:rsidP="002002F4">
      <w:pPr>
        <w:ind w:firstLine="0"/>
        <w:rPr>
          <w:noProof/>
        </w:rPr>
      </w:pPr>
      <w:r>
        <w:rPr>
          <w:noProof/>
          <w:rtl/>
        </w:rPr>
        <w:t>الإمام علي بن الحسين(ع): اللهمّ</w:t>
      </w:r>
      <w:r>
        <w:rPr>
          <w:noProof/>
        </w:rPr>
        <w:t xml:space="preserve"> </w:t>
      </w:r>
      <w:r>
        <w:rPr>
          <w:noProof/>
          <w:rtl/>
        </w:rPr>
        <w:t>لا</w:t>
      </w:r>
      <w:r>
        <w:rPr>
          <w:noProof/>
        </w:rPr>
        <w:t xml:space="preserve"> </w:t>
      </w:r>
      <w:r>
        <w:rPr>
          <w:noProof/>
          <w:rtl/>
        </w:rPr>
        <w:t>تسلبني</w:t>
      </w:r>
      <w:r>
        <w:rPr>
          <w:noProof/>
        </w:rPr>
        <w:t xml:space="preserve"> </w:t>
      </w:r>
      <w:r>
        <w:rPr>
          <w:noProof/>
          <w:rtl/>
        </w:rPr>
        <w:t>ما</w:t>
      </w:r>
      <w:r>
        <w:rPr>
          <w:noProof/>
        </w:rPr>
        <w:t xml:space="preserve"> </w:t>
      </w:r>
      <w:r>
        <w:rPr>
          <w:noProof/>
          <w:rtl/>
        </w:rPr>
        <w:t>أنعمت</w:t>
      </w:r>
      <w:r>
        <w:rPr>
          <w:noProof/>
        </w:rPr>
        <w:t xml:space="preserve"> </w:t>
      </w:r>
      <w:r>
        <w:rPr>
          <w:noProof/>
          <w:rtl/>
        </w:rPr>
        <w:t>به</w:t>
      </w:r>
      <w:r>
        <w:rPr>
          <w:noProof/>
        </w:rPr>
        <w:t xml:space="preserve"> </w:t>
      </w:r>
      <w:r>
        <w:rPr>
          <w:noProof/>
          <w:rtl/>
        </w:rPr>
        <w:t>عليّ</w:t>
      </w:r>
      <w:r>
        <w:rPr>
          <w:noProof/>
        </w:rPr>
        <w:t xml:space="preserve"> </w:t>
      </w:r>
      <w:r>
        <w:rPr>
          <w:noProof/>
          <w:rtl/>
        </w:rPr>
        <w:t xml:space="preserve"> من</w:t>
      </w:r>
      <w:r>
        <w:rPr>
          <w:noProof/>
        </w:rPr>
        <w:t xml:space="preserve"> </w:t>
      </w:r>
      <w:r>
        <w:rPr>
          <w:noProof/>
          <w:rtl/>
        </w:rPr>
        <w:t>ولايتك،</w:t>
      </w:r>
      <w:r>
        <w:rPr>
          <w:noProof/>
        </w:rPr>
        <w:t xml:space="preserve"> 112</w:t>
      </w:r>
    </w:p>
    <w:p w:rsidR="002002F4" w:rsidRDefault="002002F4" w:rsidP="002002F4">
      <w:pPr>
        <w:ind w:firstLine="0"/>
        <w:rPr>
          <w:noProof/>
        </w:rPr>
      </w:pPr>
      <w:r>
        <w:rPr>
          <w:noProof/>
          <w:rtl/>
        </w:rPr>
        <w:t>الإمام الباقر(ع): إيّانا</w:t>
      </w:r>
      <w:r>
        <w:rPr>
          <w:noProof/>
        </w:rPr>
        <w:t xml:space="preserve"> </w:t>
      </w:r>
      <w:r>
        <w:rPr>
          <w:noProof/>
          <w:rtl/>
        </w:rPr>
        <w:t>عنى</w:t>
      </w:r>
      <w:r>
        <w:rPr>
          <w:noProof/>
        </w:rPr>
        <w:t xml:space="preserve"> </w:t>
      </w:r>
      <w:r>
        <w:rPr>
          <w:noProof/>
          <w:rtl/>
        </w:rPr>
        <w:t>خاصّةً،</w:t>
      </w:r>
      <w:r>
        <w:rPr>
          <w:noProof/>
        </w:rPr>
        <w:t xml:space="preserve"> </w:t>
      </w:r>
      <w:r>
        <w:rPr>
          <w:noProof/>
          <w:rtl/>
        </w:rPr>
        <w:t>أمر</w:t>
      </w:r>
      <w:r>
        <w:rPr>
          <w:noProof/>
        </w:rPr>
        <w:t xml:space="preserve"> </w:t>
      </w:r>
      <w:r>
        <w:rPr>
          <w:noProof/>
          <w:rtl/>
        </w:rPr>
        <w:t>جميع</w:t>
      </w:r>
      <w:r>
        <w:rPr>
          <w:noProof/>
        </w:rPr>
        <w:t xml:space="preserve"> </w:t>
      </w:r>
      <w:r>
        <w:rPr>
          <w:noProof/>
          <w:rtl/>
        </w:rPr>
        <w:t>المؤمنين</w:t>
      </w:r>
      <w:r>
        <w:rPr>
          <w:noProof/>
        </w:rPr>
        <w:t xml:space="preserve"> </w:t>
      </w:r>
      <w:r>
        <w:rPr>
          <w:noProof/>
          <w:rtl/>
        </w:rPr>
        <w:t>إلى</w:t>
      </w:r>
      <w:r>
        <w:rPr>
          <w:noProof/>
        </w:rPr>
        <w:t xml:space="preserve"> </w:t>
      </w:r>
      <w:r>
        <w:rPr>
          <w:noProof/>
          <w:rtl/>
        </w:rPr>
        <w:t>يوم</w:t>
      </w:r>
      <w:r>
        <w:rPr>
          <w:noProof/>
        </w:rPr>
        <w:t xml:space="preserve"> </w:t>
      </w:r>
      <w:r>
        <w:rPr>
          <w:noProof/>
          <w:rtl/>
        </w:rPr>
        <w:t>القيامة</w:t>
      </w:r>
      <w:r>
        <w:rPr>
          <w:noProof/>
        </w:rPr>
        <w:t xml:space="preserve"> </w:t>
      </w:r>
      <w:r>
        <w:rPr>
          <w:noProof/>
          <w:rtl/>
        </w:rPr>
        <w:t>بطاعتنا،</w:t>
      </w:r>
      <w:r>
        <w:rPr>
          <w:noProof/>
        </w:rPr>
        <w:t xml:space="preserve"> 401</w:t>
      </w:r>
    </w:p>
    <w:p w:rsidR="002002F4" w:rsidRDefault="002002F4" w:rsidP="002002F4">
      <w:pPr>
        <w:ind w:firstLine="0"/>
        <w:rPr>
          <w:noProof/>
        </w:rPr>
      </w:pPr>
      <w:r>
        <w:rPr>
          <w:noProof/>
          <w:rtl/>
        </w:rPr>
        <w:t>الإمام الباقر(ع): بني الإسلام علي</w:t>
      </w:r>
      <w:r>
        <w:rPr>
          <w:noProof/>
        </w:rPr>
        <w:t xml:space="preserve"> </w:t>
      </w:r>
      <w:r>
        <w:rPr>
          <w:noProof/>
          <w:rtl/>
        </w:rPr>
        <w:t>خمس...</w:t>
      </w:r>
      <w:r>
        <w:rPr>
          <w:noProof/>
        </w:rPr>
        <w:t xml:space="preserve"> </w:t>
      </w:r>
      <w:r>
        <w:rPr>
          <w:noProof/>
          <w:rtl/>
        </w:rPr>
        <w:t>ولم</w:t>
      </w:r>
      <w:r>
        <w:rPr>
          <w:noProof/>
        </w:rPr>
        <w:t xml:space="preserve"> </w:t>
      </w:r>
      <w:r>
        <w:rPr>
          <w:noProof/>
          <w:rtl/>
        </w:rPr>
        <w:t>ينادَ</w:t>
      </w:r>
      <w:r>
        <w:rPr>
          <w:noProof/>
        </w:rPr>
        <w:t xml:space="preserve"> </w:t>
      </w:r>
      <w:r>
        <w:rPr>
          <w:noProof/>
          <w:rtl/>
        </w:rPr>
        <w:t>بشيءٍ</w:t>
      </w:r>
      <w:r>
        <w:rPr>
          <w:noProof/>
        </w:rPr>
        <w:t xml:space="preserve"> </w:t>
      </w:r>
      <w:r>
        <w:rPr>
          <w:noProof/>
          <w:rtl/>
        </w:rPr>
        <w:t>كما</w:t>
      </w:r>
      <w:r>
        <w:rPr>
          <w:noProof/>
        </w:rPr>
        <w:t xml:space="preserve"> </w:t>
      </w:r>
      <w:r>
        <w:rPr>
          <w:noProof/>
          <w:rtl/>
        </w:rPr>
        <w:t>نودي</w:t>
      </w:r>
      <w:r>
        <w:rPr>
          <w:noProof/>
        </w:rPr>
        <w:t xml:space="preserve"> </w:t>
      </w:r>
      <w:r>
        <w:rPr>
          <w:noProof/>
          <w:rtl/>
        </w:rPr>
        <w:t>بالولاية،</w:t>
      </w:r>
      <w:r>
        <w:rPr>
          <w:noProof/>
        </w:rPr>
        <w:t xml:space="preserve"> 107</w:t>
      </w:r>
      <w:r>
        <w:rPr>
          <w:noProof/>
          <w:rtl/>
        </w:rPr>
        <w:t xml:space="preserve">، </w:t>
      </w:r>
      <w:r>
        <w:rPr>
          <w:noProof/>
        </w:rPr>
        <w:t>114</w:t>
      </w:r>
    </w:p>
    <w:p w:rsidR="002002F4" w:rsidRDefault="002002F4" w:rsidP="002002F4">
      <w:pPr>
        <w:ind w:firstLine="0"/>
        <w:rPr>
          <w:noProof/>
          <w:rtl/>
        </w:rPr>
      </w:pPr>
      <w:r>
        <w:rPr>
          <w:noProof/>
          <w:rtl/>
        </w:rPr>
        <w:t>الإمام الباقر(ع): وما</w:t>
      </w:r>
      <w:r>
        <w:rPr>
          <w:noProof/>
        </w:rPr>
        <w:t xml:space="preserve"> </w:t>
      </w:r>
      <w:r>
        <w:rPr>
          <w:noProof/>
          <w:rtl/>
        </w:rPr>
        <w:t>يتقرَّب</w:t>
      </w:r>
      <w:r>
        <w:rPr>
          <w:noProof/>
        </w:rPr>
        <w:t xml:space="preserve"> </w:t>
      </w:r>
      <w:r>
        <w:rPr>
          <w:noProof/>
          <w:rtl/>
        </w:rPr>
        <w:t>إليَّ</w:t>
      </w:r>
      <w:r>
        <w:rPr>
          <w:noProof/>
        </w:rPr>
        <w:t xml:space="preserve"> </w:t>
      </w:r>
      <w:r>
        <w:rPr>
          <w:noProof/>
          <w:rtl/>
        </w:rPr>
        <w:t>عبد</w:t>
      </w:r>
      <w:r>
        <w:rPr>
          <w:noProof/>
        </w:rPr>
        <w:t xml:space="preserve"> </w:t>
      </w:r>
      <w:r>
        <w:rPr>
          <w:noProof/>
          <w:rtl/>
        </w:rPr>
        <w:t>من</w:t>
      </w:r>
      <w:r>
        <w:rPr>
          <w:noProof/>
        </w:rPr>
        <w:t xml:space="preserve"> </w:t>
      </w:r>
      <w:r>
        <w:rPr>
          <w:noProof/>
          <w:rtl/>
        </w:rPr>
        <w:t>عبادي</w:t>
      </w:r>
      <w:r>
        <w:rPr>
          <w:noProof/>
        </w:rPr>
        <w:t xml:space="preserve"> </w:t>
      </w:r>
      <w:r>
        <w:rPr>
          <w:noProof/>
          <w:rtl/>
        </w:rPr>
        <w:t>بشيء</w:t>
      </w:r>
      <w:r>
        <w:rPr>
          <w:noProof/>
        </w:rPr>
        <w:t xml:space="preserve"> </w:t>
      </w:r>
      <w:r>
        <w:rPr>
          <w:noProof/>
          <w:rtl/>
        </w:rPr>
        <w:t>أحبّ</w:t>
      </w:r>
      <w:r>
        <w:rPr>
          <w:noProof/>
        </w:rPr>
        <w:t xml:space="preserve"> </w:t>
      </w:r>
      <w:r>
        <w:rPr>
          <w:noProof/>
          <w:rtl/>
        </w:rPr>
        <w:t>إليّ....،</w:t>
      </w:r>
      <w:r>
        <w:rPr>
          <w:noProof/>
        </w:rPr>
        <w:t xml:space="preserve"> 48</w:t>
      </w:r>
    </w:p>
    <w:p w:rsidR="002002F4" w:rsidRDefault="002002F4" w:rsidP="002002F4">
      <w:pPr>
        <w:ind w:firstLine="0"/>
        <w:rPr>
          <w:noProof/>
        </w:rPr>
      </w:pPr>
      <w:r>
        <w:rPr>
          <w:noProof/>
          <w:rtl/>
        </w:rPr>
        <w:t>الإمام الباقر(ع):...</w:t>
      </w:r>
      <w:r>
        <w:rPr>
          <w:noProof/>
        </w:rPr>
        <w:t xml:space="preserve"> </w:t>
      </w:r>
      <w:r>
        <w:rPr>
          <w:noProof/>
          <w:rtl/>
        </w:rPr>
        <w:t>الولاية</w:t>
      </w:r>
      <w:r>
        <w:rPr>
          <w:noProof/>
        </w:rPr>
        <w:t xml:space="preserve"> </w:t>
      </w:r>
      <w:r>
        <w:rPr>
          <w:noProof/>
          <w:rtl/>
        </w:rPr>
        <w:t>أفضل؛</w:t>
      </w:r>
      <w:r>
        <w:rPr>
          <w:noProof/>
        </w:rPr>
        <w:t xml:space="preserve"> </w:t>
      </w:r>
      <w:r>
        <w:rPr>
          <w:noProof/>
          <w:rtl/>
        </w:rPr>
        <w:t>لأنها</w:t>
      </w:r>
      <w:r>
        <w:rPr>
          <w:noProof/>
        </w:rPr>
        <w:t xml:space="preserve"> </w:t>
      </w:r>
      <w:r>
        <w:rPr>
          <w:noProof/>
          <w:rtl/>
        </w:rPr>
        <w:t>مفتاحهنّ...،</w:t>
      </w:r>
      <w:r>
        <w:rPr>
          <w:noProof/>
        </w:rPr>
        <w:t xml:space="preserve"> 114</w:t>
      </w:r>
    </w:p>
    <w:p w:rsidR="002002F4" w:rsidRDefault="002002F4" w:rsidP="002002F4">
      <w:pPr>
        <w:ind w:firstLine="0"/>
        <w:rPr>
          <w:noProof/>
        </w:rPr>
      </w:pPr>
      <w:r>
        <w:rPr>
          <w:noProof/>
          <w:rtl/>
        </w:rPr>
        <w:t>الإمام الباقر(ع): والولاية</w:t>
      </w:r>
      <w:r>
        <w:rPr>
          <w:noProof/>
        </w:rPr>
        <w:t xml:space="preserve"> </w:t>
      </w:r>
      <w:r>
        <w:rPr>
          <w:noProof/>
          <w:rtl/>
        </w:rPr>
        <w:t>التي</w:t>
      </w:r>
      <w:r>
        <w:rPr>
          <w:noProof/>
        </w:rPr>
        <w:t xml:space="preserve"> </w:t>
      </w:r>
      <w:r>
        <w:rPr>
          <w:noProof/>
          <w:rtl/>
        </w:rPr>
        <w:t>أمر</w:t>
      </w:r>
      <w:r>
        <w:rPr>
          <w:noProof/>
        </w:rPr>
        <w:t xml:space="preserve"> </w:t>
      </w:r>
      <w:r>
        <w:rPr>
          <w:noProof/>
          <w:rtl/>
        </w:rPr>
        <w:t>الله</w:t>
      </w:r>
      <w:r>
        <w:rPr>
          <w:noProof/>
        </w:rPr>
        <w:t xml:space="preserve"> </w:t>
      </w:r>
      <w:r>
        <w:rPr>
          <w:noProof/>
          <w:rtl/>
        </w:rPr>
        <w:t>بها</w:t>
      </w:r>
      <w:r>
        <w:rPr>
          <w:noProof/>
        </w:rPr>
        <w:t xml:space="preserve"> </w:t>
      </w:r>
      <w:r>
        <w:rPr>
          <w:noProof/>
          <w:rtl/>
        </w:rPr>
        <w:t>ولاية</w:t>
      </w:r>
      <w:r>
        <w:rPr>
          <w:noProof/>
        </w:rPr>
        <w:t xml:space="preserve"> </w:t>
      </w:r>
      <w:r>
        <w:rPr>
          <w:noProof/>
          <w:rtl/>
        </w:rPr>
        <w:t>آل</w:t>
      </w:r>
      <w:r>
        <w:rPr>
          <w:noProof/>
        </w:rPr>
        <w:t xml:space="preserve"> </w:t>
      </w:r>
      <w:r>
        <w:rPr>
          <w:noProof/>
          <w:rtl/>
        </w:rPr>
        <w:t>محمّد،</w:t>
      </w:r>
      <w:r>
        <w:rPr>
          <w:noProof/>
        </w:rPr>
        <w:t xml:space="preserve"> 115</w:t>
      </w:r>
    </w:p>
    <w:p w:rsidR="002002F4" w:rsidRDefault="002002F4" w:rsidP="002002F4">
      <w:pPr>
        <w:ind w:firstLine="0"/>
        <w:rPr>
          <w:noProof/>
        </w:rPr>
      </w:pPr>
      <w:r>
        <w:rPr>
          <w:noProof/>
          <w:rtl/>
        </w:rPr>
        <w:t>الإمام الباقر أو الإمام الصادق(ع): أنّ</w:t>
      </w:r>
      <w:r>
        <w:rPr>
          <w:noProof/>
        </w:rPr>
        <w:t xml:space="preserve"> </w:t>
      </w:r>
      <w:r>
        <w:rPr>
          <w:noProof/>
          <w:rtl/>
        </w:rPr>
        <w:t>أولي</w:t>
      </w:r>
      <w:r>
        <w:rPr>
          <w:noProof/>
        </w:rPr>
        <w:t xml:space="preserve"> </w:t>
      </w:r>
      <w:r>
        <w:rPr>
          <w:noProof/>
          <w:rtl/>
        </w:rPr>
        <w:t>الأمر</w:t>
      </w:r>
      <w:r>
        <w:rPr>
          <w:noProof/>
        </w:rPr>
        <w:t xml:space="preserve"> </w:t>
      </w:r>
      <w:r>
        <w:rPr>
          <w:noProof/>
          <w:rtl/>
        </w:rPr>
        <w:t>هم</w:t>
      </w:r>
      <w:r>
        <w:rPr>
          <w:noProof/>
        </w:rPr>
        <w:t xml:space="preserve"> </w:t>
      </w:r>
      <w:r>
        <w:rPr>
          <w:noProof/>
          <w:rtl/>
        </w:rPr>
        <w:t>الأئمة</w:t>
      </w:r>
      <w:r>
        <w:rPr>
          <w:noProof/>
        </w:rPr>
        <w:t xml:space="preserve">  </w:t>
      </w:r>
      <w:r>
        <w:rPr>
          <w:noProof/>
          <w:rtl/>
        </w:rPr>
        <w:t>من</w:t>
      </w:r>
      <w:r>
        <w:rPr>
          <w:noProof/>
        </w:rPr>
        <w:t xml:space="preserve"> </w:t>
      </w:r>
      <w:r>
        <w:rPr>
          <w:noProof/>
          <w:rtl/>
        </w:rPr>
        <w:t>آل</w:t>
      </w:r>
      <w:r>
        <w:rPr>
          <w:noProof/>
        </w:rPr>
        <w:t xml:space="preserve"> </w:t>
      </w:r>
      <w:r>
        <w:rPr>
          <w:noProof/>
          <w:rtl/>
        </w:rPr>
        <w:t>محمّد(ع):</w:t>
      </w:r>
      <w:r>
        <w:rPr>
          <w:noProof/>
        </w:rPr>
        <w:t xml:space="preserve"> </w:t>
      </w:r>
      <w:r>
        <w:rPr>
          <w:noProof/>
          <w:rtl/>
        </w:rPr>
        <w:t>أوجب</w:t>
      </w:r>
      <w:r>
        <w:rPr>
          <w:noProof/>
        </w:rPr>
        <w:t xml:space="preserve"> </w:t>
      </w:r>
      <w:r>
        <w:rPr>
          <w:noProof/>
          <w:rtl/>
        </w:rPr>
        <w:t>الله</w:t>
      </w:r>
      <w:r>
        <w:rPr>
          <w:noProof/>
        </w:rPr>
        <w:t xml:space="preserve"> </w:t>
      </w:r>
      <w:r>
        <w:rPr>
          <w:noProof/>
          <w:rtl/>
        </w:rPr>
        <w:t>طاعتهم،</w:t>
      </w:r>
      <w:r>
        <w:rPr>
          <w:noProof/>
        </w:rPr>
        <w:t xml:space="preserve"> 400</w:t>
      </w:r>
    </w:p>
    <w:p w:rsidR="002002F4" w:rsidRDefault="002002F4" w:rsidP="002002F4">
      <w:pPr>
        <w:ind w:firstLine="0"/>
        <w:rPr>
          <w:noProof/>
          <w:rtl/>
        </w:rPr>
      </w:pPr>
      <w:r>
        <w:rPr>
          <w:noProof/>
          <w:rtl/>
        </w:rPr>
        <w:t>الإمام الصادق(ع): اجعلوا</w:t>
      </w:r>
      <w:r>
        <w:rPr>
          <w:noProof/>
        </w:rPr>
        <w:t xml:space="preserve"> </w:t>
      </w:r>
      <w:r>
        <w:rPr>
          <w:noProof/>
          <w:rtl/>
        </w:rPr>
        <w:t>بينكم</w:t>
      </w:r>
      <w:r>
        <w:rPr>
          <w:noProof/>
        </w:rPr>
        <w:t xml:space="preserve"> </w:t>
      </w:r>
      <w:r>
        <w:rPr>
          <w:noProof/>
          <w:rtl/>
        </w:rPr>
        <w:t>رجلاً</w:t>
      </w:r>
      <w:r>
        <w:rPr>
          <w:noProof/>
        </w:rPr>
        <w:t xml:space="preserve"> </w:t>
      </w:r>
      <w:r>
        <w:rPr>
          <w:noProof/>
          <w:rtl/>
        </w:rPr>
        <w:t>ممَّن</w:t>
      </w:r>
      <w:r>
        <w:rPr>
          <w:noProof/>
        </w:rPr>
        <w:t xml:space="preserve"> </w:t>
      </w:r>
      <w:r>
        <w:rPr>
          <w:noProof/>
          <w:rtl/>
        </w:rPr>
        <w:t>قد</w:t>
      </w:r>
      <w:r>
        <w:rPr>
          <w:noProof/>
        </w:rPr>
        <w:t xml:space="preserve"> </w:t>
      </w:r>
      <w:r>
        <w:rPr>
          <w:noProof/>
          <w:rtl/>
        </w:rPr>
        <w:t>عرف</w:t>
      </w:r>
      <w:r>
        <w:rPr>
          <w:noProof/>
        </w:rPr>
        <w:t xml:space="preserve"> </w:t>
      </w:r>
      <w:r>
        <w:rPr>
          <w:noProof/>
          <w:rtl/>
        </w:rPr>
        <w:t>حلالنا</w:t>
      </w:r>
      <w:r>
        <w:rPr>
          <w:noProof/>
        </w:rPr>
        <w:t xml:space="preserve"> </w:t>
      </w:r>
      <w:r>
        <w:rPr>
          <w:noProof/>
          <w:rtl/>
        </w:rPr>
        <w:t>وحرامنا...،</w:t>
      </w:r>
      <w:r>
        <w:rPr>
          <w:noProof/>
        </w:rPr>
        <w:t xml:space="preserve"> 120</w:t>
      </w:r>
    </w:p>
    <w:p w:rsidR="002002F4" w:rsidRDefault="002002F4" w:rsidP="002002F4">
      <w:pPr>
        <w:ind w:firstLine="0"/>
        <w:rPr>
          <w:noProof/>
        </w:rPr>
      </w:pPr>
      <w:r>
        <w:rPr>
          <w:noProof/>
          <w:rtl/>
        </w:rPr>
        <w:t>الإمام الصادق(ع): اللهم</w:t>
      </w:r>
      <w:r>
        <w:rPr>
          <w:noProof/>
        </w:rPr>
        <w:t xml:space="preserve"> </w:t>
      </w:r>
      <w:r>
        <w:rPr>
          <w:noProof/>
          <w:rtl/>
        </w:rPr>
        <w:t>إني</w:t>
      </w:r>
      <w:r>
        <w:rPr>
          <w:noProof/>
        </w:rPr>
        <w:t xml:space="preserve"> </w:t>
      </w:r>
      <w:r>
        <w:rPr>
          <w:noProof/>
          <w:rtl/>
        </w:rPr>
        <w:t>أدينك</w:t>
      </w:r>
      <w:r>
        <w:rPr>
          <w:noProof/>
        </w:rPr>
        <w:t xml:space="preserve"> </w:t>
      </w:r>
      <w:r>
        <w:rPr>
          <w:noProof/>
          <w:rtl/>
        </w:rPr>
        <w:t>بطاعتك</w:t>
      </w:r>
      <w:r>
        <w:rPr>
          <w:noProof/>
        </w:rPr>
        <w:t xml:space="preserve"> </w:t>
      </w:r>
      <w:r>
        <w:rPr>
          <w:noProof/>
          <w:rtl/>
        </w:rPr>
        <w:t>وولايتك،</w:t>
      </w:r>
      <w:r>
        <w:rPr>
          <w:noProof/>
        </w:rPr>
        <w:t xml:space="preserve"> 112</w:t>
      </w:r>
    </w:p>
    <w:p w:rsidR="002002F4" w:rsidRDefault="002002F4" w:rsidP="002002F4">
      <w:pPr>
        <w:ind w:firstLine="0"/>
        <w:rPr>
          <w:noProof/>
        </w:rPr>
      </w:pPr>
      <w:r>
        <w:rPr>
          <w:noProof/>
          <w:rtl/>
        </w:rPr>
        <w:t>الإمام الصادق(ع): إنّ</w:t>
      </w:r>
      <w:r>
        <w:rPr>
          <w:noProof/>
        </w:rPr>
        <w:t xml:space="preserve"> </w:t>
      </w:r>
      <w:r>
        <w:rPr>
          <w:noProof/>
          <w:rtl/>
        </w:rPr>
        <w:t>العلماء</w:t>
      </w:r>
      <w:r>
        <w:rPr>
          <w:noProof/>
        </w:rPr>
        <w:t xml:space="preserve"> </w:t>
      </w:r>
      <w:r>
        <w:rPr>
          <w:noProof/>
          <w:rtl/>
        </w:rPr>
        <w:t>ورثة</w:t>
      </w:r>
      <w:r>
        <w:rPr>
          <w:noProof/>
        </w:rPr>
        <w:t xml:space="preserve"> </w:t>
      </w:r>
      <w:r>
        <w:rPr>
          <w:noProof/>
          <w:rtl/>
        </w:rPr>
        <w:t>الأنبياء،</w:t>
      </w:r>
      <w:r>
        <w:rPr>
          <w:noProof/>
        </w:rPr>
        <w:t xml:space="preserve"> 319</w:t>
      </w:r>
    </w:p>
    <w:p w:rsidR="002002F4" w:rsidRDefault="002002F4" w:rsidP="002002F4">
      <w:pPr>
        <w:ind w:firstLine="0"/>
        <w:rPr>
          <w:noProof/>
        </w:rPr>
      </w:pPr>
      <w:r>
        <w:rPr>
          <w:noProof/>
          <w:rtl/>
        </w:rPr>
        <w:t>الإمام الصادق(ع): ...</w:t>
      </w:r>
      <w:r>
        <w:rPr>
          <w:noProof/>
        </w:rPr>
        <w:t xml:space="preserve"> </w:t>
      </w:r>
      <w:r>
        <w:rPr>
          <w:noProof/>
          <w:rtl/>
        </w:rPr>
        <w:t>إنّي</w:t>
      </w:r>
      <w:r>
        <w:rPr>
          <w:noProof/>
        </w:rPr>
        <w:t xml:space="preserve"> </w:t>
      </w:r>
      <w:r>
        <w:rPr>
          <w:noProof/>
          <w:rtl/>
        </w:rPr>
        <w:t>قد</w:t>
      </w:r>
      <w:r>
        <w:rPr>
          <w:noProof/>
        </w:rPr>
        <w:t xml:space="preserve"> </w:t>
      </w:r>
      <w:r>
        <w:rPr>
          <w:noProof/>
          <w:rtl/>
        </w:rPr>
        <w:t>جعلته</w:t>
      </w:r>
      <w:r>
        <w:rPr>
          <w:noProof/>
        </w:rPr>
        <w:t xml:space="preserve"> </w:t>
      </w:r>
      <w:r>
        <w:rPr>
          <w:noProof/>
          <w:rtl/>
        </w:rPr>
        <w:t>عليكم</w:t>
      </w:r>
      <w:r>
        <w:rPr>
          <w:noProof/>
        </w:rPr>
        <w:t xml:space="preserve"> </w:t>
      </w:r>
      <w:r>
        <w:rPr>
          <w:noProof/>
          <w:rtl/>
        </w:rPr>
        <w:t>حاكماً،</w:t>
      </w:r>
      <w:r>
        <w:rPr>
          <w:noProof/>
        </w:rPr>
        <w:t>350</w:t>
      </w:r>
      <w:r>
        <w:rPr>
          <w:noProof/>
          <w:rtl/>
        </w:rPr>
        <w:t>،</w:t>
      </w:r>
      <w:r>
        <w:rPr>
          <w:noProof/>
        </w:rPr>
        <w:t xml:space="preserve"> 357</w:t>
      </w:r>
      <w:r>
        <w:rPr>
          <w:noProof/>
          <w:rtl/>
        </w:rPr>
        <w:t xml:space="preserve">، </w:t>
      </w:r>
      <w:r>
        <w:rPr>
          <w:noProof/>
        </w:rPr>
        <w:t>358</w:t>
      </w:r>
      <w:r>
        <w:rPr>
          <w:noProof/>
          <w:rtl/>
        </w:rPr>
        <w:t xml:space="preserve">، </w:t>
      </w:r>
      <w:r>
        <w:rPr>
          <w:noProof/>
        </w:rPr>
        <w:t>360</w:t>
      </w:r>
      <w:r>
        <w:rPr>
          <w:noProof/>
          <w:rtl/>
        </w:rPr>
        <w:t xml:space="preserve">، </w:t>
      </w:r>
      <w:r>
        <w:rPr>
          <w:noProof/>
        </w:rPr>
        <w:t xml:space="preserve"> 361</w:t>
      </w:r>
    </w:p>
    <w:p w:rsidR="002002F4" w:rsidRDefault="002002F4" w:rsidP="002002F4">
      <w:pPr>
        <w:ind w:firstLine="0"/>
        <w:rPr>
          <w:noProof/>
          <w:rtl/>
        </w:rPr>
      </w:pPr>
      <w:r>
        <w:rPr>
          <w:noProof/>
          <w:rtl/>
        </w:rPr>
        <w:t>الإمام الصادق(ع): إيّاكم</w:t>
      </w:r>
      <w:r>
        <w:rPr>
          <w:noProof/>
        </w:rPr>
        <w:t xml:space="preserve"> </w:t>
      </w:r>
      <w:r>
        <w:rPr>
          <w:noProof/>
          <w:rtl/>
        </w:rPr>
        <w:t>إذا</w:t>
      </w:r>
      <w:r>
        <w:rPr>
          <w:noProof/>
        </w:rPr>
        <w:t xml:space="preserve"> </w:t>
      </w:r>
      <w:r>
        <w:rPr>
          <w:noProof/>
          <w:rtl/>
        </w:rPr>
        <w:t>وقعت</w:t>
      </w:r>
      <w:r>
        <w:rPr>
          <w:noProof/>
        </w:rPr>
        <w:t xml:space="preserve"> </w:t>
      </w:r>
      <w:r>
        <w:rPr>
          <w:noProof/>
          <w:rtl/>
        </w:rPr>
        <w:t>بينكم</w:t>
      </w:r>
      <w:r>
        <w:rPr>
          <w:noProof/>
        </w:rPr>
        <w:t xml:space="preserve"> </w:t>
      </w:r>
      <w:r>
        <w:rPr>
          <w:noProof/>
          <w:rtl/>
        </w:rPr>
        <w:t>خصومةٌ</w:t>
      </w:r>
      <w:r>
        <w:rPr>
          <w:noProof/>
        </w:rPr>
        <w:t xml:space="preserve"> </w:t>
      </w:r>
      <w:r>
        <w:rPr>
          <w:noProof/>
          <w:rtl/>
        </w:rPr>
        <w:t>أو</w:t>
      </w:r>
      <w:r>
        <w:rPr>
          <w:noProof/>
        </w:rPr>
        <w:t xml:space="preserve"> </w:t>
      </w:r>
      <w:r>
        <w:rPr>
          <w:noProof/>
          <w:rtl/>
        </w:rPr>
        <w:t>تداري [تدارؤٌّ]...،</w:t>
      </w:r>
      <w:r>
        <w:rPr>
          <w:noProof/>
        </w:rPr>
        <w:t xml:space="preserve"> 362</w:t>
      </w:r>
    </w:p>
    <w:p w:rsidR="002002F4" w:rsidRDefault="002002F4" w:rsidP="002002F4">
      <w:pPr>
        <w:ind w:firstLine="0"/>
        <w:rPr>
          <w:noProof/>
        </w:rPr>
      </w:pPr>
      <w:r>
        <w:rPr>
          <w:noProof/>
          <w:rtl/>
        </w:rPr>
        <w:t>الإمام الصادق(ع): ...</w:t>
      </w:r>
      <w:r>
        <w:rPr>
          <w:noProof/>
        </w:rPr>
        <w:t xml:space="preserve"> </w:t>
      </w:r>
      <w:r>
        <w:rPr>
          <w:noProof/>
          <w:rtl/>
        </w:rPr>
        <w:t>رجلاً</w:t>
      </w:r>
      <w:r>
        <w:rPr>
          <w:noProof/>
        </w:rPr>
        <w:t xml:space="preserve"> </w:t>
      </w:r>
      <w:r>
        <w:rPr>
          <w:noProof/>
          <w:rtl/>
        </w:rPr>
        <w:t>قد</w:t>
      </w:r>
      <w:r>
        <w:rPr>
          <w:noProof/>
        </w:rPr>
        <w:t xml:space="preserve"> </w:t>
      </w:r>
      <w:r>
        <w:rPr>
          <w:noProof/>
          <w:rtl/>
        </w:rPr>
        <w:t>عرف</w:t>
      </w:r>
      <w:r>
        <w:rPr>
          <w:noProof/>
        </w:rPr>
        <w:t xml:space="preserve"> </w:t>
      </w:r>
      <w:r>
        <w:rPr>
          <w:noProof/>
          <w:rtl/>
        </w:rPr>
        <w:t>حلالنا</w:t>
      </w:r>
      <w:r>
        <w:rPr>
          <w:noProof/>
        </w:rPr>
        <w:t xml:space="preserve"> </w:t>
      </w:r>
      <w:r>
        <w:rPr>
          <w:noProof/>
          <w:rtl/>
        </w:rPr>
        <w:t>وحرامنا،</w:t>
      </w:r>
      <w:r>
        <w:rPr>
          <w:noProof/>
        </w:rPr>
        <w:t xml:space="preserve"> 365</w:t>
      </w:r>
      <w:r>
        <w:rPr>
          <w:noProof/>
          <w:rtl/>
        </w:rPr>
        <w:t>،</w:t>
      </w:r>
      <w:r>
        <w:rPr>
          <w:noProof/>
        </w:rPr>
        <w:t xml:space="preserve"> 366</w:t>
      </w:r>
    </w:p>
    <w:p w:rsidR="002002F4" w:rsidRDefault="002002F4" w:rsidP="002002F4">
      <w:pPr>
        <w:ind w:firstLine="0"/>
        <w:rPr>
          <w:noProof/>
        </w:rPr>
      </w:pPr>
      <w:r>
        <w:rPr>
          <w:noProof/>
          <w:rtl/>
        </w:rPr>
        <w:t>الإمام الصادق(ع): ...</w:t>
      </w:r>
      <w:r>
        <w:rPr>
          <w:noProof/>
        </w:rPr>
        <w:t xml:space="preserve"> </w:t>
      </w:r>
      <w:r>
        <w:rPr>
          <w:noProof/>
          <w:rtl/>
        </w:rPr>
        <w:t>فإنّي</w:t>
      </w:r>
      <w:r>
        <w:rPr>
          <w:noProof/>
        </w:rPr>
        <w:t xml:space="preserve"> </w:t>
      </w:r>
      <w:r>
        <w:rPr>
          <w:noProof/>
          <w:rtl/>
        </w:rPr>
        <w:t>قد</w:t>
      </w:r>
      <w:r>
        <w:rPr>
          <w:noProof/>
        </w:rPr>
        <w:t xml:space="preserve"> </w:t>
      </w:r>
      <w:r>
        <w:rPr>
          <w:noProof/>
          <w:rtl/>
        </w:rPr>
        <w:t>جعلته</w:t>
      </w:r>
      <w:r>
        <w:rPr>
          <w:noProof/>
        </w:rPr>
        <w:t xml:space="preserve"> </w:t>
      </w:r>
      <w:r>
        <w:rPr>
          <w:noProof/>
          <w:rtl/>
        </w:rPr>
        <w:t>قاضياً،</w:t>
      </w:r>
      <w:r>
        <w:rPr>
          <w:noProof/>
        </w:rPr>
        <w:t xml:space="preserve"> 365</w:t>
      </w:r>
    </w:p>
    <w:p w:rsidR="002002F4" w:rsidRDefault="002002F4" w:rsidP="002002F4">
      <w:pPr>
        <w:ind w:firstLine="0"/>
        <w:rPr>
          <w:noProof/>
        </w:rPr>
      </w:pPr>
      <w:r>
        <w:rPr>
          <w:noProof/>
          <w:rtl/>
        </w:rPr>
        <w:t>الإمام الصادق(ع): ...</w:t>
      </w:r>
      <w:r>
        <w:rPr>
          <w:noProof/>
        </w:rPr>
        <w:t xml:space="preserve"> </w:t>
      </w:r>
      <w:r>
        <w:rPr>
          <w:noProof/>
          <w:rtl/>
        </w:rPr>
        <w:t>فليرضَوْا</w:t>
      </w:r>
      <w:r>
        <w:rPr>
          <w:noProof/>
        </w:rPr>
        <w:t xml:space="preserve"> </w:t>
      </w:r>
      <w:r>
        <w:rPr>
          <w:noProof/>
          <w:rtl/>
        </w:rPr>
        <w:t>به</w:t>
      </w:r>
      <w:r>
        <w:rPr>
          <w:noProof/>
        </w:rPr>
        <w:t xml:space="preserve"> </w:t>
      </w:r>
      <w:r>
        <w:rPr>
          <w:noProof/>
          <w:rtl/>
        </w:rPr>
        <w:t>حَكَماً،</w:t>
      </w:r>
      <w:r>
        <w:rPr>
          <w:noProof/>
        </w:rPr>
        <w:t xml:space="preserve"> 350</w:t>
      </w:r>
    </w:p>
    <w:p w:rsidR="002002F4" w:rsidRDefault="002002F4" w:rsidP="002002F4">
      <w:pPr>
        <w:ind w:firstLine="0"/>
        <w:rPr>
          <w:noProof/>
          <w:rtl/>
        </w:rPr>
      </w:pPr>
      <w:r>
        <w:rPr>
          <w:noProof/>
          <w:rtl/>
        </w:rPr>
        <w:t>الإمام الصادق(ع): لا</w:t>
      </w:r>
      <w:r>
        <w:rPr>
          <w:noProof/>
        </w:rPr>
        <w:t xml:space="preserve"> </w:t>
      </w:r>
      <w:r>
        <w:rPr>
          <w:noProof/>
          <w:rtl/>
        </w:rPr>
        <w:t>دين</w:t>
      </w:r>
      <w:r>
        <w:rPr>
          <w:noProof/>
        </w:rPr>
        <w:t xml:space="preserve"> </w:t>
      </w:r>
      <w:r>
        <w:rPr>
          <w:noProof/>
          <w:rtl/>
        </w:rPr>
        <w:t>لمَنْ</w:t>
      </w:r>
      <w:r>
        <w:rPr>
          <w:noProof/>
        </w:rPr>
        <w:t xml:space="preserve"> </w:t>
      </w:r>
      <w:r>
        <w:rPr>
          <w:noProof/>
          <w:rtl/>
        </w:rPr>
        <w:t>دان</w:t>
      </w:r>
      <w:r>
        <w:rPr>
          <w:noProof/>
        </w:rPr>
        <w:t xml:space="preserve"> </w:t>
      </w:r>
      <w:r>
        <w:rPr>
          <w:noProof/>
          <w:rtl/>
        </w:rPr>
        <w:t>لإمامٍ</w:t>
      </w:r>
      <w:r>
        <w:rPr>
          <w:noProof/>
        </w:rPr>
        <w:t xml:space="preserve"> </w:t>
      </w:r>
      <w:r>
        <w:rPr>
          <w:noProof/>
          <w:rtl/>
        </w:rPr>
        <w:t>جائرٍ،</w:t>
      </w:r>
      <w:r>
        <w:rPr>
          <w:noProof/>
        </w:rPr>
        <w:t xml:space="preserve"> 115</w:t>
      </w:r>
    </w:p>
    <w:p w:rsidR="002002F4" w:rsidRDefault="002002F4" w:rsidP="002002F4">
      <w:pPr>
        <w:ind w:firstLine="0"/>
        <w:rPr>
          <w:noProof/>
        </w:rPr>
      </w:pPr>
      <w:r>
        <w:rPr>
          <w:noProof/>
          <w:rtl/>
        </w:rPr>
        <w:t>الإمام الصادق(ع): الملوك</w:t>
      </w:r>
      <w:r>
        <w:rPr>
          <w:noProof/>
        </w:rPr>
        <w:t xml:space="preserve"> </w:t>
      </w:r>
      <w:r>
        <w:rPr>
          <w:noProof/>
          <w:rtl/>
        </w:rPr>
        <w:t>حكّام</w:t>
      </w:r>
      <w:r>
        <w:rPr>
          <w:noProof/>
        </w:rPr>
        <w:t xml:space="preserve"> </w:t>
      </w:r>
      <w:r>
        <w:rPr>
          <w:noProof/>
          <w:rtl/>
        </w:rPr>
        <w:t>على</w:t>
      </w:r>
      <w:r>
        <w:rPr>
          <w:noProof/>
        </w:rPr>
        <w:t xml:space="preserve"> </w:t>
      </w:r>
      <w:r>
        <w:rPr>
          <w:noProof/>
          <w:rtl/>
        </w:rPr>
        <w:t>الناس،</w:t>
      </w:r>
      <w:r>
        <w:rPr>
          <w:noProof/>
        </w:rPr>
        <w:t xml:space="preserve"> </w:t>
      </w:r>
      <w:r>
        <w:rPr>
          <w:noProof/>
          <w:rtl/>
        </w:rPr>
        <w:t>والعلماء</w:t>
      </w:r>
      <w:r>
        <w:rPr>
          <w:noProof/>
        </w:rPr>
        <w:t xml:space="preserve"> </w:t>
      </w:r>
      <w:r>
        <w:rPr>
          <w:noProof/>
          <w:rtl/>
        </w:rPr>
        <w:t>حكّام</w:t>
      </w:r>
      <w:r>
        <w:rPr>
          <w:noProof/>
        </w:rPr>
        <w:t xml:space="preserve"> </w:t>
      </w:r>
      <w:r>
        <w:rPr>
          <w:noProof/>
          <w:rtl/>
        </w:rPr>
        <w:t>على</w:t>
      </w:r>
      <w:r>
        <w:rPr>
          <w:noProof/>
        </w:rPr>
        <w:t xml:space="preserve"> </w:t>
      </w:r>
      <w:r>
        <w:rPr>
          <w:noProof/>
          <w:rtl/>
        </w:rPr>
        <w:t>الملوك،</w:t>
      </w:r>
      <w:r>
        <w:rPr>
          <w:noProof/>
        </w:rPr>
        <w:t xml:space="preserve"> 333</w:t>
      </w:r>
    </w:p>
    <w:p w:rsidR="002002F4" w:rsidRDefault="002002F4" w:rsidP="002002F4">
      <w:pPr>
        <w:ind w:firstLine="0"/>
        <w:rPr>
          <w:noProof/>
        </w:rPr>
      </w:pPr>
      <w:r>
        <w:rPr>
          <w:noProof/>
          <w:rtl/>
        </w:rPr>
        <w:t>الإمام الصادق(ع): ...ونظر</w:t>
      </w:r>
      <w:r>
        <w:rPr>
          <w:noProof/>
        </w:rPr>
        <w:t xml:space="preserve"> </w:t>
      </w:r>
      <w:r>
        <w:rPr>
          <w:noProof/>
          <w:rtl/>
        </w:rPr>
        <w:t>في</w:t>
      </w:r>
      <w:r>
        <w:rPr>
          <w:noProof/>
        </w:rPr>
        <w:t xml:space="preserve"> </w:t>
      </w:r>
      <w:r>
        <w:rPr>
          <w:noProof/>
          <w:rtl/>
        </w:rPr>
        <w:t>حلالنا</w:t>
      </w:r>
      <w:r>
        <w:rPr>
          <w:noProof/>
        </w:rPr>
        <w:t xml:space="preserve"> </w:t>
      </w:r>
      <w:r>
        <w:rPr>
          <w:noProof/>
          <w:rtl/>
        </w:rPr>
        <w:t>وحرامنا</w:t>
      </w:r>
      <w:r>
        <w:rPr>
          <w:noProof/>
        </w:rPr>
        <w:t xml:space="preserve"> </w:t>
      </w:r>
      <w:r>
        <w:rPr>
          <w:noProof/>
          <w:rtl/>
        </w:rPr>
        <w:t>وعرف</w:t>
      </w:r>
      <w:r>
        <w:rPr>
          <w:noProof/>
        </w:rPr>
        <w:t xml:space="preserve"> </w:t>
      </w:r>
      <w:r>
        <w:rPr>
          <w:noProof/>
          <w:rtl/>
        </w:rPr>
        <w:t>أحكامنا،</w:t>
      </w:r>
      <w:r>
        <w:rPr>
          <w:noProof/>
        </w:rPr>
        <w:t xml:space="preserve"> 349</w:t>
      </w:r>
    </w:p>
    <w:p w:rsidR="002002F4" w:rsidRDefault="002002F4" w:rsidP="002002F4">
      <w:pPr>
        <w:ind w:firstLine="0"/>
        <w:rPr>
          <w:noProof/>
        </w:rPr>
      </w:pPr>
      <w:r>
        <w:rPr>
          <w:noProof/>
          <w:rtl/>
        </w:rPr>
        <w:t>الإمام الصادق(ع): ينظران</w:t>
      </w:r>
      <w:r>
        <w:rPr>
          <w:noProof/>
        </w:rPr>
        <w:t xml:space="preserve"> </w:t>
      </w:r>
      <w:r>
        <w:rPr>
          <w:noProof/>
          <w:rtl/>
        </w:rPr>
        <w:t>إلى</w:t>
      </w:r>
      <w:r>
        <w:rPr>
          <w:noProof/>
        </w:rPr>
        <w:t xml:space="preserve"> </w:t>
      </w:r>
      <w:r>
        <w:rPr>
          <w:noProof/>
          <w:rtl/>
        </w:rPr>
        <w:t>مَنْ</w:t>
      </w:r>
      <w:r>
        <w:rPr>
          <w:noProof/>
        </w:rPr>
        <w:t xml:space="preserve"> </w:t>
      </w:r>
      <w:r>
        <w:rPr>
          <w:noProof/>
          <w:rtl/>
        </w:rPr>
        <w:t>كان</w:t>
      </w:r>
      <w:r>
        <w:rPr>
          <w:noProof/>
        </w:rPr>
        <w:t xml:space="preserve"> </w:t>
      </w:r>
      <w:r>
        <w:rPr>
          <w:noProof/>
          <w:rtl/>
        </w:rPr>
        <w:t>منكم</w:t>
      </w:r>
      <w:r>
        <w:rPr>
          <w:noProof/>
        </w:rPr>
        <w:t xml:space="preserve"> </w:t>
      </w:r>
      <w:r>
        <w:rPr>
          <w:noProof/>
          <w:rtl/>
        </w:rPr>
        <w:t>ممَّنْ</w:t>
      </w:r>
      <w:r>
        <w:rPr>
          <w:noProof/>
        </w:rPr>
        <w:t xml:space="preserve"> </w:t>
      </w:r>
      <w:r>
        <w:rPr>
          <w:noProof/>
          <w:rtl/>
        </w:rPr>
        <w:t>قد</w:t>
      </w:r>
      <w:r>
        <w:rPr>
          <w:noProof/>
        </w:rPr>
        <w:t xml:space="preserve"> </w:t>
      </w:r>
      <w:r>
        <w:rPr>
          <w:noProof/>
          <w:rtl/>
        </w:rPr>
        <w:t>روى</w:t>
      </w:r>
      <w:r>
        <w:rPr>
          <w:noProof/>
        </w:rPr>
        <w:t xml:space="preserve"> </w:t>
      </w:r>
      <w:r>
        <w:rPr>
          <w:noProof/>
          <w:rtl/>
        </w:rPr>
        <w:t>حديثنا...،</w:t>
      </w:r>
      <w:r>
        <w:rPr>
          <w:noProof/>
        </w:rPr>
        <w:t>120</w:t>
      </w:r>
      <w:r>
        <w:rPr>
          <w:noProof/>
          <w:rtl/>
        </w:rPr>
        <w:t xml:space="preserve">، </w:t>
      </w:r>
      <w:r>
        <w:rPr>
          <w:noProof/>
        </w:rPr>
        <w:t>344</w:t>
      </w:r>
      <w:r>
        <w:rPr>
          <w:noProof/>
          <w:rtl/>
        </w:rPr>
        <w:t xml:space="preserve">، </w:t>
      </w:r>
      <w:r>
        <w:rPr>
          <w:noProof/>
        </w:rPr>
        <w:t>349</w:t>
      </w:r>
    </w:p>
    <w:p w:rsidR="002002F4" w:rsidRDefault="002002F4" w:rsidP="002002F4">
      <w:pPr>
        <w:ind w:firstLine="0"/>
        <w:rPr>
          <w:noProof/>
          <w:rtl/>
        </w:rPr>
      </w:pPr>
      <w:r>
        <w:rPr>
          <w:noProof/>
          <w:rtl/>
        </w:rPr>
        <w:t>الإمام الکاظم(ع):</w:t>
      </w:r>
      <w:r>
        <w:rPr>
          <w:noProof/>
        </w:rPr>
        <w:t xml:space="preserve"> ... </w:t>
      </w:r>
      <w:r>
        <w:rPr>
          <w:noProof/>
          <w:rtl/>
        </w:rPr>
        <w:t>إذا</w:t>
      </w:r>
      <w:r>
        <w:rPr>
          <w:noProof/>
        </w:rPr>
        <w:t xml:space="preserve"> </w:t>
      </w:r>
      <w:r>
        <w:rPr>
          <w:noProof/>
          <w:rtl/>
        </w:rPr>
        <w:t>مات</w:t>
      </w:r>
      <w:r>
        <w:rPr>
          <w:noProof/>
        </w:rPr>
        <w:t xml:space="preserve"> </w:t>
      </w:r>
      <w:r>
        <w:rPr>
          <w:noProof/>
          <w:rtl/>
        </w:rPr>
        <w:t>المؤمن</w:t>
      </w:r>
      <w:r>
        <w:rPr>
          <w:noProof/>
        </w:rPr>
        <w:t xml:space="preserve"> </w:t>
      </w:r>
      <w:r>
        <w:rPr>
          <w:noProof/>
          <w:rtl/>
        </w:rPr>
        <w:t>بكت</w:t>
      </w:r>
      <w:r>
        <w:rPr>
          <w:noProof/>
        </w:rPr>
        <w:t xml:space="preserve"> </w:t>
      </w:r>
      <w:r>
        <w:rPr>
          <w:noProof/>
          <w:rtl/>
        </w:rPr>
        <w:t>عليه</w:t>
      </w:r>
      <w:r>
        <w:rPr>
          <w:noProof/>
        </w:rPr>
        <w:t xml:space="preserve"> </w:t>
      </w:r>
      <w:r>
        <w:rPr>
          <w:noProof/>
          <w:rtl/>
        </w:rPr>
        <w:t>الملائكة،</w:t>
      </w:r>
      <w:r>
        <w:rPr>
          <w:noProof/>
        </w:rPr>
        <w:t xml:space="preserve"> </w:t>
      </w:r>
      <w:r>
        <w:rPr>
          <w:noProof/>
          <w:rtl/>
        </w:rPr>
        <w:t>وبقاع</w:t>
      </w:r>
      <w:r>
        <w:rPr>
          <w:noProof/>
        </w:rPr>
        <w:t xml:space="preserve"> </w:t>
      </w:r>
      <w:r>
        <w:rPr>
          <w:noProof/>
          <w:rtl/>
        </w:rPr>
        <w:t>الأرض...،</w:t>
      </w:r>
      <w:r>
        <w:rPr>
          <w:noProof/>
        </w:rPr>
        <w:t xml:space="preserve"> 368</w:t>
      </w:r>
    </w:p>
    <w:p w:rsidR="002002F4" w:rsidRDefault="002002F4" w:rsidP="002002F4">
      <w:pPr>
        <w:ind w:firstLine="0"/>
        <w:rPr>
          <w:noProof/>
        </w:rPr>
      </w:pPr>
      <w:r>
        <w:rPr>
          <w:noProof/>
          <w:rtl/>
        </w:rPr>
        <w:t>الإمام الکاظم(ع): ...</w:t>
      </w:r>
      <w:r>
        <w:rPr>
          <w:noProof/>
        </w:rPr>
        <w:t xml:space="preserve"> </w:t>
      </w:r>
      <w:r>
        <w:rPr>
          <w:noProof/>
          <w:rtl/>
        </w:rPr>
        <w:t>الفقهاء حصون الإسلام... ،</w:t>
      </w:r>
      <w:r>
        <w:rPr>
          <w:noProof/>
        </w:rPr>
        <w:t xml:space="preserve"> 312</w:t>
      </w:r>
      <w:r>
        <w:rPr>
          <w:noProof/>
          <w:rtl/>
        </w:rPr>
        <w:t>،</w:t>
      </w:r>
      <w:r>
        <w:rPr>
          <w:noProof/>
        </w:rPr>
        <w:t>368</w:t>
      </w:r>
      <w:r>
        <w:rPr>
          <w:noProof/>
          <w:rtl/>
        </w:rPr>
        <w:t>،</w:t>
      </w:r>
      <w:r>
        <w:rPr>
          <w:noProof/>
        </w:rPr>
        <w:t xml:space="preserve"> 370</w:t>
      </w:r>
      <w:r>
        <w:rPr>
          <w:noProof/>
          <w:rtl/>
        </w:rPr>
        <w:t>،</w:t>
      </w:r>
      <w:r>
        <w:rPr>
          <w:noProof/>
        </w:rPr>
        <w:t xml:space="preserve"> 373</w:t>
      </w:r>
      <w:r>
        <w:rPr>
          <w:noProof/>
          <w:rtl/>
        </w:rPr>
        <w:t>،</w:t>
      </w:r>
      <w:r>
        <w:rPr>
          <w:noProof/>
        </w:rPr>
        <w:t xml:space="preserve"> 374</w:t>
      </w:r>
      <w:r>
        <w:rPr>
          <w:noProof/>
          <w:rtl/>
        </w:rPr>
        <w:t>،</w:t>
      </w:r>
      <w:r>
        <w:rPr>
          <w:noProof/>
        </w:rPr>
        <w:t xml:space="preserve"> 392</w:t>
      </w:r>
    </w:p>
    <w:p w:rsidR="002002F4" w:rsidRDefault="002002F4" w:rsidP="002002F4">
      <w:pPr>
        <w:ind w:firstLine="0"/>
        <w:rPr>
          <w:noProof/>
        </w:rPr>
      </w:pPr>
      <w:r>
        <w:rPr>
          <w:noProof/>
          <w:rtl/>
        </w:rPr>
        <w:t>الإمام الرضا(ع): اللهمّ</w:t>
      </w:r>
      <w:r>
        <w:rPr>
          <w:noProof/>
        </w:rPr>
        <w:t xml:space="preserve"> </w:t>
      </w:r>
      <w:r>
        <w:rPr>
          <w:noProof/>
          <w:rtl/>
        </w:rPr>
        <w:t>لا</w:t>
      </w:r>
      <w:r>
        <w:rPr>
          <w:noProof/>
        </w:rPr>
        <w:t xml:space="preserve"> </w:t>
      </w:r>
      <w:r>
        <w:rPr>
          <w:noProof/>
          <w:rtl/>
        </w:rPr>
        <w:t>عهد</w:t>
      </w:r>
      <w:r>
        <w:rPr>
          <w:noProof/>
        </w:rPr>
        <w:t xml:space="preserve"> </w:t>
      </w:r>
      <w:r>
        <w:rPr>
          <w:noProof/>
          <w:rtl/>
        </w:rPr>
        <w:t>إلاّ</w:t>
      </w:r>
      <w:r>
        <w:rPr>
          <w:noProof/>
        </w:rPr>
        <w:t xml:space="preserve"> </w:t>
      </w:r>
      <w:r>
        <w:rPr>
          <w:noProof/>
          <w:rtl/>
        </w:rPr>
        <w:t>عهدك،</w:t>
      </w:r>
      <w:r>
        <w:rPr>
          <w:noProof/>
        </w:rPr>
        <w:t xml:space="preserve"> </w:t>
      </w:r>
      <w:r>
        <w:rPr>
          <w:noProof/>
          <w:rtl/>
        </w:rPr>
        <w:t>ولا</w:t>
      </w:r>
      <w:r>
        <w:rPr>
          <w:noProof/>
        </w:rPr>
        <w:t xml:space="preserve"> </w:t>
      </w:r>
      <w:r>
        <w:rPr>
          <w:noProof/>
          <w:rtl/>
        </w:rPr>
        <w:t>ولاية</w:t>
      </w:r>
      <w:r>
        <w:rPr>
          <w:noProof/>
        </w:rPr>
        <w:t xml:space="preserve"> </w:t>
      </w:r>
      <w:r>
        <w:rPr>
          <w:noProof/>
          <w:rtl/>
        </w:rPr>
        <w:t>إلاّ</w:t>
      </w:r>
      <w:r>
        <w:rPr>
          <w:noProof/>
        </w:rPr>
        <w:t xml:space="preserve"> </w:t>
      </w:r>
      <w:r>
        <w:rPr>
          <w:noProof/>
          <w:rtl/>
        </w:rPr>
        <w:t>من</w:t>
      </w:r>
      <w:r>
        <w:rPr>
          <w:noProof/>
        </w:rPr>
        <w:t xml:space="preserve"> </w:t>
      </w:r>
      <w:r>
        <w:rPr>
          <w:noProof/>
          <w:rtl/>
        </w:rPr>
        <w:t>قبلك،</w:t>
      </w:r>
      <w:r>
        <w:rPr>
          <w:noProof/>
        </w:rPr>
        <w:t xml:space="preserve"> 112</w:t>
      </w:r>
    </w:p>
    <w:p w:rsidR="002002F4" w:rsidRDefault="002002F4" w:rsidP="002002F4">
      <w:pPr>
        <w:ind w:firstLine="0"/>
        <w:rPr>
          <w:noProof/>
        </w:rPr>
      </w:pPr>
      <w:r>
        <w:rPr>
          <w:noProof/>
          <w:rtl/>
        </w:rPr>
        <w:t>الإمام الرضا(ع): منزلة</w:t>
      </w:r>
      <w:r>
        <w:rPr>
          <w:noProof/>
        </w:rPr>
        <w:t xml:space="preserve"> </w:t>
      </w:r>
      <w:r>
        <w:rPr>
          <w:noProof/>
          <w:rtl/>
        </w:rPr>
        <w:t>الفقيه</w:t>
      </w:r>
      <w:r>
        <w:rPr>
          <w:noProof/>
        </w:rPr>
        <w:t xml:space="preserve"> </w:t>
      </w:r>
      <w:r>
        <w:rPr>
          <w:noProof/>
          <w:rtl/>
        </w:rPr>
        <w:t>في</w:t>
      </w:r>
      <w:r>
        <w:rPr>
          <w:noProof/>
        </w:rPr>
        <w:t xml:space="preserve"> </w:t>
      </w:r>
      <w:r>
        <w:rPr>
          <w:noProof/>
          <w:rtl/>
        </w:rPr>
        <w:t>هذا</w:t>
      </w:r>
      <w:r>
        <w:rPr>
          <w:noProof/>
        </w:rPr>
        <w:t xml:space="preserve"> </w:t>
      </w:r>
      <w:r>
        <w:rPr>
          <w:noProof/>
          <w:rtl/>
        </w:rPr>
        <w:t>الوقت</w:t>
      </w:r>
      <w:r>
        <w:rPr>
          <w:noProof/>
        </w:rPr>
        <w:t xml:space="preserve"> </w:t>
      </w:r>
      <w:r>
        <w:rPr>
          <w:noProof/>
          <w:rtl/>
        </w:rPr>
        <w:t>كمنزلة</w:t>
      </w:r>
      <w:r>
        <w:rPr>
          <w:noProof/>
        </w:rPr>
        <w:t xml:space="preserve"> </w:t>
      </w:r>
      <w:r>
        <w:rPr>
          <w:noProof/>
          <w:rtl/>
        </w:rPr>
        <w:t>الأنبياء</w:t>
      </w:r>
      <w:r>
        <w:rPr>
          <w:noProof/>
        </w:rPr>
        <w:t xml:space="preserve"> </w:t>
      </w:r>
      <w:r>
        <w:rPr>
          <w:noProof/>
          <w:rtl/>
        </w:rPr>
        <w:t>في</w:t>
      </w:r>
      <w:r>
        <w:rPr>
          <w:noProof/>
        </w:rPr>
        <w:t xml:space="preserve"> </w:t>
      </w:r>
      <w:r>
        <w:rPr>
          <w:noProof/>
          <w:rtl/>
        </w:rPr>
        <w:t>بني</w:t>
      </w:r>
      <w:r>
        <w:rPr>
          <w:noProof/>
        </w:rPr>
        <w:t xml:space="preserve"> </w:t>
      </w:r>
      <w:r>
        <w:rPr>
          <w:noProof/>
          <w:rtl/>
        </w:rPr>
        <w:t>إسرائيل،</w:t>
      </w:r>
      <w:r>
        <w:rPr>
          <w:noProof/>
        </w:rPr>
        <w:t xml:space="preserve"> 321</w:t>
      </w:r>
    </w:p>
    <w:p w:rsidR="002002F4" w:rsidRDefault="002002F4" w:rsidP="002002F4">
      <w:pPr>
        <w:ind w:firstLine="0"/>
        <w:rPr>
          <w:noProof/>
        </w:rPr>
      </w:pPr>
      <w:r>
        <w:rPr>
          <w:noProof/>
          <w:rtl/>
        </w:rPr>
        <w:t>الإمام المهدي(عج): ...</w:t>
      </w:r>
      <w:r>
        <w:rPr>
          <w:noProof/>
        </w:rPr>
        <w:t xml:space="preserve"> </w:t>
      </w:r>
      <w:r>
        <w:rPr>
          <w:noProof/>
          <w:rtl/>
        </w:rPr>
        <w:t>إنّهم</w:t>
      </w:r>
      <w:r>
        <w:rPr>
          <w:noProof/>
        </w:rPr>
        <w:t xml:space="preserve"> </w:t>
      </w:r>
      <w:r>
        <w:rPr>
          <w:noProof/>
          <w:rtl/>
        </w:rPr>
        <w:t>حجّتي،</w:t>
      </w:r>
      <w:r>
        <w:rPr>
          <w:noProof/>
        </w:rPr>
        <w:t xml:space="preserve"> 379</w:t>
      </w:r>
      <w:r>
        <w:rPr>
          <w:noProof/>
          <w:rtl/>
        </w:rPr>
        <w:t>،</w:t>
      </w:r>
      <w:r>
        <w:rPr>
          <w:noProof/>
        </w:rPr>
        <w:t xml:space="preserve"> 387</w:t>
      </w:r>
      <w:r>
        <w:rPr>
          <w:noProof/>
          <w:rtl/>
        </w:rPr>
        <w:t>،</w:t>
      </w:r>
      <w:r>
        <w:rPr>
          <w:noProof/>
        </w:rPr>
        <w:t xml:space="preserve"> 390</w:t>
      </w:r>
    </w:p>
    <w:p w:rsidR="002002F4" w:rsidRDefault="002002F4" w:rsidP="002002F4">
      <w:pPr>
        <w:ind w:firstLine="0"/>
        <w:rPr>
          <w:noProof/>
        </w:rPr>
      </w:pPr>
      <w:r>
        <w:rPr>
          <w:noProof/>
          <w:rtl/>
        </w:rPr>
        <w:t>الإمام المهدي(عج): أمّا</w:t>
      </w:r>
      <w:r>
        <w:rPr>
          <w:noProof/>
        </w:rPr>
        <w:t xml:space="preserve"> </w:t>
      </w:r>
      <w:r>
        <w:rPr>
          <w:noProof/>
          <w:rtl/>
        </w:rPr>
        <w:t>ما</w:t>
      </w:r>
      <w:r>
        <w:rPr>
          <w:noProof/>
        </w:rPr>
        <w:t xml:space="preserve"> </w:t>
      </w:r>
      <w:r>
        <w:rPr>
          <w:noProof/>
          <w:rtl/>
        </w:rPr>
        <w:t>سألت</w:t>
      </w:r>
      <w:r>
        <w:rPr>
          <w:noProof/>
        </w:rPr>
        <w:t xml:space="preserve"> </w:t>
      </w:r>
      <w:r>
        <w:rPr>
          <w:noProof/>
          <w:rtl/>
        </w:rPr>
        <w:t>عنه</w:t>
      </w:r>
      <w:r>
        <w:rPr>
          <w:noProof/>
        </w:rPr>
        <w:t xml:space="preserve"> </w:t>
      </w:r>
      <w:r>
        <w:rPr>
          <w:noProof/>
          <w:rtl/>
        </w:rPr>
        <w:t>ـ</w:t>
      </w:r>
      <w:r>
        <w:rPr>
          <w:noProof/>
        </w:rPr>
        <w:t xml:space="preserve"> </w:t>
      </w:r>
      <w:r>
        <w:rPr>
          <w:noProof/>
          <w:rtl/>
        </w:rPr>
        <w:t>أرشدك</w:t>
      </w:r>
      <w:r>
        <w:rPr>
          <w:noProof/>
        </w:rPr>
        <w:t xml:space="preserve"> </w:t>
      </w:r>
      <w:r>
        <w:rPr>
          <w:noProof/>
          <w:rtl/>
        </w:rPr>
        <w:t>الله</w:t>
      </w:r>
      <w:r>
        <w:rPr>
          <w:noProof/>
        </w:rPr>
        <w:t xml:space="preserve"> </w:t>
      </w:r>
      <w:r>
        <w:rPr>
          <w:noProof/>
          <w:rtl/>
        </w:rPr>
        <w:t>وثبَّتَك</w:t>
      </w:r>
      <w:r>
        <w:rPr>
          <w:noProof/>
        </w:rPr>
        <w:t xml:space="preserve"> </w:t>
      </w:r>
      <w:r>
        <w:rPr>
          <w:noProof/>
          <w:rtl/>
        </w:rPr>
        <w:t>ـ</w:t>
      </w:r>
      <w:r>
        <w:rPr>
          <w:noProof/>
        </w:rPr>
        <w:t xml:space="preserve"> </w:t>
      </w:r>
      <w:r>
        <w:rPr>
          <w:noProof/>
          <w:rtl/>
        </w:rPr>
        <w:t>من</w:t>
      </w:r>
      <w:r>
        <w:rPr>
          <w:noProof/>
        </w:rPr>
        <w:t xml:space="preserve"> </w:t>
      </w:r>
      <w:r>
        <w:rPr>
          <w:noProof/>
          <w:rtl/>
        </w:rPr>
        <w:t>أمر</w:t>
      </w:r>
      <w:r>
        <w:rPr>
          <w:noProof/>
        </w:rPr>
        <w:t xml:space="preserve"> </w:t>
      </w:r>
      <w:r>
        <w:rPr>
          <w:noProof/>
          <w:rtl/>
        </w:rPr>
        <w:t>المنكرين...،</w:t>
      </w:r>
      <w:r>
        <w:rPr>
          <w:noProof/>
        </w:rPr>
        <w:t xml:space="preserve"> 375</w:t>
      </w:r>
    </w:p>
    <w:p w:rsidR="002002F4" w:rsidRDefault="002002F4" w:rsidP="002002F4">
      <w:pPr>
        <w:ind w:firstLine="0"/>
        <w:rPr>
          <w:noProof/>
        </w:rPr>
      </w:pPr>
      <w:r>
        <w:rPr>
          <w:noProof/>
          <w:rtl/>
        </w:rPr>
        <w:t>الإمام المهدي(عج): أنا</w:t>
      </w:r>
      <w:r>
        <w:rPr>
          <w:noProof/>
        </w:rPr>
        <w:t xml:space="preserve"> </w:t>
      </w:r>
      <w:r>
        <w:rPr>
          <w:noProof/>
          <w:rtl/>
        </w:rPr>
        <w:t>حجة</w:t>
      </w:r>
      <w:r>
        <w:rPr>
          <w:noProof/>
        </w:rPr>
        <w:t xml:space="preserve"> </w:t>
      </w:r>
      <w:r>
        <w:rPr>
          <w:noProof/>
          <w:rtl/>
        </w:rPr>
        <w:t>الله</w:t>
      </w:r>
      <w:r>
        <w:rPr>
          <w:noProof/>
        </w:rPr>
        <w:t xml:space="preserve"> </w:t>
      </w:r>
      <w:r>
        <w:rPr>
          <w:noProof/>
          <w:rtl/>
        </w:rPr>
        <w:t>عليهم،</w:t>
      </w:r>
      <w:r>
        <w:rPr>
          <w:noProof/>
        </w:rPr>
        <w:t xml:space="preserve"> 388</w:t>
      </w:r>
    </w:p>
    <w:p w:rsidR="002002F4" w:rsidRDefault="002002F4" w:rsidP="002002F4">
      <w:pPr>
        <w:ind w:firstLine="0"/>
        <w:rPr>
          <w:noProof/>
          <w:rtl/>
        </w:rPr>
      </w:pPr>
      <w:r>
        <w:rPr>
          <w:noProof/>
          <w:rtl/>
        </w:rPr>
        <w:t>الإمام المهدي(عج): روى</w:t>
      </w:r>
      <w:r>
        <w:rPr>
          <w:noProof/>
        </w:rPr>
        <w:t xml:space="preserve"> </w:t>
      </w:r>
      <w:r>
        <w:rPr>
          <w:noProof/>
          <w:rtl/>
        </w:rPr>
        <w:t>حديثنا،</w:t>
      </w:r>
      <w:r>
        <w:rPr>
          <w:noProof/>
        </w:rPr>
        <w:t xml:space="preserve"> </w:t>
      </w:r>
      <w:r>
        <w:rPr>
          <w:noProof/>
          <w:rtl/>
        </w:rPr>
        <w:t>وعرف</w:t>
      </w:r>
      <w:r>
        <w:rPr>
          <w:noProof/>
        </w:rPr>
        <w:t xml:space="preserve"> </w:t>
      </w:r>
      <w:r>
        <w:rPr>
          <w:noProof/>
          <w:rtl/>
        </w:rPr>
        <w:t>حلالنا</w:t>
      </w:r>
      <w:r>
        <w:rPr>
          <w:noProof/>
        </w:rPr>
        <w:t xml:space="preserve"> </w:t>
      </w:r>
      <w:r>
        <w:rPr>
          <w:noProof/>
          <w:rtl/>
        </w:rPr>
        <w:t>وحرامنا،</w:t>
      </w:r>
      <w:r>
        <w:rPr>
          <w:noProof/>
        </w:rPr>
        <w:t xml:space="preserve"> </w:t>
      </w:r>
      <w:r>
        <w:rPr>
          <w:noProof/>
          <w:rtl/>
        </w:rPr>
        <w:t>ونظر</w:t>
      </w:r>
      <w:r>
        <w:rPr>
          <w:noProof/>
        </w:rPr>
        <w:t xml:space="preserve"> </w:t>
      </w:r>
      <w:r>
        <w:rPr>
          <w:noProof/>
          <w:rtl/>
        </w:rPr>
        <w:t>في</w:t>
      </w:r>
      <w:r>
        <w:rPr>
          <w:noProof/>
        </w:rPr>
        <w:t xml:space="preserve"> </w:t>
      </w:r>
      <w:r>
        <w:rPr>
          <w:noProof/>
          <w:rtl/>
        </w:rPr>
        <w:t>أحكامنا،</w:t>
      </w:r>
      <w:r>
        <w:rPr>
          <w:noProof/>
        </w:rPr>
        <w:t xml:space="preserve"> 385</w:t>
      </w:r>
    </w:p>
    <w:p w:rsidR="002002F4" w:rsidRDefault="002002F4" w:rsidP="002002F4">
      <w:pPr>
        <w:ind w:firstLine="0"/>
        <w:rPr>
          <w:noProof/>
        </w:rPr>
      </w:pPr>
      <w:r>
        <w:rPr>
          <w:noProof/>
          <w:rtl/>
        </w:rPr>
        <w:t>الإمام المهدي(عج):...</w:t>
      </w:r>
      <w:r>
        <w:rPr>
          <w:noProof/>
        </w:rPr>
        <w:t xml:space="preserve"> </w:t>
      </w:r>
      <w:r>
        <w:rPr>
          <w:noProof/>
          <w:rtl/>
        </w:rPr>
        <w:t>فإنّهم</w:t>
      </w:r>
      <w:r>
        <w:rPr>
          <w:noProof/>
        </w:rPr>
        <w:t xml:space="preserve"> </w:t>
      </w:r>
      <w:r>
        <w:rPr>
          <w:noProof/>
          <w:rtl/>
        </w:rPr>
        <w:t>حجّتي</w:t>
      </w:r>
      <w:r>
        <w:rPr>
          <w:noProof/>
        </w:rPr>
        <w:t xml:space="preserve"> </w:t>
      </w:r>
      <w:r>
        <w:rPr>
          <w:noProof/>
          <w:rtl/>
        </w:rPr>
        <w:t>عليكم،</w:t>
      </w:r>
      <w:r>
        <w:rPr>
          <w:noProof/>
        </w:rPr>
        <w:t xml:space="preserve"> 380</w:t>
      </w:r>
    </w:p>
    <w:p w:rsidR="002002F4" w:rsidRDefault="002002F4" w:rsidP="002002F4">
      <w:pPr>
        <w:ind w:firstLine="0"/>
        <w:rPr>
          <w:noProof/>
        </w:rPr>
      </w:pPr>
      <w:r>
        <w:rPr>
          <w:noProof/>
          <w:rtl/>
        </w:rPr>
        <w:t>المعصوم(ع): بموالاتكم</w:t>
      </w:r>
      <w:r>
        <w:rPr>
          <w:noProof/>
        </w:rPr>
        <w:t xml:space="preserve"> </w:t>
      </w:r>
      <w:r>
        <w:rPr>
          <w:noProof/>
          <w:rtl/>
        </w:rPr>
        <w:t>تقبل</w:t>
      </w:r>
      <w:r>
        <w:rPr>
          <w:noProof/>
        </w:rPr>
        <w:t xml:space="preserve"> </w:t>
      </w:r>
      <w:r>
        <w:rPr>
          <w:noProof/>
          <w:rtl/>
        </w:rPr>
        <w:t>الطاعات</w:t>
      </w:r>
      <w:r>
        <w:rPr>
          <w:noProof/>
        </w:rPr>
        <w:t xml:space="preserve"> </w:t>
      </w:r>
      <w:r>
        <w:rPr>
          <w:noProof/>
          <w:rtl/>
        </w:rPr>
        <w:t>المفروضة،</w:t>
      </w:r>
      <w:r>
        <w:rPr>
          <w:noProof/>
        </w:rPr>
        <w:t xml:space="preserve"> 115</w:t>
      </w:r>
    </w:p>
    <w:p w:rsidR="00810B7A" w:rsidRDefault="002002F4" w:rsidP="002002F4">
      <w:pPr>
        <w:pStyle w:val="Heading2"/>
        <w:jc w:val="center"/>
        <w:rPr>
          <w:rtl/>
          <w:lang w:bidi="fa-IR"/>
        </w:rPr>
      </w:pPr>
      <w:r>
        <w:rPr>
          <w:rtl/>
          <w:lang w:bidi="fa-IR"/>
        </w:rPr>
        <w:br w:type="page"/>
      </w:r>
    </w:p>
    <w:p w:rsidR="00810B7A" w:rsidRDefault="00810B7A" w:rsidP="00810B7A">
      <w:pPr>
        <w:rPr>
          <w:rtl/>
        </w:rPr>
        <w:sectPr w:rsidR="00810B7A" w:rsidSect="00EA09EB">
          <w:footnotePr>
            <w:numRestart w:val="eachPage"/>
          </w:footnotePr>
          <w:type w:val="oddPage"/>
          <w:pgSz w:w="11907" w:h="16840" w:code="9"/>
          <w:pgMar w:top="2835" w:right="2552" w:bottom="3232" w:left="2552" w:header="2268" w:footer="1106" w:gutter="0"/>
          <w:cols w:space="720"/>
          <w:titlePg/>
          <w:docGrid w:linePitch="360"/>
        </w:sectPr>
      </w:pPr>
    </w:p>
    <w:p w:rsidR="002002F4" w:rsidRDefault="002002F4" w:rsidP="002002F4">
      <w:pPr>
        <w:pStyle w:val="Heading2"/>
        <w:jc w:val="center"/>
        <w:rPr>
          <w:rtl/>
          <w:lang w:bidi="fa-IR"/>
        </w:rPr>
      </w:pPr>
      <w:bookmarkStart w:id="68" w:name="_Toc413658850"/>
      <w:r w:rsidRPr="002002F4">
        <w:rPr>
          <w:rtl/>
        </w:rPr>
        <w:t>فهر</w:t>
      </w:r>
      <w:r w:rsidRPr="002002F4">
        <w:rPr>
          <w:rFonts w:hint="cs"/>
          <w:rtl/>
        </w:rPr>
        <w:t>س</w:t>
      </w:r>
      <w:r>
        <w:rPr>
          <w:rtl/>
          <w:lang w:bidi="fa-IR"/>
        </w:rPr>
        <w:t xml:space="preserve"> </w:t>
      </w:r>
      <w:r>
        <w:rPr>
          <w:rFonts w:hint="cs"/>
          <w:rtl/>
          <w:lang w:bidi="fa-IR"/>
        </w:rPr>
        <w:t>الأشعار</w:t>
      </w:r>
      <w:bookmarkEnd w:id="68"/>
    </w:p>
    <w:tbl>
      <w:tblPr>
        <w:tblStyle w:val="TableGridLight"/>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425"/>
        <w:gridCol w:w="3227"/>
      </w:tblGrid>
      <w:tr w:rsidR="00F93F13" w:rsidTr="00425B3D">
        <w:tc>
          <w:tcPr>
            <w:tcW w:w="3367" w:type="dxa"/>
          </w:tcPr>
          <w:p w:rsidR="00F93F13" w:rsidRPr="00F93F13" w:rsidRDefault="00F93F13" w:rsidP="00F93F13">
            <w:pPr>
              <w:ind w:firstLine="0"/>
              <w:rPr>
                <w:sz w:val="2"/>
                <w:szCs w:val="2"/>
                <w:rtl/>
                <w:lang w:bidi="fa-IR"/>
              </w:rPr>
            </w:pPr>
            <w:r w:rsidRPr="00F93F13">
              <w:rPr>
                <w:noProof/>
                <w:rtl/>
              </w:rPr>
              <w:t>چــو</w:t>
            </w:r>
            <w:r w:rsidRPr="00F93F13">
              <w:rPr>
                <w:noProof/>
              </w:rPr>
              <w:t xml:space="preserve"> </w:t>
            </w:r>
            <w:r w:rsidRPr="00F93F13">
              <w:rPr>
                <w:noProof/>
                <w:rtl/>
              </w:rPr>
              <w:t>بيند</w:t>
            </w:r>
            <w:r w:rsidRPr="00F93F13">
              <w:rPr>
                <w:noProof/>
              </w:rPr>
              <w:t xml:space="preserve"> </w:t>
            </w:r>
            <w:r w:rsidRPr="00F93F13">
              <w:rPr>
                <w:noProof/>
                <w:rtl/>
              </w:rPr>
              <w:t>تو</w:t>
            </w:r>
            <w:r w:rsidRPr="00F93F13">
              <w:rPr>
                <w:noProof/>
              </w:rPr>
              <w:t xml:space="preserve"> </w:t>
            </w:r>
            <w:r w:rsidRPr="00F93F13">
              <w:rPr>
                <w:noProof/>
                <w:rtl/>
              </w:rPr>
              <w:t>را</w:t>
            </w:r>
            <w:r w:rsidRPr="00F93F13">
              <w:rPr>
                <w:noProof/>
              </w:rPr>
              <w:t xml:space="preserve"> </w:t>
            </w:r>
            <w:r w:rsidRPr="00F93F13">
              <w:rPr>
                <w:noProof/>
                <w:rtl/>
              </w:rPr>
              <w:t>كي</w:t>
            </w:r>
            <w:r w:rsidRPr="00F93F13">
              <w:rPr>
                <w:noProof/>
              </w:rPr>
              <w:t xml:space="preserve"> </w:t>
            </w:r>
            <w:r w:rsidRPr="00F93F13">
              <w:rPr>
                <w:noProof/>
                <w:rtl/>
              </w:rPr>
              <w:t>كـند</w:t>
            </w:r>
            <w:r w:rsidRPr="00F93F13">
              <w:rPr>
                <w:noProof/>
              </w:rPr>
              <w:t xml:space="preserve"> </w:t>
            </w:r>
            <w:r w:rsidRPr="00F93F13">
              <w:rPr>
                <w:noProof/>
                <w:rtl/>
              </w:rPr>
              <w:t>كار</w:t>
            </w:r>
            <w:r w:rsidRPr="00F93F13">
              <w:rPr>
                <w:noProof/>
              </w:rPr>
              <w:t xml:space="preserve"> </w:t>
            </w:r>
            <w:r w:rsidRPr="00F93F13">
              <w:rPr>
                <w:noProof/>
                <w:rtl/>
              </w:rPr>
              <w:t>بـــــد</w:t>
            </w:r>
            <w:r w:rsidRPr="00F93F13">
              <w:rPr>
                <w:noProof/>
                <w:rtl/>
              </w:rPr>
              <w:br/>
            </w:r>
          </w:p>
        </w:tc>
        <w:tc>
          <w:tcPr>
            <w:tcW w:w="425" w:type="dxa"/>
          </w:tcPr>
          <w:p w:rsidR="00F93F13" w:rsidRDefault="00F93F13" w:rsidP="00F93F13">
            <w:pPr>
              <w:ind w:firstLine="0"/>
              <w:rPr>
                <w:rtl/>
                <w:lang w:bidi="fa-IR"/>
              </w:rPr>
            </w:pPr>
          </w:p>
        </w:tc>
        <w:tc>
          <w:tcPr>
            <w:tcW w:w="3227" w:type="dxa"/>
          </w:tcPr>
          <w:p w:rsidR="00F93F13" w:rsidRDefault="00F93F13" w:rsidP="00F93F13">
            <w:pPr>
              <w:ind w:firstLine="0"/>
              <w:rPr>
                <w:rtl/>
                <w:lang w:bidi="fa-IR"/>
              </w:rPr>
            </w:pPr>
            <w:r>
              <w:rPr>
                <w:noProof/>
                <w:rtl/>
              </w:rPr>
              <w:t>خــود</w:t>
            </w:r>
            <w:r>
              <w:rPr>
                <w:noProof/>
              </w:rPr>
              <w:t xml:space="preserve"> </w:t>
            </w:r>
            <w:r>
              <w:rPr>
                <w:noProof/>
                <w:rtl/>
              </w:rPr>
              <w:t>از</w:t>
            </w:r>
            <w:r>
              <w:rPr>
                <w:noProof/>
              </w:rPr>
              <w:t xml:space="preserve"> </w:t>
            </w:r>
            <w:r>
              <w:rPr>
                <w:noProof/>
                <w:rtl/>
              </w:rPr>
              <w:t>شـــاه</w:t>
            </w:r>
            <w:r>
              <w:rPr>
                <w:noProof/>
              </w:rPr>
              <w:t xml:space="preserve"> </w:t>
            </w:r>
            <w:r>
              <w:rPr>
                <w:noProof/>
                <w:rtl/>
              </w:rPr>
              <w:t>ايــران</w:t>
            </w:r>
            <w:r>
              <w:rPr>
                <w:noProof/>
              </w:rPr>
              <w:t xml:space="preserve"> </w:t>
            </w:r>
            <w:r>
              <w:rPr>
                <w:noProof/>
                <w:rtl/>
              </w:rPr>
              <w:t>بدي</w:t>
            </w:r>
            <w:r>
              <w:rPr>
                <w:noProof/>
              </w:rPr>
              <w:t xml:space="preserve"> </w:t>
            </w:r>
            <w:r>
              <w:rPr>
                <w:noProof/>
                <w:rtl/>
              </w:rPr>
              <w:t>كي</w:t>
            </w:r>
            <w:r>
              <w:rPr>
                <w:noProof/>
              </w:rPr>
              <w:t xml:space="preserve"> </w:t>
            </w:r>
            <w:r>
              <w:rPr>
                <w:noProof/>
                <w:rtl/>
              </w:rPr>
              <w:t xml:space="preserve">سزد / </w:t>
            </w:r>
            <w:r>
              <w:rPr>
                <w:noProof/>
              </w:rPr>
              <w:t xml:space="preserve"> 199</w:t>
            </w:r>
          </w:p>
        </w:tc>
      </w:tr>
    </w:tbl>
    <w:p w:rsidR="00F93F13" w:rsidRDefault="00F93F13" w:rsidP="00F93F13">
      <w:pPr>
        <w:ind w:firstLine="0"/>
        <w:jc w:val="center"/>
        <w:rPr>
          <w:rFonts w:hint="cs"/>
          <w:rtl/>
          <w:lang w:bidi="fa-IR"/>
        </w:rPr>
      </w:pPr>
      <w:r>
        <w:rPr>
          <w:rFonts w:hint="cs"/>
          <w:rtl/>
          <w:lang w:bidi="fa-IR"/>
        </w:rPr>
        <w:t>***</w:t>
      </w:r>
    </w:p>
    <w:tbl>
      <w:tblPr>
        <w:tblStyle w:val="TableGridLight"/>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425"/>
        <w:gridCol w:w="3227"/>
      </w:tblGrid>
      <w:tr w:rsidR="00F93F13" w:rsidTr="00425B3D">
        <w:tc>
          <w:tcPr>
            <w:tcW w:w="3367" w:type="dxa"/>
          </w:tcPr>
          <w:p w:rsidR="00F93F13" w:rsidRPr="00F93F13" w:rsidRDefault="00F93F13" w:rsidP="00F93F13">
            <w:pPr>
              <w:ind w:firstLine="0"/>
              <w:rPr>
                <w:sz w:val="2"/>
                <w:szCs w:val="2"/>
                <w:rtl/>
                <w:lang w:bidi="fa-IR"/>
              </w:rPr>
            </w:pPr>
            <w:r>
              <w:rPr>
                <w:rtl/>
              </w:rPr>
              <w:t>(كيف</w:t>
            </w:r>
            <w:r>
              <w:rPr>
                <w:rFonts w:ascii="Times New Roman" w:hAnsi="Times New Roman" w:cs="Times New Roman" w:hint="cs"/>
                <w:rtl/>
              </w:rPr>
              <w:t>‌</w:t>
            </w:r>
            <w:r>
              <w:rPr>
                <w:rFonts w:ascii="Mosawi" w:hAnsi="Mosawi" w:hint="cs"/>
                <w:rtl/>
              </w:rPr>
              <w:t>يمكن</w:t>
            </w:r>
            <w:r>
              <w:rPr>
                <w:rtl/>
              </w:rPr>
              <w:t xml:space="preserve"> </w:t>
            </w:r>
            <w:r>
              <w:rPr>
                <w:rFonts w:ascii="Mosawi" w:hAnsi="Mosawi" w:hint="cs"/>
                <w:rtl/>
              </w:rPr>
              <w:t>للناظر</w:t>
            </w:r>
            <w:r>
              <w:rPr>
                <w:rtl/>
              </w:rPr>
              <w:t xml:space="preserve"> </w:t>
            </w:r>
            <w:r>
              <w:rPr>
                <w:rFonts w:ascii="Mosawi" w:hAnsi="Mosawi" w:hint="cs"/>
                <w:rtl/>
              </w:rPr>
              <w:t>إليك</w:t>
            </w:r>
            <w:r>
              <w:rPr>
                <w:rtl/>
              </w:rPr>
              <w:t xml:space="preserve"> </w:t>
            </w:r>
            <w:r>
              <w:rPr>
                <w:rFonts w:ascii="Mosawi" w:hAnsi="Mosawi" w:hint="cs"/>
                <w:rtl/>
              </w:rPr>
              <w:t>أن</w:t>
            </w:r>
            <w:r>
              <w:rPr>
                <w:rtl/>
              </w:rPr>
              <w:t xml:space="preserve"> </w:t>
            </w:r>
            <w:r>
              <w:rPr>
                <w:rFonts w:ascii="Mosawi" w:hAnsi="Mosawi" w:hint="cs"/>
                <w:rtl/>
              </w:rPr>
              <w:t xml:space="preserve">يــسيء </w:t>
            </w:r>
          </w:p>
        </w:tc>
        <w:tc>
          <w:tcPr>
            <w:tcW w:w="425" w:type="dxa"/>
          </w:tcPr>
          <w:p w:rsidR="00F93F13" w:rsidRDefault="00F93F13" w:rsidP="00F93F13">
            <w:pPr>
              <w:ind w:firstLine="0"/>
              <w:rPr>
                <w:rtl/>
                <w:lang w:bidi="fa-IR"/>
              </w:rPr>
            </w:pPr>
          </w:p>
        </w:tc>
        <w:tc>
          <w:tcPr>
            <w:tcW w:w="3227" w:type="dxa"/>
          </w:tcPr>
          <w:p w:rsidR="00F93F13" w:rsidRDefault="00F93F13" w:rsidP="00425B3D">
            <w:pPr>
              <w:ind w:firstLine="0"/>
              <w:rPr>
                <w:rtl/>
                <w:lang w:bidi="fa-IR"/>
              </w:rPr>
            </w:pPr>
            <w:r>
              <w:rPr>
                <w:rtl/>
              </w:rPr>
              <w:t>فـمتى صـــدر عن ملك إيران السوء؟!)</w:t>
            </w:r>
            <w:r>
              <w:rPr>
                <w:rFonts w:hint="cs"/>
                <w:rtl/>
              </w:rPr>
              <w:t xml:space="preserve"> </w:t>
            </w:r>
            <w:r w:rsidR="00425B3D">
              <w:rPr>
                <w:noProof/>
                <w:rtl/>
              </w:rPr>
              <w:t xml:space="preserve">/ </w:t>
            </w:r>
            <w:r w:rsidR="00425B3D">
              <w:rPr>
                <w:noProof/>
              </w:rPr>
              <w:t xml:space="preserve"> 199</w:t>
            </w:r>
          </w:p>
        </w:tc>
      </w:tr>
    </w:tbl>
    <w:p w:rsidR="00F93F13" w:rsidRDefault="00F93F13" w:rsidP="00F93F13">
      <w:pPr>
        <w:ind w:firstLine="0"/>
        <w:jc w:val="center"/>
        <w:rPr>
          <w:rFonts w:hint="cs"/>
          <w:rtl/>
          <w:lang w:bidi="fa-IR"/>
        </w:rPr>
      </w:pPr>
      <w:r>
        <w:rPr>
          <w:rFonts w:hint="cs"/>
          <w:rtl/>
          <w:lang w:bidi="fa-IR"/>
        </w:rPr>
        <w:t>***</w:t>
      </w:r>
    </w:p>
    <w:tbl>
      <w:tblPr>
        <w:tblStyle w:val="TableGridLight"/>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425"/>
        <w:gridCol w:w="3227"/>
      </w:tblGrid>
      <w:tr w:rsidR="00F93F13" w:rsidTr="00425B3D">
        <w:tc>
          <w:tcPr>
            <w:tcW w:w="3367" w:type="dxa"/>
          </w:tcPr>
          <w:p w:rsidR="00F93F13" w:rsidRPr="00F93F13" w:rsidRDefault="00F93F13" w:rsidP="00425B3D">
            <w:pPr>
              <w:ind w:firstLine="0"/>
              <w:rPr>
                <w:sz w:val="2"/>
                <w:szCs w:val="2"/>
                <w:rtl/>
                <w:lang w:bidi="fa-IR"/>
              </w:rPr>
            </w:pPr>
            <w:r>
              <w:rPr>
                <w:noProof/>
                <w:rtl/>
              </w:rPr>
              <w:t>لكـــــل</w:t>
            </w:r>
            <w:r w:rsidR="00425B3D">
              <w:rPr>
                <w:rFonts w:hint="cs"/>
                <w:noProof/>
                <w:rtl/>
              </w:rPr>
              <w:t xml:space="preserve"> </w:t>
            </w:r>
            <w:r w:rsidR="00425B3D">
              <w:rPr>
                <w:noProof/>
                <w:rtl/>
              </w:rPr>
              <w:t>فتــــــــرة</w:t>
            </w:r>
            <w:r w:rsidR="00425B3D">
              <w:rPr>
                <w:noProof/>
              </w:rPr>
              <w:t xml:space="preserve"> </w:t>
            </w:r>
            <w:r w:rsidR="00425B3D">
              <w:rPr>
                <w:noProof/>
                <w:rtl/>
              </w:rPr>
              <w:t>ولــيّ</w:t>
            </w:r>
            <w:r w:rsidR="00425B3D">
              <w:rPr>
                <w:noProof/>
              </w:rPr>
              <w:t xml:space="preserve"> </w:t>
            </w:r>
            <w:r w:rsidR="00425B3D">
              <w:rPr>
                <w:noProof/>
                <w:rtl/>
              </w:rPr>
              <w:t>قائـــم</w:t>
            </w:r>
          </w:p>
        </w:tc>
        <w:tc>
          <w:tcPr>
            <w:tcW w:w="425" w:type="dxa"/>
          </w:tcPr>
          <w:p w:rsidR="00F93F13" w:rsidRDefault="00F93F13" w:rsidP="00F93F13">
            <w:pPr>
              <w:ind w:firstLine="0"/>
              <w:rPr>
                <w:rtl/>
                <w:lang w:bidi="fa-IR"/>
              </w:rPr>
            </w:pPr>
          </w:p>
        </w:tc>
        <w:tc>
          <w:tcPr>
            <w:tcW w:w="3227" w:type="dxa"/>
          </w:tcPr>
          <w:p w:rsidR="00F93F13" w:rsidRDefault="00425B3D" w:rsidP="00425B3D">
            <w:pPr>
              <w:ind w:firstLine="0"/>
              <w:rPr>
                <w:rtl/>
                <w:lang w:bidi="fa-IR"/>
              </w:rPr>
            </w:pPr>
            <w:r>
              <w:rPr>
                <w:noProof/>
                <w:rtl/>
              </w:rPr>
              <w:t>وإلى</w:t>
            </w:r>
            <w:r>
              <w:rPr>
                <w:noProof/>
              </w:rPr>
              <w:t xml:space="preserve"> </w:t>
            </w:r>
            <w:r>
              <w:rPr>
                <w:noProof/>
                <w:rtl/>
              </w:rPr>
              <w:t>يــوم</w:t>
            </w:r>
            <w:r>
              <w:rPr>
                <w:noProof/>
              </w:rPr>
              <w:t xml:space="preserve"> </w:t>
            </w:r>
            <w:r>
              <w:rPr>
                <w:noProof/>
                <w:rtl/>
              </w:rPr>
              <w:t>القيامة</w:t>
            </w:r>
            <w:r>
              <w:rPr>
                <w:noProof/>
              </w:rPr>
              <w:t xml:space="preserve"> </w:t>
            </w:r>
            <w:r>
              <w:rPr>
                <w:noProof/>
                <w:rtl/>
              </w:rPr>
              <w:t>الامـــــتحان</w:t>
            </w:r>
            <w:r>
              <w:rPr>
                <w:noProof/>
              </w:rPr>
              <w:t xml:space="preserve"> </w:t>
            </w:r>
            <w:r>
              <w:rPr>
                <w:noProof/>
                <w:rtl/>
              </w:rPr>
              <w:t xml:space="preserve">دائــم/ </w:t>
            </w:r>
            <w:r>
              <w:rPr>
                <w:noProof/>
              </w:rPr>
              <w:t xml:space="preserve"> 51</w:t>
            </w:r>
          </w:p>
        </w:tc>
      </w:tr>
    </w:tbl>
    <w:p w:rsidR="00425B3D" w:rsidRDefault="00425B3D" w:rsidP="00425B3D">
      <w:pPr>
        <w:ind w:firstLine="0"/>
        <w:jc w:val="center"/>
        <w:rPr>
          <w:rFonts w:hint="cs"/>
          <w:rtl/>
          <w:lang w:bidi="fa-IR"/>
        </w:rPr>
      </w:pPr>
      <w:r>
        <w:rPr>
          <w:rFonts w:hint="cs"/>
          <w:rtl/>
          <w:lang w:bidi="fa-IR"/>
        </w:rPr>
        <w:t>***</w:t>
      </w:r>
    </w:p>
    <w:tbl>
      <w:tblPr>
        <w:tblStyle w:val="TableGridLight"/>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425"/>
        <w:gridCol w:w="3227"/>
      </w:tblGrid>
      <w:tr w:rsidR="00425B3D" w:rsidTr="00425B3D">
        <w:tc>
          <w:tcPr>
            <w:tcW w:w="3367" w:type="dxa"/>
          </w:tcPr>
          <w:p w:rsidR="00425B3D" w:rsidRPr="00F93F13" w:rsidRDefault="00425B3D" w:rsidP="00425B3D">
            <w:pPr>
              <w:ind w:firstLine="0"/>
              <w:rPr>
                <w:sz w:val="2"/>
                <w:szCs w:val="2"/>
                <w:rtl/>
                <w:lang w:bidi="fa-IR"/>
              </w:rPr>
            </w:pPr>
            <w:r>
              <w:rPr>
                <w:rtl/>
              </w:rPr>
              <w:t>فالإمام الحي القائم هو ذاك الــولي</w:t>
            </w:r>
            <w:r>
              <w:rPr>
                <w:noProof/>
                <w:rtl/>
              </w:rPr>
              <w:t xml:space="preserve"> </w:t>
            </w:r>
            <w:r>
              <w:rPr>
                <w:noProof/>
                <w:rtl/>
              </w:rPr>
              <w:br/>
            </w:r>
          </w:p>
        </w:tc>
        <w:tc>
          <w:tcPr>
            <w:tcW w:w="425" w:type="dxa"/>
          </w:tcPr>
          <w:p w:rsidR="00425B3D" w:rsidRDefault="00425B3D" w:rsidP="00DC5E3E">
            <w:pPr>
              <w:ind w:firstLine="0"/>
              <w:rPr>
                <w:rtl/>
                <w:lang w:bidi="fa-IR"/>
              </w:rPr>
            </w:pPr>
          </w:p>
        </w:tc>
        <w:tc>
          <w:tcPr>
            <w:tcW w:w="3227" w:type="dxa"/>
          </w:tcPr>
          <w:p w:rsidR="00425B3D" w:rsidRDefault="00425B3D" w:rsidP="00425B3D">
            <w:pPr>
              <w:ind w:firstLine="0"/>
              <w:rPr>
                <w:rtl/>
                <w:lang w:bidi="fa-IR"/>
              </w:rPr>
            </w:pPr>
            <w:r>
              <w:rPr>
                <w:rtl/>
              </w:rPr>
              <w:t xml:space="preserve">سواء كان من نسل عمر أم من نسل علي / </w:t>
            </w:r>
            <w:r>
              <w:rPr>
                <w:noProof/>
              </w:rPr>
              <w:t xml:space="preserve"> 51</w:t>
            </w:r>
          </w:p>
        </w:tc>
      </w:tr>
    </w:tbl>
    <w:p w:rsidR="00425B3D" w:rsidRDefault="00425B3D" w:rsidP="00425B3D">
      <w:pPr>
        <w:ind w:firstLine="0"/>
        <w:jc w:val="center"/>
        <w:rPr>
          <w:rFonts w:hint="cs"/>
          <w:rtl/>
          <w:lang w:bidi="fa-IR"/>
        </w:rPr>
      </w:pPr>
      <w:r>
        <w:rPr>
          <w:rFonts w:hint="cs"/>
          <w:rtl/>
          <w:lang w:bidi="fa-IR"/>
        </w:rPr>
        <w:t>***</w:t>
      </w:r>
    </w:p>
    <w:tbl>
      <w:tblPr>
        <w:tblStyle w:val="TableGridLight"/>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425"/>
        <w:gridCol w:w="3227"/>
      </w:tblGrid>
      <w:tr w:rsidR="00425B3D" w:rsidTr="00425B3D">
        <w:tc>
          <w:tcPr>
            <w:tcW w:w="3367" w:type="dxa"/>
          </w:tcPr>
          <w:p w:rsidR="00425B3D" w:rsidRPr="00F93F13" w:rsidRDefault="00425B3D" w:rsidP="00425B3D">
            <w:pPr>
              <w:ind w:firstLine="0"/>
              <w:rPr>
                <w:sz w:val="2"/>
                <w:szCs w:val="2"/>
                <w:rtl/>
                <w:lang w:bidi="fa-IR"/>
              </w:rPr>
            </w:pPr>
            <w:r>
              <w:rPr>
                <w:rtl/>
              </w:rPr>
              <w:t>يا أيها السالك هو المهدي والهادي</w:t>
            </w:r>
            <w:r>
              <w:rPr>
                <w:rtl/>
              </w:rPr>
              <w:br/>
            </w:r>
          </w:p>
        </w:tc>
        <w:tc>
          <w:tcPr>
            <w:tcW w:w="425" w:type="dxa"/>
          </w:tcPr>
          <w:p w:rsidR="00425B3D" w:rsidRDefault="00425B3D" w:rsidP="00DC5E3E">
            <w:pPr>
              <w:ind w:firstLine="0"/>
              <w:rPr>
                <w:rtl/>
                <w:lang w:bidi="fa-IR"/>
              </w:rPr>
            </w:pPr>
          </w:p>
        </w:tc>
        <w:tc>
          <w:tcPr>
            <w:tcW w:w="3227" w:type="dxa"/>
          </w:tcPr>
          <w:p w:rsidR="00425B3D" w:rsidRDefault="00425B3D" w:rsidP="00425B3D">
            <w:pPr>
              <w:ind w:firstLine="0"/>
              <w:rPr>
                <w:rtl/>
                <w:lang w:bidi="fa-IR"/>
              </w:rPr>
            </w:pPr>
            <w:r>
              <w:rPr>
                <w:rtl/>
              </w:rPr>
              <w:t>ســــــواء كان غائباً أم حاضـــــــراً</w:t>
            </w:r>
            <w:r>
              <w:rPr>
                <w:noProof/>
                <w:rtl/>
                <w:lang w:bidi="fa-IR"/>
              </w:rPr>
              <w:t xml:space="preserve"> / </w:t>
            </w:r>
            <w:r>
              <w:rPr>
                <w:noProof/>
              </w:rPr>
              <w:t xml:space="preserve"> 51</w:t>
            </w:r>
          </w:p>
        </w:tc>
      </w:tr>
    </w:tbl>
    <w:p w:rsidR="00F93F13" w:rsidRDefault="00425B3D" w:rsidP="00F93F13">
      <w:pPr>
        <w:ind w:firstLine="0"/>
        <w:jc w:val="center"/>
        <w:rPr>
          <w:rtl/>
          <w:lang w:bidi="fa-IR"/>
        </w:rPr>
      </w:pPr>
      <w:r>
        <w:rPr>
          <w:rFonts w:hint="cs"/>
          <w:rtl/>
          <w:lang w:bidi="fa-IR"/>
        </w:rPr>
        <w:t>***</w:t>
      </w:r>
    </w:p>
    <w:p w:rsidR="00810B7A" w:rsidRDefault="002002F4" w:rsidP="002002F4">
      <w:pPr>
        <w:pStyle w:val="Heading2"/>
        <w:jc w:val="center"/>
        <w:rPr>
          <w:rtl/>
          <w:lang w:bidi="fa-IR"/>
        </w:rPr>
      </w:pPr>
      <w:r>
        <w:rPr>
          <w:rtl/>
          <w:lang w:bidi="fa-IR"/>
        </w:rPr>
        <w:br w:type="page"/>
      </w:r>
    </w:p>
    <w:p w:rsidR="00810B7A" w:rsidRDefault="00810B7A" w:rsidP="00810B7A">
      <w:pPr>
        <w:rPr>
          <w:rtl/>
          <w:lang w:bidi="fa-IR"/>
        </w:rPr>
        <w:sectPr w:rsidR="00810B7A" w:rsidSect="00EA09EB">
          <w:footnotePr>
            <w:numRestart w:val="eachPage"/>
          </w:footnotePr>
          <w:type w:val="oddPage"/>
          <w:pgSz w:w="11907" w:h="16840" w:code="9"/>
          <w:pgMar w:top="2835" w:right="2552" w:bottom="3232" w:left="2552" w:header="2268" w:footer="1106" w:gutter="0"/>
          <w:cols w:space="720"/>
          <w:titlePg/>
          <w:docGrid w:linePitch="360"/>
        </w:sectPr>
      </w:pPr>
    </w:p>
    <w:p w:rsidR="002002F4" w:rsidRDefault="002002F4" w:rsidP="002002F4">
      <w:pPr>
        <w:pStyle w:val="Heading2"/>
        <w:jc w:val="center"/>
        <w:rPr>
          <w:rtl/>
          <w:lang w:bidi="fa-IR"/>
        </w:rPr>
      </w:pPr>
      <w:bookmarkStart w:id="69" w:name="_Toc413658851"/>
      <w:r w:rsidRPr="002002F4">
        <w:rPr>
          <w:rtl/>
        </w:rPr>
        <w:t>فه</w:t>
      </w:r>
      <w:r w:rsidRPr="002002F4">
        <w:rPr>
          <w:rFonts w:hint="cs"/>
          <w:rtl/>
        </w:rPr>
        <w:t>رس</w:t>
      </w:r>
      <w:r>
        <w:rPr>
          <w:rtl/>
          <w:lang w:bidi="fa-IR"/>
        </w:rPr>
        <w:t xml:space="preserve"> </w:t>
      </w:r>
      <w:r>
        <w:rPr>
          <w:rFonts w:hint="cs"/>
          <w:rtl/>
          <w:lang w:bidi="fa-IR"/>
        </w:rPr>
        <w:t>الأعلام</w:t>
      </w:r>
      <w:bookmarkEnd w:id="69"/>
    </w:p>
    <w:p w:rsidR="002002F4" w:rsidRDefault="002002F4" w:rsidP="002002F4">
      <w:pPr>
        <w:ind w:firstLine="0"/>
        <w:rPr>
          <w:noProof/>
          <w:rtl/>
          <w:lang w:bidi="fa-IR"/>
        </w:rPr>
      </w:pPr>
      <w:r>
        <w:rPr>
          <w:noProof/>
          <w:rtl/>
        </w:rPr>
        <w:t xml:space="preserve">أبان، </w:t>
      </w:r>
      <w:r>
        <w:rPr>
          <w:noProof/>
        </w:rPr>
        <w:t>347</w:t>
      </w:r>
    </w:p>
    <w:p w:rsidR="002002F4" w:rsidRDefault="002002F4" w:rsidP="002002F4">
      <w:pPr>
        <w:ind w:firstLine="0"/>
        <w:rPr>
          <w:noProof/>
        </w:rPr>
      </w:pPr>
      <w:r>
        <w:rPr>
          <w:noProof/>
          <w:rtl/>
        </w:rPr>
        <w:t xml:space="preserve">إبراهيم بن هاشم، </w:t>
      </w:r>
      <w:r>
        <w:rPr>
          <w:noProof/>
        </w:rPr>
        <w:t>354</w:t>
      </w:r>
    </w:p>
    <w:p w:rsidR="002002F4" w:rsidRDefault="002002F4" w:rsidP="002002F4">
      <w:pPr>
        <w:ind w:firstLine="0"/>
        <w:rPr>
          <w:noProof/>
        </w:rPr>
      </w:pPr>
      <w:r>
        <w:rPr>
          <w:noProof/>
          <w:rtl/>
        </w:rPr>
        <w:t>ابن أبي جمهور الأحسائي، محمّد بن زين</w:t>
      </w:r>
      <w:r>
        <w:rPr>
          <w:rFonts w:ascii="Times New Roman" w:hAnsi="Times New Roman" w:cs="Times New Roman" w:hint="cs"/>
          <w:noProof/>
          <w:rtl/>
        </w:rPr>
        <w:t>‌</w:t>
      </w:r>
      <w:r>
        <w:rPr>
          <w:rFonts w:ascii="Mosawi" w:hAnsi="Mosawi" w:hint="cs"/>
          <w:noProof/>
          <w:rtl/>
        </w:rPr>
        <w:t>الدين،</w:t>
      </w:r>
      <w:r>
        <w:rPr>
          <w:noProof/>
          <w:rtl/>
        </w:rPr>
        <w:t xml:space="preserve"> </w:t>
      </w:r>
      <w:r>
        <w:rPr>
          <w:noProof/>
        </w:rPr>
        <w:t>303</w:t>
      </w:r>
    </w:p>
    <w:p w:rsidR="002002F4" w:rsidRDefault="002002F4" w:rsidP="002002F4">
      <w:pPr>
        <w:ind w:firstLine="0"/>
        <w:rPr>
          <w:noProof/>
        </w:rPr>
      </w:pPr>
      <w:r>
        <w:rPr>
          <w:noProof/>
          <w:rtl/>
        </w:rPr>
        <w:t xml:space="preserve">ابن أبي عمير، </w:t>
      </w:r>
      <w:r>
        <w:rPr>
          <w:noProof/>
        </w:rPr>
        <w:t>370</w:t>
      </w:r>
    </w:p>
    <w:p w:rsidR="002002F4" w:rsidRDefault="002002F4" w:rsidP="002002F4">
      <w:pPr>
        <w:ind w:firstLine="0"/>
        <w:rPr>
          <w:noProof/>
        </w:rPr>
      </w:pPr>
      <w:r>
        <w:rPr>
          <w:noProof/>
          <w:rtl/>
        </w:rPr>
        <w:t xml:space="preserve">ابن أبي فراس، الشيخ إبو الحسين ورّام، </w:t>
      </w:r>
      <w:r>
        <w:rPr>
          <w:noProof/>
        </w:rPr>
        <w:t>320</w:t>
      </w:r>
    </w:p>
    <w:p w:rsidR="002002F4" w:rsidRDefault="002002F4" w:rsidP="002002F4">
      <w:pPr>
        <w:ind w:firstLine="0"/>
        <w:rPr>
          <w:noProof/>
        </w:rPr>
      </w:pPr>
      <w:r>
        <w:rPr>
          <w:noProof/>
          <w:rtl/>
        </w:rPr>
        <w:t xml:space="preserve">ابن إدريس الحليّ، محمّد بن أحمد، </w:t>
      </w:r>
      <w:r>
        <w:rPr>
          <w:noProof/>
        </w:rPr>
        <w:t>119</w:t>
      </w:r>
      <w:r>
        <w:rPr>
          <w:noProof/>
          <w:rtl/>
        </w:rPr>
        <w:t xml:space="preserve">، </w:t>
      </w:r>
      <w:r>
        <w:rPr>
          <w:noProof/>
        </w:rPr>
        <w:t>169</w:t>
      </w:r>
      <w:r>
        <w:rPr>
          <w:noProof/>
          <w:rtl/>
        </w:rPr>
        <w:t xml:space="preserve">، </w:t>
      </w:r>
      <w:r>
        <w:rPr>
          <w:noProof/>
        </w:rPr>
        <w:t>428</w:t>
      </w:r>
    </w:p>
    <w:p w:rsidR="002002F4" w:rsidRDefault="002002F4" w:rsidP="002002F4">
      <w:pPr>
        <w:ind w:firstLine="0"/>
        <w:rPr>
          <w:noProof/>
        </w:rPr>
      </w:pPr>
      <w:r>
        <w:rPr>
          <w:noProof/>
          <w:rtl/>
        </w:rPr>
        <w:t xml:space="preserve">ابن البحتري، </w:t>
      </w:r>
      <w:r>
        <w:rPr>
          <w:noProof/>
        </w:rPr>
        <w:t>319</w:t>
      </w:r>
    </w:p>
    <w:p w:rsidR="002002F4" w:rsidRDefault="002002F4" w:rsidP="002002F4">
      <w:pPr>
        <w:ind w:firstLine="0"/>
        <w:rPr>
          <w:noProof/>
        </w:rPr>
      </w:pPr>
      <w:r>
        <w:rPr>
          <w:noProof/>
          <w:rtl/>
        </w:rPr>
        <w:t xml:space="preserve">ابن الغضائري </w:t>
      </w:r>
      <w:r>
        <w:rPr>
          <w:noProof/>
        </w:rPr>
        <w:t>=</w:t>
      </w:r>
      <w:r>
        <w:rPr>
          <w:noProof/>
          <w:rtl/>
        </w:rPr>
        <w:t xml:space="preserve"> </w:t>
      </w:r>
      <w:r>
        <w:rPr>
          <w:rFonts w:hint="cs"/>
          <w:noProof/>
          <w:rtl/>
        </w:rPr>
        <w:t>أحمد بن حسين بن عبيد الله الغضائري</w:t>
      </w:r>
    </w:p>
    <w:p w:rsidR="002002F4" w:rsidRDefault="002002F4" w:rsidP="002002F4">
      <w:pPr>
        <w:ind w:firstLine="0"/>
        <w:rPr>
          <w:noProof/>
        </w:rPr>
      </w:pPr>
      <w:r>
        <w:rPr>
          <w:noProof/>
          <w:rtl/>
        </w:rPr>
        <w:t xml:space="preserve">ابن المغازلي الشافعي، </w:t>
      </w:r>
      <w:r>
        <w:rPr>
          <w:noProof/>
        </w:rPr>
        <w:t>95</w:t>
      </w:r>
    </w:p>
    <w:p w:rsidR="002002F4" w:rsidRDefault="002002F4" w:rsidP="002002F4">
      <w:pPr>
        <w:ind w:firstLine="0"/>
        <w:rPr>
          <w:noProof/>
        </w:rPr>
      </w:pPr>
      <w:r>
        <w:rPr>
          <w:noProof/>
          <w:rtl/>
        </w:rPr>
        <w:t xml:space="preserve">ابن بابويه القمّي، أبوجعفر محمّد بن علي، </w:t>
      </w:r>
      <w:r>
        <w:rPr>
          <w:noProof/>
        </w:rPr>
        <w:t>123</w:t>
      </w:r>
      <w:r>
        <w:rPr>
          <w:noProof/>
          <w:rtl/>
        </w:rPr>
        <w:t xml:space="preserve">، </w:t>
      </w:r>
      <w:r>
        <w:rPr>
          <w:noProof/>
        </w:rPr>
        <w:t>286</w:t>
      </w:r>
      <w:r>
        <w:rPr>
          <w:noProof/>
          <w:rtl/>
        </w:rPr>
        <w:t xml:space="preserve">، </w:t>
      </w:r>
      <w:r>
        <w:rPr>
          <w:noProof/>
        </w:rPr>
        <w:t>302</w:t>
      </w:r>
      <w:r>
        <w:rPr>
          <w:noProof/>
          <w:rtl/>
        </w:rPr>
        <w:t xml:space="preserve">، </w:t>
      </w:r>
      <w:r>
        <w:rPr>
          <w:noProof/>
        </w:rPr>
        <w:t>303</w:t>
      </w:r>
      <w:r>
        <w:rPr>
          <w:noProof/>
          <w:rtl/>
        </w:rPr>
        <w:t xml:space="preserve">، </w:t>
      </w:r>
      <w:r>
        <w:rPr>
          <w:noProof/>
        </w:rPr>
        <w:t>304</w:t>
      </w:r>
      <w:r>
        <w:rPr>
          <w:noProof/>
          <w:rtl/>
        </w:rPr>
        <w:t xml:space="preserve">، </w:t>
      </w:r>
      <w:r>
        <w:rPr>
          <w:noProof/>
        </w:rPr>
        <w:t>305</w:t>
      </w:r>
      <w:r>
        <w:rPr>
          <w:noProof/>
          <w:rtl/>
        </w:rPr>
        <w:t xml:space="preserve">، </w:t>
      </w:r>
      <w:r>
        <w:rPr>
          <w:noProof/>
        </w:rPr>
        <w:t>307</w:t>
      </w:r>
      <w:r>
        <w:rPr>
          <w:noProof/>
          <w:rtl/>
        </w:rPr>
        <w:t xml:space="preserve">، </w:t>
      </w:r>
      <w:r>
        <w:rPr>
          <w:noProof/>
        </w:rPr>
        <w:t>319</w:t>
      </w:r>
      <w:r>
        <w:rPr>
          <w:noProof/>
          <w:rtl/>
        </w:rPr>
        <w:t xml:space="preserve">، </w:t>
      </w:r>
      <w:r>
        <w:rPr>
          <w:noProof/>
        </w:rPr>
        <w:t>346</w:t>
      </w:r>
      <w:r>
        <w:rPr>
          <w:noProof/>
          <w:rtl/>
        </w:rPr>
        <w:t xml:space="preserve">، </w:t>
      </w:r>
      <w:r>
        <w:rPr>
          <w:noProof/>
        </w:rPr>
        <w:t>363</w:t>
      </w:r>
      <w:r>
        <w:rPr>
          <w:noProof/>
          <w:rtl/>
        </w:rPr>
        <w:t xml:space="preserve">، </w:t>
      </w:r>
      <w:r>
        <w:rPr>
          <w:noProof/>
        </w:rPr>
        <w:t>375</w:t>
      </w:r>
      <w:r>
        <w:rPr>
          <w:noProof/>
          <w:rtl/>
        </w:rPr>
        <w:t xml:space="preserve">، </w:t>
      </w:r>
      <w:r>
        <w:rPr>
          <w:noProof/>
        </w:rPr>
        <w:t>376</w:t>
      </w:r>
      <w:r>
        <w:rPr>
          <w:noProof/>
          <w:rtl/>
        </w:rPr>
        <w:t xml:space="preserve">، </w:t>
      </w:r>
      <w:r>
        <w:rPr>
          <w:noProof/>
        </w:rPr>
        <w:t>377</w:t>
      </w:r>
      <w:r>
        <w:rPr>
          <w:noProof/>
          <w:rtl/>
        </w:rPr>
        <w:t xml:space="preserve">، </w:t>
      </w:r>
      <w:r>
        <w:rPr>
          <w:noProof/>
        </w:rPr>
        <w:t>378</w:t>
      </w:r>
      <w:r>
        <w:rPr>
          <w:noProof/>
          <w:rtl/>
        </w:rPr>
        <w:t xml:space="preserve">، </w:t>
      </w:r>
      <w:r>
        <w:rPr>
          <w:noProof/>
        </w:rPr>
        <w:t>383</w:t>
      </w:r>
    </w:p>
    <w:p w:rsidR="002002F4" w:rsidRDefault="002002F4" w:rsidP="002002F4">
      <w:pPr>
        <w:ind w:firstLine="0"/>
        <w:rPr>
          <w:noProof/>
        </w:rPr>
      </w:pPr>
      <w:r>
        <w:rPr>
          <w:noProof/>
          <w:rtl/>
        </w:rPr>
        <w:t xml:space="preserve">ابن بابويه القمي، علي، </w:t>
      </w:r>
      <w:r>
        <w:rPr>
          <w:noProof/>
        </w:rPr>
        <w:t>305</w:t>
      </w:r>
    </w:p>
    <w:p w:rsidR="002002F4" w:rsidRDefault="002002F4" w:rsidP="002002F4">
      <w:pPr>
        <w:ind w:firstLine="0"/>
        <w:rPr>
          <w:noProof/>
        </w:rPr>
      </w:pPr>
      <w:r>
        <w:rPr>
          <w:noProof/>
          <w:rtl/>
        </w:rPr>
        <w:t xml:space="preserve">ابن بصير، </w:t>
      </w:r>
      <w:r>
        <w:rPr>
          <w:noProof/>
        </w:rPr>
        <w:t>369</w:t>
      </w:r>
    </w:p>
    <w:p w:rsidR="002002F4" w:rsidRDefault="002002F4" w:rsidP="002002F4">
      <w:pPr>
        <w:ind w:firstLine="0"/>
        <w:rPr>
          <w:noProof/>
        </w:rPr>
      </w:pPr>
      <w:r>
        <w:rPr>
          <w:noProof/>
          <w:rtl/>
        </w:rPr>
        <w:t xml:space="preserve">ابن داوود، </w:t>
      </w:r>
      <w:r>
        <w:rPr>
          <w:noProof/>
        </w:rPr>
        <w:t>319</w:t>
      </w:r>
    </w:p>
    <w:p w:rsidR="002002F4" w:rsidRDefault="002002F4" w:rsidP="002002F4">
      <w:pPr>
        <w:ind w:firstLine="0"/>
        <w:rPr>
          <w:noProof/>
        </w:rPr>
      </w:pPr>
      <w:r>
        <w:rPr>
          <w:noProof/>
          <w:rtl/>
        </w:rPr>
        <w:t xml:space="preserve">ابن رشد الأندلسي، </w:t>
      </w:r>
      <w:r>
        <w:rPr>
          <w:noProof/>
        </w:rPr>
        <w:t>328</w:t>
      </w:r>
    </w:p>
    <w:p w:rsidR="002002F4" w:rsidRDefault="002002F4" w:rsidP="002002F4">
      <w:pPr>
        <w:ind w:firstLine="0"/>
        <w:rPr>
          <w:noProof/>
        </w:rPr>
      </w:pPr>
      <w:r>
        <w:rPr>
          <w:noProof/>
          <w:rtl/>
        </w:rPr>
        <w:t xml:space="preserve">ابن رئاب </w:t>
      </w:r>
      <w:r>
        <w:rPr>
          <w:noProof/>
        </w:rPr>
        <w:t>=</w:t>
      </w:r>
      <w:r>
        <w:rPr>
          <w:noProof/>
          <w:rtl/>
        </w:rPr>
        <w:t xml:space="preserve"> </w:t>
      </w:r>
      <w:r>
        <w:rPr>
          <w:rFonts w:hint="cs"/>
          <w:noProof/>
          <w:rtl/>
        </w:rPr>
        <w:t>علي بن رئاب الكوفي</w:t>
      </w:r>
    </w:p>
    <w:p w:rsidR="002002F4" w:rsidRDefault="002002F4" w:rsidP="002002F4">
      <w:pPr>
        <w:ind w:firstLine="0"/>
        <w:rPr>
          <w:noProof/>
        </w:rPr>
      </w:pPr>
      <w:r>
        <w:rPr>
          <w:noProof/>
          <w:rtl/>
        </w:rPr>
        <w:t xml:space="preserve">ابن زهرة، عزالدين حمزة بن علي، </w:t>
      </w:r>
      <w:r>
        <w:rPr>
          <w:noProof/>
        </w:rPr>
        <w:t>119</w:t>
      </w:r>
    </w:p>
    <w:p w:rsidR="002002F4" w:rsidRDefault="002002F4" w:rsidP="002002F4">
      <w:pPr>
        <w:ind w:firstLine="0"/>
        <w:rPr>
          <w:noProof/>
        </w:rPr>
      </w:pPr>
      <w:r>
        <w:rPr>
          <w:noProof/>
          <w:rtl/>
        </w:rPr>
        <w:t xml:space="preserve">ابن زيد، </w:t>
      </w:r>
      <w:r>
        <w:rPr>
          <w:noProof/>
        </w:rPr>
        <w:t>401</w:t>
      </w:r>
    </w:p>
    <w:p w:rsidR="002002F4" w:rsidRDefault="002002F4" w:rsidP="002002F4">
      <w:pPr>
        <w:ind w:firstLine="0"/>
        <w:rPr>
          <w:noProof/>
        </w:rPr>
      </w:pPr>
      <w:r>
        <w:rPr>
          <w:noProof/>
          <w:rtl/>
        </w:rPr>
        <w:t xml:space="preserve">ابن شعبة الحراني، أبو محمّد الحسن بن عليّ، </w:t>
      </w:r>
      <w:r>
        <w:rPr>
          <w:noProof/>
        </w:rPr>
        <w:t>337</w:t>
      </w:r>
    </w:p>
    <w:p w:rsidR="002002F4" w:rsidRDefault="002002F4" w:rsidP="002002F4">
      <w:pPr>
        <w:ind w:firstLine="0"/>
        <w:rPr>
          <w:noProof/>
        </w:rPr>
      </w:pPr>
      <w:r>
        <w:rPr>
          <w:noProof/>
          <w:rtl/>
        </w:rPr>
        <w:t xml:space="preserve">ابن عربي، محيي الدين، </w:t>
      </w:r>
      <w:r>
        <w:rPr>
          <w:noProof/>
        </w:rPr>
        <w:t>12</w:t>
      </w:r>
      <w:r>
        <w:rPr>
          <w:noProof/>
          <w:rtl/>
        </w:rPr>
        <w:t xml:space="preserve">، </w:t>
      </w:r>
      <w:r>
        <w:rPr>
          <w:noProof/>
        </w:rPr>
        <w:t>43</w:t>
      </w:r>
      <w:r>
        <w:rPr>
          <w:noProof/>
          <w:rtl/>
        </w:rPr>
        <w:t xml:space="preserve">، </w:t>
      </w:r>
      <w:r>
        <w:rPr>
          <w:noProof/>
        </w:rPr>
        <w:t>45</w:t>
      </w:r>
      <w:r>
        <w:rPr>
          <w:noProof/>
          <w:rtl/>
        </w:rPr>
        <w:t xml:space="preserve">، </w:t>
      </w:r>
      <w:r>
        <w:rPr>
          <w:noProof/>
        </w:rPr>
        <w:t>47</w:t>
      </w:r>
      <w:r>
        <w:rPr>
          <w:noProof/>
          <w:rtl/>
        </w:rPr>
        <w:t xml:space="preserve">، </w:t>
      </w:r>
      <w:r>
        <w:rPr>
          <w:noProof/>
        </w:rPr>
        <w:t>49</w:t>
      </w:r>
      <w:r>
        <w:rPr>
          <w:noProof/>
          <w:rtl/>
        </w:rPr>
        <w:t xml:space="preserve">، </w:t>
      </w:r>
      <w:r>
        <w:rPr>
          <w:noProof/>
        </w:rPr>
        <w:t>50</w:t>
      </w:r>
      <w:r>
        <w:rPr>
          <w:noProof/>
          <w:rtl/>
        </w:rPr>
        <w:t xml:space="preserve">، </w:t>
      </w:r>
      <w:r>
        <w:rPr>
          <w:noProof/>
        </w:rPr>
        <w:t>51</w:t>
      </w:r>
    </w:p>
    <w:p w:rsidR="002002F4" w:rsidRDefault="002002F4" w:rsidP="002002F4">
      <w:pPr>
        <w:ind w:firstLine="0"/>
        <w:rPr>
          <w:noProof/>
        </w:rPr>
      </w:pPr>
      <w:r>
        <w:rPr>
          <w:noProof/>
          <w:rtl/>
        </w:rPr>
        <w:t xml:space="preserve">ابن عمير، </w:t>
      </w:r>
      <w:r>
        <w:rPr>
          <w:noProof/>
        </w:rPr>
        <w:t>304</w:t>
      </w:r>
    </w:p>
    <w:p w:rsidR="002002F4" w:rsidRDefault="002002F4" w:rsidP="002002F4">
      <w:pPr>
        <w:ind w:firstLine="0"/>
        <w:rPr>
          <w:noProof/>
        </w:rPr>
      </w:pPr>
      <w:r>
        <w:rPr>
          <w:noProof/>
          <w:rtl/>
        </w:rPr>
        <w:t>ابن فضّال = الحسن بن عليّ بن فضّال</w:t>
      </w:r>
    </w:p>
    <w:p w:rsidR="002002F4" w:rsidRDefault="002002F4" w:rsidP="002002F4">
      <w:pPr>
        <w:ind w:firstLine="0"/>
        <w:rPr>
          <w:noProof/>
        </w:rPr>
      </w:pPr>
      <w:r>
        <w:rPr>
          <w:noProof/>
          <w:rtl/>
        </w:rPr>
        <w:t xml:space="preserve">ابن قولويه، جعفر بن محمّد، </w:t>
      </w:r>
      <w:r>
        <w:rPr>
          <w:noProof/>
        </w:rPr>
        <w:t>315</w:t>
      </w:r>
      <w:r>
        <w:rPr>
          <w:noProof/>
          <w:rtl/>
        </w:rPr>
        <w:t xml:space="preserve">، </w:t>
      </w:r>
      <w:r>
        <w:rPr>
          <w:noProof/>
        </w:rPr>
        <w:t>376</w:t>
      </w:r>
    </w:p>
    <w:p w:rsidR="002002F4" w:rsidRDefault="002002F4" w:rsidP="002002F4">
      <w:pPr>
        <w:ind w:firstLine="0"/>
        <w:rPr>
          <w:noProof/>
        </w:rPr>
      </w:pPr>
      <w:r>
        <w:rPr>
          <w:noProof/>
          <w:rtl/>
        </w:rPr>
        <w:t xml:space="preserve">ابن ماجة القزويني، محمّد بن يزيد، </w:t>
      </w:r>
      <w:r>
        <w:rPr>
          <w:noProof/>
        </w:rPr>
        <w:t>298</w:t>
      </w:r>
      <w:r>
        <w:rPr>
          <w:noProof/>
          <w:rtl/>
        </w:rPr>
        <w:t xml:space="preserve">، </w:t>
      </w:r>
      <w:r>
        <w:rPr>
          <w:noProof/>
        </w:rPr>
        <w:t>319</w:t>
      </w:r>
    </w:p>
    <w:p w:rsidR="002002F4" w:rsidRDefault="002002F4" w:rsidP="002002F4">
      <w:pPr>
        <w:ind w:firstLine="0"/>
        <w:rPr>
          <w:noProof/>
        </w:rPr>
      </w:pPr>
      <w:r>
        <w:rPr>
          <w:noProof/>
          <w:rtl/>
        </w:rPr>
        <w:t xml:space="preserve">ابن منظور الأفريقي، محمّد بن مكرم بن علي، </w:t>
      </w:r>
      <w:r>
        <w:rPr>
          <w:noProof/>
        </w:rPr>
        <w:t>40</w:t>
      </w:r>
    </w:p>
    <w:p w:rsidR="002002F4" w:rsidRDefault="002002F4" w:rsidP="002002F4">
      <w:pPr>
        <w:ind w:firstLine="0"/>
        <w:rPr>
          <w:noProof/>
        </w:rPr>
      </w:pPr>
      <w:r>
        <w:rPr>
          <w:noProof/>
          <w:rtl/>
        </w:rPr>
        <w:t xml:space="preserve">أبو البختري، وهب بن وهب بن كثير بن عبد الله، </w:t>
      </w:r>
      <w:r>
        <w:rPr>
          <w:noProof/>
        </w:rPr>
        <w:t>320</w:t>
      </w:r>
      <w:r>
        <w:rPr>
          <w:noProof/>
          <w:rtl/>
        </w:rPr>
        <w:t xml:space="preserve">، </w:t>
      </w:r>
      <w:r>
        <w:rPr>
          <w:noProof/>
        </w:rPr>
        <w:t>322</w:t>
      </w:r>
      <w:r>
        <w:rPr>
          <w:noProof/>
          <w:rtl/>
        </w:rPr>
        <w:t xml:space="preserve">، </w:t>
      </w:r>
      <w:r>
        <w:rPr>
          <w:noProof/>
        </w:rPr>
        <w:t>325</w:t>
      </w:r>
      <w:r>
        <w:rPr>
          <w:noProof/>
          <w:rtl/>
        </w:rPr>
        <w:t xml:space="preserve">، </w:t>
      </w:r>
      <w:r>
        <w:rPr>
          <w:noProof/>
        </w:rPr>
        <w:t>326</w:t>
      </w:r>
    </w:p>
    <w:p w:rsidR="002002F4" w:rsidRDefault="002002F4" w:rsidP="002002F4">
      <w:pPr>
        <w:ind w:firstLine="0"/>
        <w:rPr>
          <w:noProof/>
        </w:rPr>
      </w:pPr>
      <w:r>
        <w:rPr>
          <w:noProof/>
          <w:rtl/>
        </w:rPr>
        <w:t xml:space="preserve">أبو الجهم، </w:t>
      </w:r>
      <w:r>
        <w:rPr>
          <w:noProof/>
        </w:rPr>
        <w:t>363</w:t>
      </w:r>
    </w:p>
    <w:p w:rsidR="002002F4" w:rsidRDefault="002002F4" w:rsidP="002002F4">
      <w:pPr>
        <w:ind w:firstLine="0"/>
        <w:rPr>
          <w:noProof/>
        </w:rPr>
      </w:pPr>
      <w:r>
        <w:rPr>
          <w:noProof/>
          <w:rtl/>
        </w:rPr>
        <w:t xml:space="preserve">أبو الحسن موسى بن جعفر </w:t>
      </w:r>
      <w:r>
        <w:rPr>
          <w:noProof/>
        </w:rPr>
        <w:t>=</w:t>
      </w:r>
      <w:r>
        <w:rPr>
          <w:noProof/>
          <w:rtl/>
        </w:rPr>
        <w:t xml:space="preserve"> </w:t>
      </w:r>
      <w:r>
        <w:rPr>
          <w:rFonts w:hint="cs"/>
          <w:noProof/>
          <w:rtl/>
        </w:rPr>
        <w:t>الإمام الکاظم(ع)</w:t>
      </w:r>
    </w:p>
    <w:p w:rsidR="002002F4" w:rsidRDefault="002002F4" w:rsidP="002002F4">
      <w:pPr>
        <w:ind w:firstLine="0"/>
        <w:rPr>
          <w:noProof/>
        </w:rPr>
      </w:pPr>
      <w:r>
        <w:rPr>
          <w:noProof/>
          <w:rtl/>
        </w:rPr>
        <w:t xml:space="preserve">أبو الحسين أحمد بن فارس بن زكريا، </w:t>
      </w:r>
      <w:r>
        <w:rPr>
          <w:noProof/>
        </w:rPr>
        <w:t>40</w:t>
      </w:r>
    </w:p>
    <w:p w:rsidR="002002F4" w:rsidRDefault="002002F4" w:rsidP="002002F4">
      <w:pPr>
        <w:ind w:firstLine="0"/>
        <w:rPr>
          <w:noProof/>
        </w:rPr>
      </w:pPr>
      <w:r>
        <w:rPr>
          <w:noProof/>
          <w:rtl/>
        </w:rPr>
        <w:t xml:space="preserve">أبو الخطّاب، </w:t>
      </w:r>
      <w:r>
        <w:rPr>
          <w:noProof/>
        </w:rPr>
        <w:t>366</w:t>
      </w:r>
      <w:r>
        <w:rPr>
          <w:noProof/>
          <w:rtl/>
        </w:rPr>
        <w:t xml:space="preserve">، </w:t>
      </w:r>
      <w:r>
        <w:rPr>
          <w:noProof/>
        </w:rPr>
        <w:t>386</w:t>
      </w:r>
    </w:p>
    <w:p w:rsidR="002002F4" w:rsidRDefault="002002F4" w:rsidP="002002F4">
      <w:pPr>
        <w:ind w:firstLine="0"/>
        <w:rPr>
          <w:noProof/>
          <w:rtl/>
        </w:rPr>
      </w:pPr>
      <w:r>
        <w:rPr>
          <w:noProof/>
          <w:rtl/>
        </w:rPr>
        <w:t xml:space="preserve">أبو الفتوح الرازي، حسين بن علي بن محمّد، </w:t>
      </w:r>
      <w:r>
        <w:rPr>
          <w:noProof/>
        </w:rPr>
        <w:t>97</w:t>
      </w:r>
    </w:p>
    <w:p w:rsidR="002002F4" w:rsidRDefault="002002F4" w:rsidP="002002F4">
      <w:pPr>
        <w:ind w:firstLine="0"/>
        <w:rPr>
          <w:noProof/>
        </w:rPr>
      </w:pPr>
      <w:r>
        <w:rPr>
          <w:noProof/>
          <w:rtl/>
        </w:rPr>
        <w:t xml:space="preserve">أبو الوليد عبد الملك بن عبد العزيز ابن جريج، </w:t>
      </w:r>
      <w:r>
        <w:rPr>
          <w:noProof/>
        </w:rPr>
        <w:t>401</w:t>
      </w:r>
    </w:p>
    <w:p w:rsidR="002002F4" w:rsidRDefault="002002F4" w:rsidP="002002F4">
      <w:pPr>
        <w:ind w:firstLine="0"/>
        <w:rPr>
          <w:noProof/>
        </w:rPr>
      </w:pPr>
      <w:r>
        <w:rPr>
          <w:noProof/>
          <w:rtl/>
        </w:rPr>
        <w:t xml:space="preserve">أبو جعفر الصفّار، </w:t>
      </w:r>
      <w:r>
        <w:rPr>
          <w:noProof/>
        </w:rPr>
        <w:t>319</w:t>
      </w:r>
      <w:r>
        <w:rPr>
          <w:noProof/>
          <w:rtl/>
        </w:rPr>
        <w:t xml:space="preserve">، </w:t>
      </w:r>
      <w:r>
        <w:rPr>
          <w:noProof/>
        </w:rPr>
        <w:t>320</w:t>
      </w:r>
    </w:p>
    <w:p w:rsidR="002002F4" w:rsidRDefault="002002F4" w:rsidP="002002F4">
      <w:pPr>
        <w:ind w:firstLine="0"/>
        <w:rPr>
          <w:noProof/>
        </w:rPr>
      </w:pPr>
      <w:r>
        <w:rPr>
          <w:noProof/>
          <w:rtl/>
        </w:rPr>
        <w:t xml:space="preserve">أبو جعفر(ع) </w:t>
      </w:r>
      <w:r>
        <w:rPr>
          <w:noProof/>
        </w:rPr>
        <w:t>=</w:t>
      </w:r>
      <w:r>
        <w:rPr>
          <w:noProof/>
          <w:rtl/>
        </w:rPr>
        <w:t xml:space="preserve"> </w:t>
      </w:r>
      <w:r>
        <w:rPr>
          <w:rFonts w:hint="cs"/>
          <w:noProof/>
          <w:rtl/>
        </w:rPr>
        <w:t>الإمام الباقر(ع)</w:t>
      </w:r>
    </w:p>
    <w:p w:rsidR="002002F4" w:rsidRDefault="002002F4" w:rsidP="002002F4">
      <w:pPr>
        <w:ind w:firstLine="0"/>
        <w:rPr>
          <w:noProof/>
        </w:rPr>
      </w:pPr>
      <w:r>
        <w:rPr>
          <w:noProof/>
          <w:rtl/>
        </w:rPr>
        <w:t xml:space="preserve">أبو خديجة سالم بن مكرم، </w:t>
      </w:r>
      <w:r>
        <w:rPr>
          <w:noProof/>
        </w:rPr>
        <w:t>120</w:t>
      </w:r>
      <w:r>
        <w:rPr>
          <w:noProof/>
          <w:rtl/>
        </w:rPr>
        <w:t xml:space="preserve">، </w:t>
      </w:r>
      <w:r>
        <w:rPr>
          <w:noProof/>
        </w:rPr>
        <w:t>123</w:t>
      </w:r>
      <w:r>
        <w:rPr>
          <w:noProof/>
          <w:rtl/>
        </w:rPr>
        <w:t xml:space="preserve">، </w:t>
      </w:r>
      <w:r>
        <w:rPr>
          <w:noProof/>
        </w:rPr>
        <w:t>343</w:t>
      </w:r>
      <w:r>
        <w:rPr>
          <w:noProof/>
          <w:rtl/>
        </w:rPr>
        <w:t xml:space="preserve">، </w:t>
      </w:r>
      <w:r>
        <w:rPr>
          <w:noProof/>
        </w:rPr>
        <w:t>355</w:t>
      </w:r>
      <w:r>
        <w:rPr>
          <w:noProof/>
          <w:rtl/>
        </w:rPr>
        <w:t xml:space="preserve">، </w:t>
      </w:r>
      <w:r>
        <w:rPr>
          <w:noProof/>
        </w:rPr>
        <w:t>361</w:t>
      </w:r>
      <w:r>
        <w:rPr>
          <w:noProof/>
          <w:rtl/>
        </w:rPr>
        <w:t xml:space="preserve">، </w:t>
      </w:r>
      <w:r>
        <w:rPr>
          <w:noProof/>
        </w:rPr>
        <w:t>362</w:t>
      </w:r>
      <w:r>
        <w:rPr>
          <w:noProof/>
          <w:rtl/>
        </w:rPr>
        <w:t xml:space="preserve">، </w:t>
      </w:r>
      <w:r>
        <w:rPr>
          <w:noProof/>
        </w:rPr>
        <w:t>363</w:t>
      </w:r>
      <w:r>
        <w:rPr>
          <w:noProof/>
          <w:rtl/>
        </w:rPr>
        <w:t xml:space="preserve">، </w:t>
      </w:r>
      <w:r>
        <w:rPr>
          <w:noProof/>
        </w:rPr>
        <w:t>364</w:t>
      </w:r>
      <w:r>
        <w:rPr>
          <w:noProof/>
          <w:rtl/>
        </w:rPr>
        <w:t xml:space="preserve">، </w:t>
      </w:r>
      <w:r>
        <w:rPr>
          <w:noProof/>
        </w:rPr>
        <w:t>365</w:t>
      </w:r>
      <w:r>
        <w:rPr>
          <w:noProof/>
          <w:rtl/>
        </w:rPr>
        <w:t xml:space="preserve">، </w:t>
      </w:r>
      <w:r>
        <w:rPr>
          <w:noProof/>
        </w:rPr>
        <w:t>366</w:t>
      </w:r>
      <w:r>
        <w:rPr>
          <w:noProof/>
          <w:rtl/>
        </w:rPr>
        <w:t xml:space="preserve">، </w:t>
      </w:r>
      <w:r>
        <w:rPr>
          <w:noProof/>
        </w:rPr>
        <w:t>367</w:t>
      </w:r>
      <w:r>
        <w:rPr>
          <w:noProof/>
          <w:rtl/>
        </w:rPr>
        <w:t xml:space="preserve">، </w:t>
      </w:r>
      <w:r>
        <w:rPr>
          <w:noProof/>
        </w:rPr>
        <w:t>368</w:t>
      </w:r>
      <w:r>
        <w:rPr>
          <w:noProof/>
          <w:rtl/>
        </w:rPr>
        <w:t xml:space="preserve">، </w:t>
      </w:r>
      <w:r>
        <w:rPr>
          <w:noProof/>
        </w:rPr>
        <w:t>392</w:t>
      </w:r>
      <w:r>
        <w:rPr>
          <w:noProof/>
          <w:rtl/>
        </w:rPr>
        <w:t xml:space="preserve">، </w:t>
      </w:r>
      <w:r>
        <w:rPr>
          <w:noProof/>
        </w:rPr>
        <w:t>442</w:t>
      </w:r>
    </w:p>
    <w:p w:rsidR="002002F4" w:rsidRDefault="002002F4" w:rsidP="002002F4">
      <w:pPr>
        <w:ind w:firstLine="0"/>
        <w:rPr>
          <w:noProof/>
        </w:rPr>
      </w:pPr>
      <w:r>
        <w:rPr>
          <w:noProof/>
          <w:rtl/>
        </w:rPr>
        <w:t xml:space="preserve">أبو عبد الله(ع) </w:t>
      </w:r>
      <w:r>
        <w:rPr>
          <w:noProof/>
        </w:rPr>
        <w:t>=</w:t>
      </w:r>
      <w:r>
        <w:rPr>
          <w:noProof/>
          <w:rtl/>
        </w:rPr>
        <w:t xml:space="preserve"> </w:t>
      </w:r>
      <w:r>
        <w:rPr>
          <w:rFonts w:hint="cs"/>
          <w:noProof/>
          <w:rtl/>
        </w:rPr>
        <w:t>الإمام الصادق(ع)</w:t>
      </w:r>
    </w:p>
    <w:p w:rsidR="002002F4" w:rsidRDefault="002002F4" w:rsidP="002002F4">
      <w:pPr>
        <w:ind w:firstLine="0"/>
        <w:rPr>
          <w:noProof/>
        </w:rPr>
      </w:pPr>
      <w:r>
        <w:rPr>
          <w:noProof/>
          <w:rtl/>
        </w:rPr>
        <w:t xml:space="preserve">أبو علي حسين بن عبد الله سينا، </w:t>
      </w:r>
      <w:r>
        <w:rPr>
          <w:noProof/>
        </w:rPr>
        <w:t>286</w:t>
      </w:r>
      <w:r>
        <w:rPr>
          <w:noProof/>
          <w:rtl/>
        </w:rPr>
        <w:t xml:space="preserve">، </w:t>
      </w:r>
      <w:r>
        <w:rPr>
          <w:noProof/>
        </w:rPr>
        <w:t>423</w:t>
      </w:r>
    </w:p>
    <w:p w:rsidR="002002F4" w:rsidRDefault="002002F4" w:rsidP="002002F4">
      <w:pPr>
        <w:ind w:firstLine="0"/>
        <w:rPr>
          <w:noProof/>
        </w:rPr>
      </w:pPr>
      <w:r>
        <w:rPr>
          <w:noProof/>
          <w:rtl/>
        </w:rPr>
        <w:t xml:space="preserve">أبو عليّ، </w:t>
      </w:r>
      <w:r>
        <w:rPr>
          <w:noProof/>
        </w:rPr>
        <w:t>401</w:t>
      </w:r>
    </w:p>
    <w:p w:rsidR="002002F4" w:rsidRDefault="002002F4" w:rsidP="002002F4">
      <w:pPr>
        <w:ind w:firstLine="0"/>
        <w:rPr>
          <w:noProof/>
          <w:rtl/>
        </w:rPr>
      </w:pPr>
      <w:r>
        <w:rPr>
          <w:noProof/>
          <w:rtl/>
        </w:rPr>
        <w:t xml:space="preserve">أبو غالب الرازي، </w:t>
      </w:r>
      <w:r>
        <w:rPr>
          <w:noProof/>
        </w:rPr>
        <w:t>376</w:t>
      </w:r>
      <w:r>
        <w:rPr>
          <w:noProof/>
          <w:rtl/>
        </w:rPr>
        <w:t xml:space="preserve">، </w:t>
      </w:r>
      <w:r>
        <w:rPr>
          <w:noProof/>
        </w:rPr>
        <w:t>377</w:t>
      </w:r>
    </w:p>
    <w:p w:rsidR="002002F4" w:rsidRDefault="002002F4" w:rsidP="002002F4">
      <w:pPr>
        <w:ind w:firstLine="0"/>
        <w:rPr>
          <w:noProof/>
        </w:rPr>
      </w:pPr>
      <w:r>
        <w:rPr>
          <w:noProof/>
          <w:rtl/>
        </w:rPr>
        <w:t xml:space="preserve">أبو محمّد </w:t>
      </w:r>
      <w:r>
        <w:rPr>
          <w:noProof/>
        </w:rPr>
        <w:t>=</w:t>
      </w:r>
      <w:r>
        <w:rPr>
          <w:noProof/>
          <w:rtl/>
        </w:rPr>
        <w:t xml:space="preserve"> </w:t>
      </w:r>
      <w:r>
        <w:rPr>
          <w:rFonts w:hint="cs"/>
          <w:noProof/>
          <w:rtl/>
        </w:rPr>
        <w:t>الإمام العسكري(ع)</w:t>
      </w:r>
    </w:p>
    <w:p w:rsidR="002002F4" w:rsidRDefault="002002F4" w:rsidP="002002F4">
      <w:pPr>
        <w:ind w:firstLine="0"/>
        <w:rPr>
          <w:noProof/>
        </w:rPr>
      </w:pPr>
      <w:r>
        <w:rPr>
          <w:noProof/>
          <w:rtl/>
        </w:rPr>
        <w:t xml:space="preserve">أبون بن تغلب، </w:t>
      </w:r>
      <w:r>
        <w:rPr>
          <w:noProof/>
        </w:rPr>
        <w:t>48</w:t>
      </w:r>
    </w:p>
    <w:p w:rsidR="002002F4" w:rsidRDefault="002002F4" w:rsidP="002002F4">
      <w:pPr>
        <w:ind w:firstLine="0"/>
        <w:rPr>
          <w:noProof/>
        </w:rPr>
      </w:pPr>
      <w:r>
        <w:rPr>
          <w:noProof/>
          <w:rtl/>
        </w:rPr>
        <w:t xml:space="preserve">أحمد بن حسين بن عبيد الله الغضائري، </w:t>
      </w:r>
      <w:r>
        <w:rPr>
          <w:noProof/>
        </w:rPr>
        <w:t>315</w:t>
      </w:r>
      <w:r>
        <w:rPr>
          <w:noProof/>
          <w:rtl/>
        </w:rPr>
        <w:t xml:space="preserve">، </w:t>
      </w:r>
      <w:r>
        <w:rPr>
          <w:noProof/>
        </w:rPr>
        <w:t>326</w:t>
      </w:r>
      <w:r>
        <w:rPr>
          <w:noProof/>
          <w:rtl/>
        </w:rPr>
        <w:t xml:space="preserve">، </w:t>
      </w:r>
      <w:r>
        <w:rPr>
          <w:noProof/>
        </w:rPr>
        <w:t>364</w:t>
      </w:r>
      <w:r>
        <w:rPr>
          <w:noProof/>
          <w:rtl/>
        </w:rPr>
        <w:t xml:space="preserve">، </w:t>
      </w:r>
      <w:r>
        <w:rPr>
          <w:noProof/>
        </w:rPr>
        <w:t>370</w:t>
      </w:r>
      <w:r>
        <w:rPr>
          <w:noProof/>
          <w:rtl/>
        </w:rPr>
        <w:t xml:space="preserve">، </w:t>
      </w:r>
      <w:r>
        <w:rPr>
          <w:noProof/>
        </w:rPr>
        <w:t>372</w:t>
      </w:r>
    </w:p>
    <w:p w:rsidR="002002F4" w:rsidRDefault="002002F4" w:rsidP="002002F4">
      <w:pPr>
        <w:ind w:firstLine="0"/>
        <w:rPr>
          <w:noProof/>
        </w:rPr>
      </w:pPr>
      <w:r>
        <w:rPr>
          <w:noProof/>
          <w:rtl/>
        </w:rPr>
        <w:t xml:space="preserve">أحمد بن حنبل، </w:t>
      </w:r>
      <w:r>
        <w:rPr>
          <w:noProof/>
        </w:rPr>
        <w:t>95</w:t>
      </w:r>
    </w:p>
    <w:p w:rsidR="002002F4" w:rsidRDefault="002002F4" w:rsidP="002002F4">
      <w:pPr>
        <w:ind w:firstLine="0"/>
        <w:rPr>
          <w:noProof/>
        </w:rPr>
      </w:pPr>
      <w:r>
        <w:rPr>
          <w:noProof/>
          <w:rtl/>
        </w:rPr>
        <w:t xml:space="preserve">أحمد بن عائذ، </w:t>
      </w:r>
      <w:r>
        <w:rPr>
          <w:noProof/>
        </w:rPr>
        <w:t>363</w:t>
      </w:r>
    </w:p>
    <w:p w:rsidR="002002F4" w:rsidRDefault="002002F4" w:rsidP="002002F4">
      <w:pPr>
        <w:ind w:firstLine="0"/>
        <w:rPr>
          <w:noProof/>
        </w:rPr>
      </w:pPr>
      <w:r>
        <w:rPr>
          <w:noProof/>
          <w:rtl/>
        </w:rPr>
        <w:t xml:space="preserve">أحمد بن محمّد، </w:t>
      </w:r>
      <w:r>
        <w:rPr>
          <w:noProof/>
        </w:rPr>
        <w:t>320</w:t>
      </w:r>
      <w:r>
        <w:rPr>
          <w:noProof/>
          <w:rtl/>
        </w:rPr>
        <w:t xml:space="preserve">، </w:t>
      </w:r>
      <w:r>
        <w:rPr>
          <w:noProof/>
        </w:rPr>
        <w:t>363</w:t>
      </w:r>
      <w:r>
        <w:rPr>
          <w:noProof/>
          <w:rtl/>
        </w:rPr>
        <w:t xml:space="preserve">، </w:t>
      </w:r>
      <w:r>
        <w:rPr>
          <w:noProof/>
        </w:rPr>
        <w:t>369</w:t>
      </w:r>
    </w:p>
    <w:p w:rsidR="002002F4" w:rsidRDefault="002002F4" w:rsidP="002002F4">
      <w:pPr>
        <w:ind w:firstLine="0"/>
        <w:rPr>
          <w:noProof/>
        </w:rPr>
      </w:pPr>
      <w:r>
        <w:rPr>
          <w:noProof/>
          <w:rtl/>
        </w:rPr>
        <w:t xml:space="preserve">الازدي السجستاني، أبو داوود سليمان، </w:t>
      </w:r>
      <w:r>
        <w:rPr>
          <w:noProof/>
        </w:rPr>
        <w:t>297</w:t>
      </w:r>
      <w:r>
        <w:rPr>
          <w:noProof/>
          <w:rtl/>
        </w:rPr>
        <w:t xml:space="preserve">، </w:t>
      </w:r>
      <w:r>
        <w:rPr>
          <w:noProof/>
        </w:rPr>
        <w:t>319</w:t>
      </w:r>
    </w:p>
    <w:p w:rsidR="002002F4" w:rsidRDefault="002002F4" w:rsidP="002002F4">
      <w:pPr>
        <w:ind w:firstLine="0"/>
        <w:rPr>
          <w:noProof/>
        </w:rPr>
      </w:pPr>
      <w:r>
        <w:rPr>
          <w:noProof/>
          <w:rtl/>
        </w:rPr>
        <w:t xml:space="preserve">الإسترآبادي، محمّد بن إبراهيم، </w:t>
      </w:r>
      <w:r>
        <w:rPr>
          <w:noProof/>
        </w:rPr>
        <w:t>379</w:t>
      </w:r>
    </w:p>
    <w:p w:rsidR="002002F4" w:rsidRDefault="002002F4" w:rsidP="002002F4">
      <w:pPr>
        <w:ind w:firstLine="0"/>
        <w:rPr>
          <w:noProof/>
        </w:rPr>
      </w:pPr>
      <w:r>
        <w:rPr>
          <w:noProof/>
          <w:rtl/>
        </w:rPr>
        <w:t xml:space="preserve">إسحاق بن يعقوب، </w:t>
      </w:r>
      <w:r>
        <w:rPr>
          <w:noProof/>
        </w:rPr>
        <w:t>375</w:t>
      </w:r>
      <w:r>
        <w:rPr>
          <w:noProof/>
          <w:rtl/>
        </w:rPr>
        <w:t xml:space="preserve">، </w:t>
      </w:r>
      <w:r>
        <w:rPr>
          <w:noProof/>
        </w:rPr>
        <w:t>376</w:t>
      </w:r>
      <w:r>
        <w:rPr>
          <w:noProof/>
          <w:rtl/>
        </w:rPr>
        <w:t xml:space="preserve">، </w:t>
      </w:r>
      <w:r>
        <w:rPr>
          <w:noProof/>
        </w:rPr>
        <w:t>378</w:t>
      </w:r>
      <w:r>
        <w:rPr>
          <w:noProof/>
          <w:rtl/>
        </w:rPr>
        <w:t xml:space="preserve">، </w:t>
      </w:r>
      <w:r>
        <w:rPr>
          <w:noProof/>
        </w:rPr>
        <w:t>379</w:t>
      </w:r>
      <w:r>
        <w:rPr>
          <w:noProof/>
          <w:rtl/>
        </w:rPr>
        <w:t xml:space="preserve">، </w:t>
      </w:r>
      <w:r>
        <w:rPr>
          <w:noProof/>
        </w:rPr>
        <w:t>382</w:t>
      </w:r>
      <w:r>
        <w:rPr>
          <w:noProof/>
          <w:rtl/>
        </w:rPr>
        <w:t xml:space="preserve">، </w:t>
      </w:r>
      <w:r>
        <w:rPr>
          <w:noProof/>
        </w:rPr>
        <w:t>383</w:t>
      </w:r>
      <w:r>
        <w:rPr>
          <w:noProof/>
          <w:rtl/>
        </w:rPr>
        <w:t xml:space="preserve">، </w:t>
      </w:r>
      <w:r>
        <w:rPr>
          <w:noProof/>
        </w:rPr>
        <w:t>384</w:t>
      </w:r>
      <w:r>
        <w:rPr>
          <w:noProof/>
          <w:rtl/>
        </w:rPr>
        <w:t xml:space="preserve">، </w:t>
      </w:r>
      <w:r>
        <w:rPr>
          <w:noProof/>
        </w:rPr>
        <w:t>385</w:t>
      </w:r>
      <w:r>
        <w:rPr>
          <w:noProof/>
          <w:rtl/>
        </w:rPr>
        <w:t xml:space="preserve">، </w:t>
      </w:r>
      <w:r>
        <w:rPr>
          <w:noProof/>
        </w:rPr>
        <w:t>386</w:t>
      </w:r>
      <w:r>
        <w:rPr>
          <w:noProof/>
          <w:rtl/>
        </w:rPr>
        <w:t xml:space="preserve">، </w:t>
      </w:r>
      <w:r>
        <w:rPr>
          <w:noProof/>
        </w:rPr>
        <w:t>387</w:t>
      </w:r>
      <w:r>
        <w:rPr>
          <w:noProof/>
          <w:rtl/>
        </w:rPr>
        <w:t xml:space="preserve">، </w:t>
      </w:r>
      <w:r>
        <w:rPr>
          <w:noProof/>
        </w:rPr>
        <w:t>392</w:t>
      </w:r>
    </w:p>
    <w:p w:rsidR="002002F4" w:rsidRDefault="002002F4" w:rsidP="002002F4">
      <w:pPr>
        <w:ind w:firstLine="0"/>
        <w:rPr>
          <w:noProof/>
        </w:rPr>
      </w:pPr>
      <w:r>
        <w:rPr>
          <w:noProof/>
          <w:rtl/>
        </w:rPr>
        <w:t xml:space="preserve">إسماعيل الجعفي، </w:t>
      </w:r>
      <w:r>
        <w:rPr>
          <w:noProof/>
        </w:rPr>
        <w:t>347</w:t>
      </w:r>
    </w:p>
    <w:p w:rsidR="002002F4" w:rsidRDefault="002002F4" w:rsidP="002002F4">
      <w:pPr>
        <w:ind w:firstLine="0"/>
        <w:rPr>
          <w:noProof/>
        </w:rPr>
      </w:pPr>
      <w:r>
        <w:rPr>
          <w:noProof/>
          <w:rtl/>
        </w:rPr>
        <w:t xml:space="preserve">إسماعيل بن أبي زياد السكوني، </w:t>
      </w:r>
      <w:r>
        <w:rPr>
          <w:noProof/>
        </w:rPr>
        <w:t>123</w:t>
      </w:r>
      <w:r>
        <w:rPr>
          <w:noProof/>
          <w:rtl/>
        </w:rPr>
        <w:t xml:space="preserve">، </w:t>
      </w:r>
      <w:r>
        <w:rPr>
          <w:noProof/>
        </w:rPr>
        <w:t>312</w:t>
      </w:r>
      <w:r>
        <w:rPr>
          <w:noProof/>
          <w:rtl/>
        </w:rPr>
        <w:t xml:space="preserve">، </w:t>
      </w:r>
      <w:r>
        <w:rPr>
          <w:noProof/>
        </w:rPr>
        <w:t>315</w:t>
      </w:r>
      <w:r>
        <w:rPr>
          <w:noProof/>
          <w:rtl/>
        </w:rPr>
        <w:t xml:space="preserve">، </w:t>
      </w:r>
      <w:r>
        <w:rPr>
          <w:noProof/>
        </w:rPr>
        <w:t>393</w:t>
      </w:r>
    </w:p>
    <w:p w:rsidR="002002F4" w:rsidRDefault="002002F4" w:rsidP="002002F4">
      <w:pPr>
        <w:ind w:firstLine="0"/>
        <w:rPr>
          <w:noProof/>
        </w:rPr>
      </w:pPr>
      <w:r>
        <w:rPr>
          <w:noProof/>
          <w:rtl/>
        </w:rPr>
        <w:t xml:space="preserve">إسماعيل، عثمان، </w:t>
      </w:r>
      <w:r>
        <w:rPr>
          <w:noProof/>
        </w:rPr>
        <w:t>46</w:t>
      </w:r>
    </w:p>
    <w:p w:rsidR="002002F4" w:rsidRDefault="002002F4" w:rsidP="002002F4">
      <w:pPr>
        <w:ind w:firstLine="0"/>
        <w:rPr>
          <w:noProof/>
        </w:rPr>
      </w:pPr>
      <w:r>
        <w:rPr>
          <w:noProof/>
          <w:rtl/>
        </w:rPr>
        <w:t xml:space="preserve">إفلاطون، </w:t>
      </w:r>
      <w:r>
        <w:rPr>
          <w:noProof/>
        </w:rPr>
        <w:t>12</w:t>
      </w:r>
      <w:r>
        <w:rPr>
          <w:noProof/>
          <w:rtl/>
        </w:rPr>
        <w:t xml:space="preserve">، </w:t>
      </w:r>
      <w:r>
        <w:rPr>
          <w:noProof/>
        </w:rPr>
        <w:t>327</w:t>
      </w:r>
    </w:p>
    <w:p w:rsidR="002002F4" w:rsidRDefault="002002F4" w:rsidP="002002F4">
      <w:pPr>
        <w:ind w:firstLine="0"/>
        <w:rPr>
          <w:noProof/>
        </w:rPr>
      </w:pPr>
      <w:r>
        <w:rPr>
          <w:noProof/>
          <w:rtl/>
        </w:rPr>
        <w:t xml:space="preserve">الإمام الباقر(ع) ، </w:t>
      </w:r>
      <w:r>
        <w:rPr>
          <w:noProof/>
        </w:rPr>
        <w:t>48</w:t>
      </w:r>
      <w:r>
        <w:rPr>
          <w:noProof/>
          <w:rtl/>
        </w:rPr>
        <w:t xml:space="preserve">، </w:t>
      </w:r>
      <w:r>
        <w:rPr>
          <w:noProof/>
        </w:rPr>
        <w:t>58</w:t>
      </w:r>
      <w:r>
        <w:rPr>
          <w:noProof/>
          <w:rtl/>
        </w:rPr>
        <w:t xml:space="preserve">، </w:t>
      </w:r>
      <w:r>
        <w:rPr>
          <w:noProof/>
        </w:rPr>
        <w:t>107</w:t>
      </w:r>
      <w:r>
        <w:rPr>
          <w:noProof/>
          <w:rtl/>
        </w:rPr>
        <w:t xml:space="preserve">، </w:t>
      </w:r>
      <w:r>
        <w:rPr>
          <w:noProof/>
        </w:rPr>
        <w:t>343</w:t>
      </w:r>
      <w:r>
        <w:rPr>
          <w:noProof/>
          <w:rtl/>
        </w:rPr>
        <w:t xml:space="preserve">، </w:t>
      </w:r>
      <w:r>
        <w:rPr>
          <w:noProof/>
        </w:rPr>
        <w:t>347</w:t>
      </w:r>
      <w:r>
        <w:rPr>
          <w:noProof/>
          <w:rtl/>
        </w:rPr>
        <w:t xml:space="preserve">، </w:t>
      </w:r>
      <w:r>
        <w:rPr>
          <w:noProof/>
        </w:rPr>
        <w:t>400</w:t>
      </w:r>
      <w:r>
        <w:rPr>
          <w:noProof/>
          <w:rtl/>
        </w:rPr>
        <w:t xml:space="preserve">، </w:t>
      </w:r>
      <w:r>
        <w:rPr>
          <w:noProof/>
        </w:rPr>
        <w:t>401</w:t>
      </w:r>
    </w:p>
    <w:p w:rsidR="002002F4" w:rsidRDefault="002002F4" w:rsidP="002002F4">
      <w:pPr>
        <w:ind w:firstLine="0"/>
        <w:rPr>
          <w:noProof/>
        </w:rPr>
      </w:pPr>
      <w:r>
        <w:rPr>
          <w:noProof/>
          <w:rtl/>
        </w:rPr>
        <w:t xml:space="preserve">الإمام الجواد(ع)، </w:t>
      </w:r>
      <w:r>
        <w:rPr>
          <w:noProof/>
        </w:rPr>
        <w:t>58</w:t>
      </w:r>
    </w:p>
    <w:p w:rsidR="002002F4" w:rsidRDefault="002002F4" w:rsidP="002002F4">
      <w:pPr>
        <w:ind w:firstLine="0"/>
        <w:rPr>
          <w:noProof/>
        </w:rPr>
      </w:pPr>
      <w:r>
        <w:rPr>
          <w:noProof/>
          <w:rtl/>
        </w:rPr>
        <w:t>الإمام الحجّة = الإمام المهدي(عج)</w:t>
      </w:r>
    </w:p>
    <w:p w:rsidR="002002F4" w:rsidRDefault="002002F4" w:rsidP="002002F4">
      <w:pPr>
        <w:ind w:firstLine="0"/>
        <w:rPr>
          <w:noProof/>
          <w:rtl/>
        </w:rPr>
      </w:pPr>
      <w:r>
        <w:rPr>
          <w:noProof/>
          <w:rtl/>
        </w:rPr>
        <w:t xml:space="preserve">الإمام الحسن بن عليّ(ع)، </w:t>
      </w:r>
      <w:r>
        <w:rPr>
          <w:noProof/>
        </w:rPr>
        <w:t>58</w:t>
      </w:r>
      <w:r>
        <w:rPr>
          <w:noProof/>
          <w:rtl/>
        </w:rPr>
        <w:t xml:space="preserve">، </w:t>
      </w:r>
      <w:r>
        <w:rPr>
          <w:noProof/>
        </w:rPr>
        <w:t>122</w:t>
      </w:r>
      <w:r>
        <w:rPr>
          <w:noProof/>
          <w:rtl/>
        </w:rPr>
        <w:t xml:space="preserve">، </w:t>
      </w:r>
      <w:r>
        <w:rPr>
          <w:noProof/>
        </w:rPr>
        <w:t>192</w:t>
      </w:r>
    </w:p>
    <w:p w:rsidR="002002F4" w:rsidRDefault="002002F4" w:rsidP="002002F4">
      <w:pPr>
        <w:ind w:firstLine="0"/>
        <w:rPr>
          <w:noProof/>
        </w:rPr>
      </w:pPr>
      <w:r>
        <w:rPr>
          <w:noProof/>
          <w:rtl/>
        </w:rPr>
        <w:t xml:space="preserve">الإمام الحسين بن عليّ(ع)، </w:t>
      </w:r>
      <w:r>
        <w:rPr>
          <w:noProof/>
        </w:rPr>
        <w:t>58</w:t>
      </w:r>
      <w:r>
        <w:rPr>
          <w:noProof/>
          <w:rtl/>
        </w:rPr>
        <w:t xml:space="preserve">، </w:t>
      </w:r>
      <w:r>
        <w:rPr>
          <w:noProof/>
        </w:rPr>
        <w:t>122</w:t>
      </w:r>
      <w:r>
        <w:rPr>
          <w:noProof/>
          <w:rtl/>
        </w:rPr>
        <w:t xml:space="preserve">، </w:t>
      </w:r>
      <w:r>
        <w:rPr>
          <w:noProof/>
        </w:rPr>
        <w:t>294</w:t>
      </w:r>
      <w:r>
        <w:rPr>
          <w:noProof/>
          <w:rtl/>
        </w:rPr>
        <w:t xml:space="preserve">، </w:t>
      </w:r>
      <w:r>
        <w:rPr>
          <w:noProof/>
        </w:rPr>
        <w:t>337</w:t>
      </w:r>
      <w:r>
        <w:rPr>
          <w:noProof/>
          <w:rtl/>
        </w:rPr>
        <w:t xml:space="preserve">، </w:t>
      </w:r>
      <w:r>
        <w:rPr>
          <w:noProof/>
        </w:rPr>
        <w:t>338</w:t>
      </w:r>
    </w:p>
    <w:p w:rsidR="002002F4" w:rsidRDefault="002002F4" w:rsidP="002002F4">
      <w:pPr>
        <w:ind w:firstLine="0"/>
        <w:rPr>
          <w:noProof/>
        </w:rPr>
      </w:pPr>
      <w:r>
        <w:rPr>
          <w:noProof/>
          <w:rtl/>
        </w:rPr>
        <w:t xml:space="preserve">الإمام الرضا(ع)، </w:t>
      </w:r>
      <w:r>
        <w:rPr>
          <w:noProof/>
        </w:rPr>
        <w:t>49</w:t>
      </w:r>
      <w:r>
        <w:rPr>
          <w:noProof/>
          <w:rtl/>
        </w:rPr>
        <w:t xml:space="preserve">، </w:t>
      </w:r>
      <w:r>
        <w:rPr>
          <w:noProof/>
        </w:rPr>
        <w:t>58</w:t>
      </w:r>
      <w:r>
        <w:rPr>
          <w:noProof/>
          <w:rtl/>
        </w:rPr>
        <w:t xml:space="preserve">، </w:t>
      </w:r>
      <w:r>
        <w:rPr>
          <w:noProof/>
        </w:rPr>
        <w:t>321</w:t>
      </w:r>
    </w:p>
    <w:p w:rsidR="002002F4" w:rsidRDefault="002002F4" w:rsidP="002002F4">
      <w:pPr>
        <w:ind w:firstLine="0"/>
        <w:rPr>
          <w:noProof/>
        </w:rPr>
      </w:pPr>
      <w:r>
        <w:rPr>
          <w:noProof/>
          <w:rtl/>
        </w:rPr>
        <w:t xml:space="preserve">الإمام الصادق(ع)، </w:t>
      </w:r>
      <w:r>
        <w:rPr>
          <w:noProof/>
        </w:rPr>
        <w:t>58</w:t>
      </w:r>
      <w:r>
        <w:rPr>
          <w:noProof/>
          <w:rtl/>
        </w:rPr>
        <w:t xml:space="preserve">، </w:t>
      </w:r>
      <w:r>
        <w:rPr>
          <w:noProof/>
        </w:rPr>
        <w:t>115</w:t>
      </w:r>
      <w:r>
        <w:rPr>
          <w:noProof/>
          <w:rtl/>
        </w:rPr>
        <w:t xml:space="preserve">، </w:t>
      </w:r>
      <w:r>
        <w:rPr>
          <w:noProof/>
        </w:rPr>
        <w:t>119</w:t>
      </w:r>
      <w:r>
        <w:rPr>
          <w:noProof/>
          <w:rtl/>
        </w:rPr>
        <w:t xml:space="preserve">، </w:t>
      </w:r>
      <w:r>
        <w:rPr>
          <w:noProof/>
        </w:rPr>
        <w:t>120</w:t>
      </w:r>
      <w:r>
        <w:rPr>
          <w:noProof/>
          <w:rtl/>
        </w:rPr>
        <w:t xml:space="preserve">، </w:t>
      </w:r>
      <w:r>
        <w:rPr>
          <w:noProof/>
        </w:rPr>
        <w:t>189</w:t>
      </w:r>
      <w:r>
        <w:rPr>
          <w:noProof/>
          <w:rtl/>
        </w:rPr>
        <w:t xml:space="preserve">، </w:t>
      </w:r>
      <w:r>
        <w:rPr>
          <w:noProof/>
        </w:rPr>
        <w:t>294</w:t>
      </w:r>
      <w:r>
        <w:rPr>
          <w:noProof/>
          <w:rtl/>
        </w:rPr>
        <w:t xml:space="preserve">، </w:t>
      </w:r>
      <w:r>
        <w:rPr>
          <w:noProof/>
        </w:rPr>
        <w:t>312</w:t>
      </w:r>
      <w:r>
        <w:rPr>
          <w:noProof/>
          <w:rtl/>
        </w:rPr>
        <w:t xml:space="preserve">، </w:t>
      </w:r>
      <w:r>
        <w:rPr>
          <w:noProof/>
        </w:rPr>
        <w:t>318</w:t>
      </w:r>
      <w:r>
        <w:rPr>
          <w:noProof/>
          <w:rtl/>
        </w:rPr>
        <w:t xml:space="preserve">، </w:t>
      </w:r>
      <w:r>
        <w:rPr>
          <w:noProof/>
        </w:rPr>
        <w:t>319</w:t>
      </w:r>
      <w:r>
        <w:rPr>
          <w:noProof/>
          <w:rtl/>
        </w:rPr>
        <w:t xml:space="preserve">، </w:t>
      </w:r>
      <w:r>
        <w:rPr>
          <w:noProof/>
        </w:rPr>
        <w:t>320</w:t>
      </w:r>
      <w:r>
        <w:rPr>
          <w:noProof/>
          <w:rtl/>
        </w:rPr>
        <w:t xml:space="preserve">، </w:t>
      </w:r>
      <w:r>
        <w:rPr>
          <w:noProof/>
        </w:rPr>
        <w:t>325</w:t>
      </w:r>
      <w:r>
        <w:rPr>
          <w:noProof/>
          <w:rtl/>
        </w:rPr>
        <w:t xml:space="preserve">، </w:t>
      </w:r>
      <w:r>
        <w:rPr>
          <w:noProof/>
        </w:rPr>
        <w:t>333</w:t>
      </w:r>
      <w:r>
        <w:rPr>
          <w:noProof/>
          <w:rtl/>
        </w:rPr>
        <w:t xml:space="preserve">، </w:t>
      </w:r>
      <w:r>
        <w:rPr>
          <w:noProof/>
        </w:rPr>
        <w:t>343</w:t>
      </w:r>
      <w:r>
        <w:rPr>
          <w:noProof/>
          <w:rtl/>
        </w:rPr>
        <w:t xml:space="preserve">، </w:t>
      </w:r>
      <w:r>
        <w:rPr>
          <w:noProof/>
        </w:rPr>
        <w:t>344</w:t>
      </w:r>
      <w:r>
        <w:rPr>
          <w:noProof/>
          <w:rtl/>
        </w:rPr>
        <w:t xml:space="preserve">، </w:t>
      </w:r>
      <w:r>
        <w:rPr>
          <w:noProof/>
        </w:rPr>
        <w:t>345</w:t>
      </w:r>
      <w:r>
        <w:rPr>
          <w:noProof/>
          <w:rtl/>
        </w:rPr>
        <w:t xml:space="preserve">، </w:t>
      </w:r>
      <w:r>
        <w:rPr>
          <w:noProof/>
        </w:rPr>
        <w:t>347</w:t>
      </w:r>
      <w:r>
        <w:rPr>
          <w:noProof/>
          <w:rtl/>
        </w:rPr>
        <w:t xml:space="preserve">، </w:t>
      </w:r>
      <w:r>
        <w:rPr>
          <w:noProof/>
        </w:rPr>
        <w:t>348</w:t>
      </w:r>
      <w:r>
        <w:rPr>
          <w:noProof/>
          <w:rtl/>
        </w:rPr>
        <w:t xml:space="preserve">، </w:t>
      </w:r>
      <w:r>
        <w:rPr>
          <w:noProof/>
        </w:rPr>
        <w:t>350</w:t>
      </w:r>
      <w:r>
        <w:rPr>
          <w:noProof/>
          <w:rtl/>
        </w:rPr>
        <w:t xml:space="preserve">، </w:t>
      </w:r>
      <w:r>
        <w:rPr>
          <w:noProof/>
        </w:rPr>
        <w:t>357</w:t>
      </w:r>
      <w:r>
        <w:rPr>
          <w:noProof/>
          <w:rtl/>
        </w:rPr>
        <w:t xml:space="preserve">، </w:t>
      </w:r>
      <w:r>
        <w:rPr>
          <w:noProof/>
        </w:rPr>
        <w:t>359</w:t>
      </w:r>
      <w:r>
        <w:rPr>
          <w:noProof/>
          <w:rtl/>
        </w:rPr>
        <w:t xml:space="preserve">، </w:t>
      </w:r>
      <w:r>
        <w:rPr>
          <w:noProof/>
        </w:rPr>
        <w:t>360</w:t>
      </w:r>
      <w:r>
        <w:rPr>
          <w:noProof/>
          <w:rtl/>
        </w:rPr>
        <w:t xml:space="preserve">، </w:t>
      </w:r>
      <w:r>
        <w:rPr>
          <w:noProof/>
        </w:rPr>
        <w:t>362</w:t>
      </w:r>
      <w:r>
        <w:rPr>
          <w:noProof/>
          <w:rtl/>
        </w:rPr>
        <w:t xml:space="preserve">، </w:t>
      </w:r>
      <w:r>
        <w:rPr>
          <w:noProof/>
        </w:rPr>
        <w:t>364</w:t>
      </w:r>
      <w:r>
        <w:rPr>
          <w:noProof/>
          <w:rtl/>
        </w:rPr>
        <w:t xml:space="preserve">، </w:t>
      </w:r>
      <w:r>
        <w:rPr>
          <w:noProof/>
        </w:rPr>
        <w:t>365</w:t>
      </w:r>
      <w:r>
        <w:rPr>
          <w:noProof/>
          <w:rtl/>
        </w:rPr>
        <w:t xml:space="preserve">، </w:t>
      </w:r>
      <w:r>
        <w:rPr>
          <w:noProof/>
        </w:rPr>
        <w:t>368</w:t>
      </w:r>
      <w:r>
        <w:rPr>
          <w:noProof/>
          <w:rtl/>
        </w:rPr>
        <w:t xml:space="preserve">، </w:t>
      </w:r>
      <w:r>
        <w:rPr>
          <w:noProof/>
        </w:rPr>
        <w:t>373</w:t>
      </w:r>
      <w:r>
        <w:rPr>
          <w:noProof/>
          <w:rtl/>
        </w:rPr>
        <w:t xml:space="preserve">، </w:t>
      </w:r>
      <w:r>
        <w:rPr>
          <w:noProof/>
        </w:rPr>
        <w:t>400</w:t>
      </w:r>
    </w:p>
    <w:p w:rsidR="002002F4" w:rsidRDefault="002002F4" w:rsidP="002002F4">
      <w:pPr>
        <w:ind w:firstLine="0"/>
        <w:rPr>
          <w:noProof/>
        </w:rPr>
      </w:pPr>
      <w:r>
        <w:rPr>
          <w:noProof/>
          <w:rtl/>
        </w:rPr>
        <w:t xml:space="preserve">الإمام العسكري(ع)، </w:t>
      </w:r>
      <w:r>
        <w:rPr>
          <w:noProof/>
        </w:rPr>
        <w:t>58</w:t>
      </w:r>
      <w:r>
        <w:rPr>
          <w:noProof/>
          <w:rtl/>
        </w:rPr>
        <w:t xml:space="preserve">، </w:t>
      </w:r>
      <w:r>
        <w:rPr>
          <w:noProof/>
        </w:rPr>
        <w:t>383</w:t>
      </w:r>
    </w:p>
    <w:p w:rsidR="002002F4" w:rsidRDefault="002002F4" w:rsidP="002002F4">
      <w:pPr>
        <w:ind w:firstLine="0"/>
        <w:rPr>
          <w:noProof/>
        </w:rPr>
      </w:pPr>
      <w:r>
        <w:rPr>
          <w:noProof/>
          <w:rtl/>
        </w:rPr>
        <w:t xml:space="preserve">الإمام الكاظم(ع) ، </w:t>
      </w:r>
      <w:r>
        <w:rPr>
          <w:noProof/>
        </w:rPr>
        <w:t>58</w:t>
      </w:r>
      <w:r>
        <w:rPr>
          <w:noProof/>
          <w:rtl/>
        </w:rPr>
        <w:t xml:space="preserve">، </w:t>
      </w:r>
      <w:r>
        <w:rPr>
          <w:noProof/>
        </w:rPr>
        <w:t>294</w:t>
      </w:r>
      <w:r>
        <w:rPr>
          <w:noProof/>
          <w:rtl/>
        </w:rPr>
        <w:t xml:space="preserve">، </w:t>
      </w:r>
      <w:r>
        <w:rPr>
          <w:noProof/>
        </w:rPr>
        <w:t>343</w:t>
      </w:r>
      <w:r>
        <w:rPr>
          <w:noProof/>
          <w:rtl/>
        </w:rPr>
        <w:t xml:space="preserve">، </w:t>
      </w:r>
      <w:r>
        <w:rPr>
          <w:noProof/>
        </w:rPr>
        <w:t>354</w:t>
      </w:r>
      <w:r>
        <w:rPr>
          <w:noProof/>
          <w:rtl/>
        </w:rPr>
        <w:t xml:space="preserve">، </w:t>
      </w:r>
      <w:r>
        <w:rPr>
          <w:noProof/>
        </w:rPr>
        <w:t>368</w:t>
      </w:r>
      <w:r>
        <w:rPr>
          <w:noProof/>
          <w:rtl/>
        </w:rPr>
        <w:t xml:space="preserve">، </w:t>
      </w:r>
      <w:r>
        <w:rPr>
          <w:noProof/>
        </w:rPr>
        <w:t>370</w:t>
      </w:r>
    </w:p>
    <w:p w:rsidR="002002F4" w:rsidRDefault="002002F4" w:rsidP="002002F4">
      <w:pPr>
        <w:ind w:firstLine="0"/>
        <w:rPr>
          <w:noProof/>
        </w:rPr>
      </w:pPr>
      <w:r>
        <w:rPr>
          <w:noProof/>
          <w:rtl/>
        </w:rPr>
        <w:t xml:space="preserve">الإمام المهدي(عج)، </w:t>
      </w:r>
      <w:r>
        <w:rPr>
          <w:noProof/>
        </w:rPr>
        <w:t>28</w:t>
      </w:r>
      <w:r>
        <w:rPr>
          <w:noProof/>
          <w:rtl/>
        </w:rPr>
        <w:t xml:space="preserve">، </w:t>
      </w:r>
      <w:r>
        <w:rPr>
          <w:noProof/>
        </w:rPr>
        <w:t>51</w:t>
      </w:r>
      <w:r>
        <w:rPr>
          <w:noProof/>
          <w:rtl/>
        </w:rPr>
        <w:t xml:space="preserve">، </w:t>
      </w:r>
      <w:r>
        <w:rPr>
          <w:noProof/>
        </w:rPr>
        <w:t>58</w:t>
      </w:r>
      <w:r>
        <w:rPr>
          <w:noProof/>
          <w:rtl/>
        </w:rPr>
        <w:t xml:space="preserve">، </w:t>
      </w:r>
      <w:r>
        <w:rPr>
          <w:noProof/>
        </w:rPr>
        <w:t>62</w:t>
      </w:r>
      <w:r>
        <w:rPr>
          <w:noProof/>
          <w:rtl/>
        </w:rPr>
        <w:t xml:space="preserve">،  </w:t>
      </w:r>
      <w:r>
        <w:rPr>
          <w:noProof/>
        </w:rPr>
        <w:t>170</w:t>
      </w:r>
      <w:r>
        <w:rPr>
          <w:noProof/>
          <w:rtl/>
        </w:rPr>
        <w:t xml:space="preserve">، </w:t>
      </w:r>
      <w:r>
        <w:rPr>
          <w:noProof/>
        </w:rPr>
        <w:t>171</w:t>
      </w:r>
      <w:r>
        <w:rPr>
          <w:noProof/>
          <w:rtl/>
        </w:rPr>
        <w:t xml:space="preserve">، </w:t>
      </w:r>
      <w:r>
        <w:rPr>
          <w:noProof/>
        </w:rPr>
        <w:t>191</w:t>
      </w:r>
      <w:r>
        <w:rPr>
          <w:noProof/>
          <w:rtl/>
        </w:rPr>
        <w:t xml:space="preserve">، </w:t>
      </w:r>
      <w:r>
        <w:rPr>
          <w:noProof/>
        </w:rPr>
        <w:t>200</w:t>
      </w:r>
      <w:r>
        <w:rPr>
          <w:noProof/>
          <w:rtl/>
        </w:rPr>
        <w:t xml:space="preserve">،  </w:t>
      </w:r>
      <w:r>
        <w:rPr>
          <w:noProof/>
        </w:rPr>
        <w:t>230</w:t>
      </w:r>
      <w:r>
        <w:rPr>
          <w:noProof/>
          <w:rtl/>
        </w:rPr>
        <w:t xml:space="preserve">، </w:t>
      </w:r>
      <w:r>
        <w:rPr>
          <w:noProof/>
        </w:rPr>
        <w:t>294</w:t>
      </w:r>
      <w:r>
        <w:rPr>
          <w:noProof/>
          <w:rtl/>
        </w:rPr>
        <w:t xml:space="preserve">، </w:t>
      </w:r>
      <w:r>
        <w:rPr>
          <w:noProof/>
        </w:rPr>
        <w:t>375</w:t>
      </w:r>
      <w:r>
        <w:rPr>
          <w:noProof/>
          <w:rtl/>
        </w:rPr>
        <w:t xml:space="preserve">، </w:t>
      </w:r>
      <w:r>
        <w:rPr>
          <w:noProof/>
        </w:rPr>
        <w:t>376</w:t>
      </w:r>
      <w:r>
        <w:rPr>
          <w:noProof/>
          <w:rtl/>
        </w:rPr>
        <w:t xml:space="preserve">، </w:t>
      </w:r>
      <w:r>
        <w:rPr>
          <w:noProof/>
        </w:rPr>
        <w:t>378</w:t>
      </w:r>
      <w:r>
        <w:rPr>
          <w:noProof/>
          <w:rtl/>
        </w:rPr>
        <w:t xml:space="preserve">، </w:t>
      </w:r>
      <w:r>
        <w:rPr>
          <w:noProof/>
        </w:rPr>
        <w:t>386</w:t>
      </w:r>
      <w:r>
        <w:rPr>
          <w:noProof/>
          <w:rtl/>
        </w:rPr>
        <w:t xml:space="preserve">، </w:t>
      </w:r>
      <w:r>
        <w:rPr>
          <w:noProof/>
        </w:rPr>
        <w:t>392</w:t>
      </w:r>
      <w:r>
        <w:rPr>
          <w:noProof/>
          <w:rtl/>
        </w:rPr>
        <w:t xml:space="preserve">، </w:t>
      </w:r>
      <w:r>
        <w:rPr>
          <w:noProof/>
        </w:rPr>
        <w:t>449</w:t>
      </w:r>
    </w:p>
    <w:p w:rsidR="002002F4" w:rsidRDefault="002002F4" w:rsidP="002002F4">
      <w:pPr>
        <w:ind w:firstLine="0"/>
        <w:rPr>
          <w:noProof/>
        </w:rPr>
      </w:pPr>
      <w:r>
        <w:rPr>
          <w:noProof/>
          <w:rtl/>
        </w:rPr>
        <w:t xml:space="preserve">الإمام الهادي(ع)، </w:t>
      </w:r>
      <w:r>
        <w:rPr>
          <w:noProof/>
        </w:rPr>
        <w:t>58</w:t>
      </w:r>
      <w:r>
        <w:rPr>
          <w:noProof/>
          <w:rtl/>
        </w:rPr>
        <w:t xml:space="preserve">، </w:t>
      </w:r>
      <w:r>
        <w:rPr>
          <w:noProof/>
        </w:rPr>
        <w:t>347</w:t>
      </w:r>
    </w:p>
    <w:p w:rsidR="002002F4" w:rsidRDefault="002002F4" w:rsidP="002002F4">
      <w:pPr>
        <w:ind w:firstLine="0"/>
        <w:rPr>
          <w:noProof/>
        </w:rPr>
      </w:pPr>
      <w:r>
        <w:rPr>
          <w:noProof/>
          <w:rtl/>
        </w:rPr>
        <w:t xml:space="preserve">الإمام عليّ بن أبي طالب(ع)، </w:t>
      </w:r>
      <w:r>
        <w:rPr>
          <w:noProof/>
        </w:rPr>
        <w:t>58</w:t>
      </w:r>
      <w:r>
        <w:rPr>
          <w:noProof/>
          <w:rtl/>
        </w:rPr>
        <w:t xml:space="preserve">، </w:t>
      </w:r>
      <w:r>
        <w:rPr>
          <w:noProof/>
        </w:rPr>
        <w:t>63</w:t>
      </w:r>
      <w:r>
        <w:rPr>
          <w:noProof/>
          <w:rtl/>
        </w:rPr>
        <w:t xml:space="preserve">، </w:t>
      </w:r>
      <w:r>
        <w:rPr>
          <w:noProof/>
        </w:rPr>
        <w:t>65</w:t>
      </w:r>
      <w:r>
        <w:rPr>
          <w:noProof/>
          <w:rtl/>
        </w:rPr>
        <w:t xml:space="preserve">، </w:t>
      </w:r>
      <w:r>
        <w:rPr>
          <w:noProof/>
        </w:rPr>
        <w:t>95</w:t>
      </w:r>
      <w:r>
        <w:rPr>
          <w:noProof/>
          <w:rtl/>
        </w:rPr>
        <w:t xml:space="preserve">، </w:t>
      </w:r>
      <w:r>
        <w:rPr>
          <w:noProof/>
        </w:rPr>
        <w:t>105</w:t>
      </w:r>
      <w:r>
        <w:rPr>
          <w:noProof/>
          <w:rtl/>
        </w:rPr>
        <w:t xml:space="preserve">، </w:t>
      </w:r>
      <w:r>
        <w:rPr>
          <w:noProof/>
        </w:rPr>
        <w:t>111</w:t>
      </w:r>
      <w:r>
        <w:rPr>
          <w:noProof/>
          <w:rtl/>
        </w:rPr>
        <w:t xml:space="preserve">، </w:t>
      </w:r>
      <w:r>
        <w:rPr>
          <w:noProof/>
        </w:rPr>
        <w:t>113</w:t>
      </w:r>
      <w:r>
        <w:rPr>
          <w:noProof/>
          <w:rtl/>
        </w:rPr>
        <w:t xml:space="preserve">، </w:t>
      </w:r>
      <w:r>
        <w:rPr>
          <w:noProof/>
        </w:rPr>
        <w:t>114</w:t>
      </w:r>
      <w:r>
        <w:rPr>
          <w:noProof/>
          <w:rtl/>
        </w:rPr>
        <w:t xml:space="preserve">، </w:t>
      </w:r>
      <w:r>
        <w:rPr>
          <w:noProof/>
        </w:rPr>
        <w:t>121</w:t>
      </w:r>
      <w:r>
        <w:rPr>
          <w:noProof/>
          <w:rtl/>
        </w:rPr>
        <w:t xml:space="preserve">، </w:t>
      </w:r>
      <w:r>
        <w:rPr>
          <w:noProof/>
        </w:rPr>
        <w:t>192</w:t>
      </w:r>
      <w:r>
        <w:rPr>
          <w:noProof/>
          <w:rtl/>
        </w:rPr>
        <w:t xml:space="preserve">، </w:t>
      </w:r>
      <w:r>
        <w:rPr>
          <w:noProof/>
        </w:rPr>
        <w:t>207</w:t>
      </w:r>
      <w:r>
        <w:rPr>
          <w:noProof/>
          <w:rtl/>
        </w:rPr>
        <w:t xml:space="preserve">، </w:t>
      </w:r>
      <w:r>
        <w:rPr>
          <w:noProof/>
        </w:rPr>
        <w:t>209</w:t>
      </w:r>
      <w:r>
        <w:rPr>
          <w:noProof/>
          <w:rtl/>
        </w:rPr>
        <w:t xml:space="preserve">، </w:t>
      </w:r>
      <w:r>
        <w:rPr>
          <w:noProof/>
        </w:rPr>
        <w:t>218</w:t>
      </w:r>
      <w:r>
        <w:rPr>
          <w:noProof/>
          <w:rtl/>
        </w:rPr>
        <w:t xml:space="preserve">، </w:t>
      </w:r>
      <w:r>
        <w:rPr>
          <w:noProof/>
        </w:rPr>
        <w:t>240</w:t>
      </w:r>
      <w:r>
        <w:rPr>
          <w:noProof/>
          <w:rtl/>
        </w:rPr>
        <w:t xml:space="preserve">، </w:t>
      </w:r>
      <w:r>
        <w:rPr>
          <w:noProof/>
        </w:rPr>
        <w:t>294</w:t>
      </w:r>
      <w:r>
        <w:rPr>
          <w:noProof/>
          <w:rtl/>
        </w:rPr>
        <w:t xml:space="preserve">، </w:t>
      </w:r>
      <w:r>
        <w:rPr>
          <w:noProof/>
        </w:rPr>
        <w:t>302</w:t>
      </w:r>
      <w:r>
        <w:rPr>
          <w:noProof/>
          <w:rtl/>
        </w:rPr>
        <w:t xml:space="preserve">، </w:t>
      </w:r>
      <w:r>
        <w:rPr>
          <w:noProof/>
        </w:rPr>
        <w:t>304</w:t>
      </w:r>
      <w:r>
        <w:rPr>
          <w:noProof/>
          <w:rtl/>
        </w:rPr>
        <w:t xml:space="preserve">، </w:t>
      </w:r>
      <w:r>
        <w:rPr>
          <w:noProof/>
        </w:rPr>
        <w:t>308</w:t>
      </w:r>
      <w:r>
        <w:rPr>
          <w:noProof/>
          <w:rtl/>
        </w:rPr>
        <w:t xml:space="preserve">، </w:t>
      </w:r>
      <w:r>
        <w:rPr>
          <w:noProof/>
        </w:rPr>
        <w:t>320</w:t>
      </w:r>
      <w:r>
        <w:rPr>
          <w:noProof/>
          <w:rtl/>
        </w:rPr>
        <w:t xml:space="preserve">، </w:t>
      </w:r>
      <w:r>
        <w:rPr>
          <w:noProof/>
        </w:rPr>
        <w:t>333</w:t>
      </w:r>
      <w:r>
        <w:rPr>
          <w:noProof/>
          <w:rtl/>
        </w:rPr>
        <w:t xml:space="preserve">، </w:t>
      </w:r>
      <w:r>
        <w:rPr>
          <w:noProof/>
        </w:rPr>
        <w:t>335</w:t>
      </w:r>
      <w:r>
        <w:rPr>
          <w:noProof/>
          <w:rtl/>
        </w:rPr>
        <w:t>،</w:t>
      </w:r>
      <w:r>
        <w:rPr>
          <w:noProof/>
        </w:rPr>
        <w:t xml:space="preserve">337 </w:t>
      </w:r>
      <w:r>
        <w:rPr>
          <w:noProof/>
          <w:rtl/>
        </w:rPr>
        <w:t xml:space="preserve">،  </w:t>
      </w:r>
      <w:r>
        <w:rPr>
          <w:noProof/>
        </w:rPr>
        <w:t>338</w:t>
      </w:r>
      <w:r>
        <w:rPr>
          <w:noProof/>
          <w:rtl/>
        </w:rPr>
        <w:t xml:space="preserve">، </w:t>
      </w:r>
      <w:r>
        <w:rPr>
          <w:noProof/>
        </w:rPr>
        <w:t>397</w:t>
      </w:r>
      <w:r>
        <w:rPr>
          <w:noProof/>
          <w:rtl/>
        </w:rPr>
        <w:t xml:space="preserve">، </w:t>
      </w:r>
      <w:r>
        <w:rPr>
          <w:noProof/>
        </w:rPr>
        <w:t>408</w:t>
      </w:r>
    </w:p>
    <w:p w:rsidR="002002F4" w:rsidRDefault="002002F4" w:rsidP="002002F4">
      <w:pPr>
        <w:ind w:firstLine="0"/>
        <w:rPr>
          <w:noProof/>
          <w:rtl/>
        </w:rPr>
      </w:pPr>
      <w:r>
        <w:rPr>
          <w:noProof/>
          <w:rtl/>
        </w:rPr>
        <w:t xml:space="preserve">الإمام عليّ بن الحسين زين العابدين(ع)، </w:t>
      </w:r>
      <w:r>
        <w:rPr>
          <w:noProof/>
        </w:rPr>
        <w:t>58</w:t>
      </w:r>
    </w:p>
    <w:p w:rsidR="002002F4" w:rsidRDefault="002002F4" w:rsidP="002002F4">
      <w:pPr>
        <w:ind w:firstLine="0"/>
        <w:rPr>
          <w:noProof/>
        </w:rPr>
      </w:pPr>
      <w:r>
        <w:rPr>
          <w:noProof/>
          <w:rtl/>
        </w:rPr>
        <w:t xml:space="preserve">أمير المؤمنين </w:t>
      </w:r>
      <w:r>
        <w:rPr>
          <w:noProof/>
        </w:rPr>
        <w:t>=</w:t>
      </w:r>
      <w:r>
        <w:rPr>
          <w:noProof/>
          <w:rtl/>
        </w:rPr>
        <w:t xml:space="preserve"> </w:t>
      </w:r>
      <w:r>
        <w:rPr>
          <w:rFonts w:hint="cs"/>
          <w:noProof/>
          <w:rtl/>
        </w:rPr>
        <w:t>الإمام علي بن أبي طالب(ع)</w:t>
      </w:r>
    </w:p>
    <w:p w:rsidR="002002F4" w:rsidRDefault="002002F4" w:rsidP="002002F4">
      <w:pPr>
        <w:ind w:firstLine="0"/>
        <w:rPr>
          <w:noProof/>
        </w:rPr>
      </w:pPr>
      <w:r>
        <w:rPr>
          <w:noProof/>
          <w:rtl/>
        </w:rPr>
        <w:t xml:space="preserve">الأمين، السيّد مهدي، </w:t>
      </w:r>
      <w:r>
        <w:rPr>
          <w:noProof/>
        </w:rPr>
        <w:t>14</w:t>
      </w:r>
    </w:p>
    <w:p w:rsidR="002002F4" w:rsidRDefault="002002F4" w:rsidP="002002F4">
      <w:pPr>
        <w:ind w:firstLine="0"/>
        <w:rPr>
          <w:noProof/>
        </w:rPr>
      </w:pPr>
      <w:r>
        <w:rPr>
          <w:noProof/>
          <w:rtl/>
        </w:rPr>
        <w:t xml:space="preserve">الأمين، مهدي محمّد حسن، </w:t>
      </w:r>
      <w:r>
        <w:rPr>
          <w:noProof/>
        </w:rPr>
        <w:t>7</w:t>
      </w:r>
    </w:p>
    <w:p w:rsidR="002002F4" w:rsidRDefault="002002F4" w:rsidP="002002F4">
      <w:pPr>
        <w:ind w:firstLine="0"/>
        <w:rPr>
          <w:noProof/>
        </w:rPr>
      </w:pPr>
      <w:r>
        <w:rPr>
          <w:noProof/>
          <w:rtl/>
        </w:rPr>
        <w:t xml:space="preserve">الأميني، عبدالحسين، </w:t>
      </w:r>
      <w:r>
        <w:rPr>
          <w:noProof/>
        </w:rPr>
        <w:t>113</w:t>
      </w:r>
    </w:p>
    <w:p w:rsidR="002002F4" w:rsidRDefault="002002F4" w:rsidP="002002F4">
      <w:pPr>
        <w:ind w:firstLine="0"/>
        <w:rPr>
          <w:noProof/>
        </w:rPr>
      </w:pPr>
      <w:r>
        <w:rPr>
          <w:noProof/>
          <w:rtl/>
        </w:rPr>
        <w:t xml:space="preserve">الأنصاري، الخواجة عبد الله، </w:t>
      </w:r>
      <w:r>
        <w:rPr>
          <w:noProof/>
        </w:rPr>
        <w:t>46</w:t>
      </w:r>
    </w:p>
    <w:p w:rsidR="002002F4" w:rsidRDefault="002002F4" w:rsidP="002002F4">
      <w:pPr>
        <w:ind w:firstLine="0"/>
        <w:rPr>
          <w:noProof/>
        </w:rPr>
      </w:pPr>
      <w:r>
        <w:rPr>
          <w:noProof/>
          <w:rtl/>
        </w:rPr>
        <w:t xml:space="preserve">الأنصاري، مرتضی بن محمّد امين، </w:t>
      </w:r>
      <w:r>
        <w:rPr>
          <w:noProof/>
        </w:rPr>
        <w:t>68</w:t>
      </w:r>
      <w:r>
        <w:rPr>
          <w:noProof/>
          <w:rtl/>
        </w:rPr>
        <w:t xml:space="preserve">، </w:t>
      </w:r>
      <w:r>
        <w:rPr>
          <w:noProof/>
        </w:rPr>
        <w:t>77</w:t>
      </w:r>
      <w:r>
        <w:rPr>
          <w:noProof/>
          <w:rtl/>
        </w:rPr>
        <w:t xml:space="preserve">، </w:t>
      </w:r>
      <w:r>
        <w:rPr>
          <w:noProof/>
        </w:rPr>
        <w:t>81</w:t>
      </w:r>
      <w:r>
        <w:rPr>
          <w:noProof/>
          <w:rtl/>
        </w:rPr>
        <w:t xml:space="preserve">، </w:t>
      </w:r>
      <w:r>
        <w:rPr>
          <w:noProof/>
        </w:rPr>
        <w:t>83</w:t>
      </w:r>
      <w:r>
        <w:rPr>
          <w:noProof/>
          <w:rtl/>
        </w:rPr>
        <w:t xml:space="preserve">، </w:t>
      </w:r>
      <w:r>
        <w:rPr>
          <w:noProof/>
        </w:rPr>
        <w:t>132</w:t>
      </w:r>
      <w:r>
        <w:rPr>
          <w:noProof/>
          <w:rtl/>
        </w:rPr>
        <w:t xml:space="preserve">، </w:t>
      </w:r>
      <w:r>
        <w:rPr>
          <w:noProof/>
        </w:rPr>
        <w:t>135</w:t>
      </w:r>
      <w:r>
        <w:rPr>
          <w:noProof/>
          <w:rtl/>
        </w:rPr>
        <w:t xml:space="preserve">، </w:t>
      </w:r>
      <w:r>
        <w:rPr>
          <w:noProof/>
        </w:rPr>
        <w:t>137</w:t>
      </w:r>
      <w:r>
        <w:rPr>
          <w:noProof/>
          <w:rtl/>
        </w:rPr>
        <w:t xml:space="preserve">، </w:t>
      </w:r>
      <w:r>
        <w:rPr>
          <w:noProof/>
        </w:rPr>
        <w:t>280</w:t>
      </w:r>
      <w:r>
        <w:rPr>
          <w:noProof/>
          <w:rtl/>
        </w:rPr>
        <w:t xml:space="preserve">، </w:t>
      </w:r>
      <w:r>
        <w:rPr>
          <w:noProof/>
        </w:rPr>
        <w:t>291</w:t>
      </w:r>
      <w:r>
        <w:rPr>
          <w:noProof/>
          <w:rtl/>
        </w:rPr>
        <w:t xml:space="preserve">، </w:t>
      </w:r>
      <w:r>
        <w:rPr>
          <w:noProof/>
        </w:rPr>
        <w:t>293</w:t>
      </w:r>
      <w:r>
        <w:rPr>
          <w:noProof/>
          <w:rtl/>
        </w:rPr>
        <w:t xml:space="preserve">، </w:t>
      </w:r>
      <w:r>
        <w:rPr>
          <w:noProof/>
        </w:rPr>
        <w:t>296</w:t>
      </w:r>
      <w:r>
        <w:rPr>
          <w:noProof/>
          <w:rtl/>
        </w:rPr>
        <w:t xml:space="preserve">، </w:t>
      </w:r>
      <w:r>
        <w:rPr>
          <w:noProof/>
        </w:rPr>
        <w:t>297</w:t>
      </w:r>
      <w:r>
        <w:rPr>
          <w:noProof/>
          <w:rtl/>
        </w:rPr>
        <w:t xml:space="preserve">، </w:t>
      </w:r>
      <w:r>
        <w:rPr>
          <w:noProof/>
        </w:rPr>
        <w:t>298</w:t>
      </w:r>
      <w:r>
        <w:rPr>
          <w:noProof/>
          <w:rtl/>
        </w:rPr>
        <w:t xml:space="preserve">، </w:t>
      </w:r>
      <w:r>
        <w:rPr>
          <w:noProof/>
        </w:rPr>
        <w:t>299</w:t>
      </w:r>
      <w:r>
        <w:rPr>
          <w:noProof/>
          <w:rtl/>
        </w:rPr>
        <w:t xml:space="preserve">، </w:t>
      </w:r>
      <w:r>
        <w:rPr>
          <w:noProof/>
        </w:rPr>
        <w:t>300</w:t>
      </w:r>
      <w:r>
        <w:rPr>
          <w:noProof/>
          <w:rtl/>
        </w:rPr>
        <w:t xml:space="preserve">، </w:t>
      </w:r>
      <w:r>
        <w:rPr>
          <w:noProof/>
        </w:rPr>
        <w:t>346</w:t>
      </w:r>
      <w:r>
        <w:rPr>
          <w:noProof/>
          <w:rtl/>
        </w:rPr>
        <w:t xml:space="preserve">، </w:t>
      </w:r>
      <w:r>
        <w:rPr>
          <w:noProof/>
        </w:rPr>
        <w:t>377</w:t>
      </w:r>
    </w:p>
    <w:p w:rsidR="002002F4" w:rsidRDefault="002002F4" w:rsidP="002002F4">
      <w:pPr>
        <w:ind w:firstLine="0"/>
        <w:rPr>
          <w:noProof/>
          <w:rtl/>
        </w:rPr>
      </w:pPr>
      <w:r>
        <w:rPr>
          <w:noProof/>
          <w:rtl/>
        </w:rPr>
        <w:t xml:space="preserve">الإيرواني النجفي، ميرزا علي، </w:t>
      </w:r>
      <w:r>
        <w:rPr>
          <w:noProof/>
        </w:rPr>
        <w:t>297</w:t>
      </w:r>
      <w:r>
        <w:rPr>
          <w:noProof/>
          <w:rtl/>
        </w:rPr>
        <w:t xml:space="preserve">، </w:t>
      </w:r>
      <w:r>
        <w:rPr>
          <w:noProof/>
        </w:rPr>
        <w:t>299</w:t>
      </w:r>
      <w:r>
        <w:rPr>
          <w:noProof/>
          <w:rtl/>
        </w:rPr>
        <w:t xml:space="preserve">، </w:t>
      </w:r>
      <w:r>
        <w:rPr>
          <w:noProof/>
        </w:rPr>
        <w:t>325</w:t>
      </w:r>
      <w:r>
        <w:rPr>
          <w:noProof/>
          <w:rtl/>
        </w:rPr>
        <w:t xml:space="preserve">، </w:t>
      </w:r>
      <w:r>
        <w:rPr>
          <w:noProof/>
        </w:rPr>
        <w:t>330</w:t>
      </w:r>
      <w:r>
        <w:rPr>
          <w:noProof/>
          <w:rtl/>
        </w:rPr>
        <w:t xml:space="preserve">، </w:t>
      </w:r>
      <w:r>
        <w:rPr>
          <w:noProof/>
        </w:rPr>
        <w:t>340</w:t>
      </w:r>
      <w:r>
        <w:rPr>
          <w:noProof/>
          <w:rtl/>
        </w:rPr>
        <w:t xml:space="preserve">، </w:t>
      </w:r>
      <w:r>
        <w:rPr>
          <w:noProof/>
        </w:rPr>
        <w:t>381</w:t>
      </w:r>
    </w:p>
    <w:p w:rsidR="002002F4" w:rsidRDefault="002002F4" w:rsidP="002002F4">
      <w:pPr>
        <w:ind w:firstLine="0"/>
        <w:rPr>
          <w:noProof/>
        </w:rPr>
      </w:pPr>
      <w:r>
        <w:rPr>
          <w:noProof/>
          <w:rtl/>
        </w:rPr>
        <w:t xml:space="preserve">آخوند الخراساني، محمّدكاظم، </w:t>
      </w:r>
      <w:r>
        <w:rPr>
          <w:noProof/>
        </w:rPr>
        <w:t>68</w:t>
      </w:r>
      <w:r>
        <w:rPr>
          <w:noProof/>
          <w:rtl/>
        </w:rPr>
        <w:t xml:space="preserve">، </w:t>
      </w:r>
      <w:r>
        <w:rPr>
          <w:noProof/>
        </w:rPr>
        <w:t>77</w:t>
      </w:r>
      <w:r>
        <w:rPr>
          <w:noProof/>
          <w:rtl/>
        </w:rPr>
        <w:t xml:space="preserve">، </w:t>
      </w:r>
      <w:r>
        <w:rPr>
          <w:noProof/>
        </w:rPr>
        <w:t>132</w:t>
      </w:r>
      <w:r>
        <w:rPr>
          <w:noProof/>
          <w:rtl/>
        </w:rPr>
        <w:t xml:space="preserve">، </w:t>
      </w:r>
      <w:r>
        <w:rPr>
          <w:noProof/>
        </w:rPr>
        <w:t>309</w:t>
      </w:r>
      <w:r>
        <w:rPr>
          <w:noProof/>
          <w:rtl/>
        </w:rPr>
        <w:t xml:space="preserve">، </w:t>
      </w:r>
      <w:r>
        <w:rPr>
          <w:noProof/>
        </w:rPr>
        <w:t>325</w:t>
      </w:r>
      <w:r>
        <w:rPr>
          <w:noProof/>
          <w:rtl/>
        </w:rPr>
        <w:t xml:space="preserve">، </w:t>
      </w:r>
      <w:r>
        <w:rPr>
          <w:noProof/>
        </w:rPr>
        <w:t>328</w:t>
      </w:r>
      <w:r>
        <w:rPr>
          <w:noProof/>
          <w:rtl/>
        </w:rPr>
        <w:t xml:space="preserve">، </w:t>
      </w:r>
      <w:r>
        <w:rPr>
          <w:noProof/>
        </w:rPr>
        <w:t>340</w:t>
      </w:r>
      <w:r>
        <w:rPr>
          <w:noProof/>
          <w:rtl/>
        </w:rPr>
        <w:t xml:space="preserve">، </w:t>
      </w:r>
      <w:r>
        <w:rPr>
          <w:noProof/>
        </w:rPr>
        <w:t>353</w:t>
      </w:r>
      <w:r>
        <w:rPr>
          <w:noProof/>
          <w:rtl/>
        </w:rPr>
        <w:t xml:space="preserve">، </w:t>
      </w:r>
      <w:r>
        <w:rPr>
          <w:noProof/>
        </w:rPr>
        <w:t>381</w:t>
      </w:r>
      <w:r>
        <w:rPr>
          <w:noProof/>
          <w:rtl/>
        </w:rPr>
        <w:t xml:space="preserve">، </w:t>
      </w:r>
      <w:r>
        <w:rPr>
          <w:noProof/>
        </w:rPr>
        <w:t>404</w:t>
      </w:r>
      <w:r>
        <w:rPr>
          <w:noProof/>
          <w:rtl/>
        </w:rPr>
        <w:t xml:space="preserve">، </w:t>
      </w:r>
      <w:r>
        <w:rPr>
          <w:noProof/>
        </w:rPr>
        <w:t>410</w:t>
      </w:r>
      <w:r>
        <w:rPr>
          <w:noProof/>
          <w:rtl/>
        </w:rPr>
        <w:t xml:space="preserve">، </w:t>
      </w:r>
      <w:r>
        <w:rPr>
          <w:noProof/>
        </w:rPr>
        <w:t>417</w:t>
      </w:r>
      <w:r>
        <w:rPr>
          <w:noProof/>
          <w:rtl/>
        </w:rPr>
        <w:t xml:space="preserve">، </w:t>
      </w:r>
      <w:r>
        <w:rPr>
          <w:noProof/>
        </w:rPr>
        <w:t>418</w:t>
      </w:r>
      <w:r>
        <w:rPr>
          <w:noProof/>
          <w:rtl/>
        </w:rPr>
        <w:t xml:space="preserve">، </w:t>
      </w:r>
      <w:r>
        <w:rPr>
          <w:noProof/>
        </w:rPr>
        <w:t>440</w:t>
      </w:r>
    </w:p>
    <w:p w:rsidR="002002F4" w:rsidRDefault="002002F4" w:rsidP="002002F4">
      <w:pPr>
        <w:ind w:firstLine="0"/>
        <w:rPr>
          <w:noProof/>
          <w:rtl/>
        </w:rPr>
      </w:pPr>
      <w:r>
        <w:rPr>
          <w:noProof/>
          <w:rtl/>
        </w:rPr>
        <w:t xml:space="preserve">آذري القمي، أحمد، </w:t>
      </w:r>
      <w:r>
        <w:rPr>
          <w:noProof/>
        </w:rPr>
        <w:t>149</w:t>
      </w:r>
      <w:r>
        <w:rPr>
          <w:noProof/>
          <w:rtl/>
        </w:rPr>
        <w:t xml:space="preserve">، </w:t>
      </w:r>
      <w:r>
        <w:rPr>
          <w:noProof/>
        </w:rPr>
        <w:t>395</w:t>
      </w:r>
    </w:p>
    <w:p w:rsidR="002002F4" w:rsidRDefault="002002F4" w:rsidP="002002F4">
      <w:pPr>
        <w:ind w:firstLine="0"/>
        <w:rPr>
          <w:noProof/>
        </w:rPr>
      </w:pPr>
      <w:r>
        <w:rPr>
          <w:noProof/>
          <w:rtl/>
        </w:rPr>
        <w:t xml:space="preserve">الآراكي، الشيخ محمّدعلي، </w:t>
      </w:r>
      <w:r>
        <w:rPr>
          <w:noProof/>
        </w:rPr>
        <w:t>28</w:t>
      </w:r>
      <w:r>
        <w:rPr>
          <w:noProof/>
          <w:rtl/>
        </w:rPr>
        <w:t xml:space="preserve">، </w:t>
      </w:r>
      <w:r>
        <w:rPr>
          <w:noProof/>
        </w:rPr>
        <w:t>440</w:t>
      </w:r>
    </w:p>
    <w:p w:rsidR="002002F4" w:rsidRDefault="002002F4" w:rsidP="002002F4">
      <w:pPr>
        <w:ind w:firstLine="0"/>
        <w:rPr>
          <w:noProof/>
        </w:rPr>
      </w:pPr>
      <w:r>
        <w:rPr>
          <w:noProof/>
          <w:rtl/>
        </w:rPr>
        <w:t xml:space="preserve">الآشتياني، السيّد جلال الدين، </w:t>
      </w:r>
      <w:r>
        <w:rPr>
          <w:noProof/>
        </w:rPr>
        <w:t>45</w:t>
      </w:r>
      <w:r>
        <w:rPr>
          <w:noProof/>
          <w:rtl/>
        </w:rPr>
        <w:t xml:space="preserve">، </w:t>
      </w:r>
      <w:r>
        <w:rPr>
          <w:noProof/>
        </w:rPr>
        <w:t>46</w:t>
      </w:r>
      <w:r>
        <w:rPr>
          <w:noProof/>
          <w:rtl/>
        </w:rPr>
        <w:t xml:space="preserve">، </w:t>
      </w:r>
      <w:r>
        <w:rPr>
          <w:noProof/>
        </w:rPr>
        <w:t>47</w:t>
      </w:r>
      <w:r>
        <w:rPr>
          <w:noProof/>
          <w:rtl/>
        </w:rPr>
        <w:t xml:space="preserve">، </w:t>
      </w:r>
      <w:r>
        <w:rPr>
          <w:noProof/>
        </w:rPr>
        <w:t>48</w:t>
      </w:r>
      <w:r>
        <w:rPr>
          <w:noProof/>
          <w:rtl/>
        </w:rPr>
        <w:t xml:space="preserve">، </w:t>
      </w:r>
      <w:r>
        <w:rPr>
          <w:noProof/>
        </w:rPr>
        <w:t>50</w:t>
      </w:r>
      <w:r>
        <w:rPr>
          <w:noProof/>
          <w:rtl/>
        </w:rPr>
        <w:t xml:space="preserve">، </w:t>
      </w:r>
      <w:r>
        <w:rPr>
          <w:noProof/>
        </w:rPr>
        <w:t>51</w:t>
      </w:r>
    </w:p>
    <w:p w:rsidR="002002F4" w:rsidRDefault="002002F4" w:rsidP="002002F4">
      <w:pPr>
        <w:ind w:firstLine="0"/>
        <w:rPr>
          <w:noProof/>
        </w:rPr>
      </w:pPr>
      <w:r>
        <w:rPr>
          <w:noProof/>
          <w:rtl/>
        </w:rPr>
        <w:t xml:space="preserve">آقا نجفي، محمّد تقي بن محمّد باقر، </w:t>
      </w:r>
      <w:r>
        <w:rPr>
          <w:noProof/>
        </w:rPr>
        <w:t>353</w:t>
      </w:r>
      <w:r>
        <w:rPr>
          <w:noProof/>
          <w:rtl/>
        </w:rPr>
        <w:t xml:space="preserve">، </w:t>
      </w:r>
      <w:r>
        <w:rPr>
          <w:noProof/>
        </w:rPr>
        <w:t>416</w:t>
      </w:r>
    </w:p>
    <w:p w:rsidR="002002F4" w:rsidRDefault="002002F4" w:rsidP="002002F4">
      <w:pPr>
        <w:ind w:firstLine="0"/>
        <w:rPr>
          <w:noProof/>
        </w:rPr>
      </w:pPr>
      <w:r>
        <w:rPr>
          <w:noProof/>
          <w:rtl/>
        </w:rPr>
        <w:t xml:space="preserve">آل بحر العلوم، السيّد محمّد تقي، </w:t>
      </w:r>
      <w:r>
        <w:rPr>
          <w:noProof/>
        </w:rPr>
        <w:t>68</w:t>
      </w:r>
      <w:r>
        <w:rPr>
          <w:noProof/>
          <w:rtl/>
        </w:rPr>
        <w:t xml:space="preserve">، </w:t>
      </w:r>
      <w:r>
        <w:rPr>
          <w:noProof/>
        </w:rPr>
        <w:t>69</w:t>
      </w:r>
      <w:r>
        <w:rPr>
          <w:noProof/>
          <w:rtl/>
        </w:rPr>
        <w:t xml:space="preserve">، </w:t>
      </w:r>
      <w:r>
        <w:rPr>
          <w:noProof/>
        </w:rPr>
        <w:t>70</w:t>
      </w:r>
      <w:r>
        <w:rPr>
          <w:noProof/>
          <w:rtl/>
        </w:rPr>
        <w:t xml:space="preserve">، </w:t>
      </w:r>
      <w:r>
        <w:rPr>
          <w:noProof/>
        </w:rPr>
        <w:t>134</w:t>
      </w:r>
      <w:r>
        <w:rPr>
          <w:noProof/>
          <w:rtl/>
        </w:rPr>
        <w:t xml:space="preserve">، </w:t>
      </w:r>
      <w:r>
        <w:rPr>
          <w:noProof/>
        </w:rPr>
        <w:t>135</w:t>
      </w:r>
      <w:r>
        <w:rPr>
          <w:noProof/>
          <w:rtl/>
        </w:rPr>
        <w:t xml:space="preserve">، </w:t>
      </w:r>
      <w:r>
        <w:rPr>
          <w:noProof/>
        </w:rPr>
        <w:t>142</w:t>
      </w:r>
      <w:r>
        <w:rPr>
          <w:noProof/>
          <w:rtl/>
        </w:rPr>
        <w:t xml:space="preserve">، </w:t>
      </w:r>
      <w:r>
        <w:rPr>
          <w:noProof/>
        </w:rPr>
        <w:t>157</w:t>
      </w:r>
      <w:r>
        <w:rPr>
          <w:noProof/>
          <w:rtl/>
        </w:rPr>
        <w:t xml:space="preserve">، </w:t>
      </w:r>
      <w:r>
        <w:rPr>
          <w:noProof/>
        </w:rPr>
        <w:t>309</w:t>
      </w:r>
      <w:r>
        <w:rPr>
          <w:noProof/>
          <w:rtl/>
        </w:rPr>
        <w:t xml:space="preserve">، </w:t>
      </w:r>
      <w:r>
        <w:rPr>
          <w:noProof/>
        </w:rPr>
        <w:t>325</w:t>
      </w:r>
      <w:r>
        <w:rPr>
          <w:noProof/>
          <w:rtl/>
        </w:rPr>
        <w:t xml:space="preserve">، </w:t>
      </w:r>
      <w:r>
        <w:rPr>
          <w:noProof/>
        </w:rPr>
        <w:t>327</w:t>
      </w:r>
      <w:r>
        <w:rPr>
          <w:noProof/>
          <w:rtl/>
        </w:rPr>
        <w:t xml:space="preserve">، </w:t>
      </w:r>
      <w:r>
        <w:rPr>
          <w:noProof/>
        </w:rPr>
        <w:t>377</w:t>
      </w:r>
    </w:p>
    <w:p w:rsidR="002002F4" w:rsidRDefault="002002F4" w:rsidP="002002F4">
      <w:pPr>
        <w:ind w:firstLine="0"/>
        <w:rPr>
          <w:noProof/>
        </w:rPr>
      </w:pPr>
      <w:r>
        <w:rPr>
          <w:noProof/>
          <w:rtl/>
        </w:rPr>
        <w:t xml:space="preserve">آل سباع القطيفي، عباس محمّد، </w:t>
      </w:r>
      <w:r>
        <w:rPr>
          <w:noProof/>
        </w:rPr>
        <w:t>439</w:t>
      </w:r>
    </w:p>
    <w:p w:rsidR="002002F4" w:rsidRDefault="002002F4" w:rsidP="002002F4">
      <w:pPr>
        <w:ind w:firstLine="0"/>
        <w:rPr>
          <w:noProof/>
        </w:rPr>
      </w:pPr>
      <w:r>
        <w:rPr>
          <w:noProof/>
          <w:rtl/>
        </w:rPr>
        <w:t>آل کاشف الغطاء،</w:t>
      </w:r>
      <w:r>
        <w:rPr>
          <w:rFonts w:ascii="Times New Roman" w:hAnsi="Times New Roman" w:cs="Times New Roman" w:hint="cs"/>
          <w:noProof/>
          <w:rtl/>
        </w:rPr>
        <w:t>‌</w:t>
      </w:r>
      <w:r>
        <w:rPr>
          <w:noProof/>
          <w:rtl/>
        </w:rPr>
        <w:t xml:space="preserve"> </w:t>
      </w:r>
      <w:r>
        <w:rPr>
          <w:rFonts w:ascii="Mosawi" w:hAnsi="Mosawi" w:hint="cs"/>
          <w:noProof/>
          <w:rtl/>
        </w:rPr>
        <w:t>الشيخ</w:t>
      </w:r>
      <w:r>
        <w:rPr>
          <w:noProof/>
          <w:rtl/>
        </w:rPr>
        <w:t xml:space="preserve"> </w:t>
      </w:r>
      <w:r>
        <w:rPr>
          <w:rFonts w:ascii="Mosawi" w:hAnsi="Mosawi" w:hint="cs"/>
          <w:noProof/>
          <w:rtl/>
        </w:rPr>
        <w:t>محمّد</w:t>
      </w:r>
      <w:r>
        <w:rPr>
          <w:noProof/>
          <w:rtl/>
        </w:rPr>
        <w:t xml:space="preserve"> </w:t>
      </w:r>
      <w:r>
        <w:rPr>
          <w:rFonts w:ascii="Mosawi" w:hAnsi="Mosawi" w:hint="cs"/>
          <w:noProof/>
          <w:rtl/>
        </w:rPr>
        <w:t>حسين،</w:t>
      </w:r>
      <w:r>
        <w:rPr>
          <w:noProof/>
          <w:rtl/>
        </w:rPr>
        <w:t xml:space="preserve"> </w:t>
      </w:r>
      <w:r>
        <w:rPr>
          <w:noProof/>
        </w:rPr>
        <w:t>157</w:t>
      </w:r>
      <w:r>
        <w:rPr>
          <w:noProof/>
          <w:rtl/>
        </w:rPr>
        <w:t xml:space="preserve">، </w:t>
      </w:r>
      <w:r>
        <w:rPr>
          <w:noProof/>
        </w:rPr>
        <w:t>321</w:t>
      </w:r>
      <w:r>
        <w:rPr>
          <w:noProof/>
          <w:rtl/>
        </w:rPr>
        <w:t xml:space="preserve">، </w:t>
      </w:r>
      <w:r>
        <w:rPr>
          <w:noProof/>
        </w:rPr>
        <w:t>377</w:t>
      </w:r>
    </w:p>
    <w:p w:rsidR="002002F4" w:rsidRDefault="002002F4" w:rsidP="002002F4">
      <w:pPr>
        <w:ind w:firstLine="0"/>
        <w:rPr>
          <w:noProof/>
        </w:rPr>
      </w:pPr>
      <w:r>
        <w:rPr>
          <w:noProof/>
          <w:rtl/>
        </w:rPr>
        <w:t xml:space="preserve">الآمدي، عبدالواحد التميمي، </w:t>
      </w:r>
      <w:r>
        <w:rPr>
          <w:noProof/>
        </w:rPr>
        <w:t>320</w:t>
      </w:r>
      <w:r>
        <w:rPr>
          <w:noProof/>
          <w:rtl/>
        </w:rPr>
        <w:t xml:space="preserve">، </w:t>
      </w:r>
      <w:r>
        <w:rPr>
          <w:noProof/>
        </w:rPr>
        <w:t>333</w:t>
      </w:r>
    </w:p>
    <w:p w:rsidR="002002F4" w:rsidRDefault="002002F4" w:rsidP="002002F4">
      <w:pPr>
        <w:ind w:firstLine="0"/>
        <w:rPr>
          <w:noProof/>
        </w:rPr>
      </w:pPr>
      <w:r>
        <w:rPr>
          <w:noProof/>
          <w:rtl/>
        </w:rPr>
        <w:t xml:space="preserve">الآملي، السيّد حيدر، </w:t>
      </w:r>
      <w:r>
        <w:rPr>
          <w:noProof/>
        </w:rPr>
        <w:t>46</w:t>
      </w:r>
      <w:r>
        <w:rPr>
          <w:noProof/>
          <w:rtl/>
        </w:rPr>
        <w:t xml:space="preserve">، </w:t>
      </w:r>
      <w:r>
        <w:rPr>
          <w:noProof/>
        </w:rPr>
        <w:t>50</w:t>
      </w:r>
    </w:p>
    <w:p w:rsidR="002002F4" w:rsidRDefault="002002F4" w:rsidP="002002F4">
      <w:pPr>
        <w:ind w:firstLine="0"/>
        <w:rPr>
          <w:noProof/>
        </w:rPr>
      </w:pPr>
      <w:r>
        <w:rPr>
          <w:noProof/>
          <w:rtl/>
        </w:rPr>
        <w:t xml:space="preserve">الآملي، محمّد تقي، </w:t>
      </w:r>
      <w:r>
        <w:rPr>
          <w:noProof/>
        </w:rPr>
        <w:t>157</w:t>
      </w:r>
      <w:r>
        <w:rPr>
          <w:noProof/>
          <w:rtl/>
        </w:rPr>
        <w:t xml:space="preserve">، </w:t>
      </w:r>
      <w:r>
        <w:rPr>
          <w:noProof/>
        </w:rPr>
        <w:t>310</w:t>
      </w:r>
      <w:r>
        <w:rPr>
          <w:noProof/>
          <w:rtl/>
        </w:rPr>
        <w:t xml:space="preserve">، </w:t>
      </w:r>
      <w:r>
        <w:rPr>
          <w:noProof/>
        </w:rPr>
        <w:t>316</w:t>
      </w:r>
      <w:r>
        <w:rPr>
          <w:noProof/>
          <w:rtl/>
        </w:rPr>
        <w:t xml:space="preserve">، </w:t>
      </w:r>
      <w:r>
        <w:rPr>
          <w:noProof/>
        </w:rPr>
        <w:t>328</w:t>
      </w:r>
      <w:r>
        <w:rPr>
          <w:noProof/>
          <w:rtl/>
        </w:rPr>
        <w:t xml:space="preserve">، </w:t>
      </w:r>
      <w:r>
        <w:rPr>
          <w:noProof/>
        </w:rPr>
        <w:t>330</w:t>
      </w:r>
      <w:r>
        <w:rPr>
          <w:noProof/>
          <w:rtl/>
        </w:rPr>
        <w:t xml:space="preserve">، </w:t>
      </w:r>
      <w:r>
        <w:rPr>
          <w:noProof/>
        </w:rPr>
        <w:t>346</w:t>
      </w:r>
    </w:p>
    <w:p w:rsidR="002002F4" w:rsidRDefault="002002F4" w:rsidP="002002F4">
      <w:pPr>
        <w:ind w:firstLine="0"/>
        <w:rPr>
          <w:noProof/>
        </w:rPr>
      </w:pPr>
      <w:r>
        <w:rPr>
          <w:noProof/>
          <w:rtl/>
        </w:rPr>
        <w:t xml:space="preserve">آيت، حسن، </w:t>
      </w:r>
      <w:r>
        <w:rPr>
          <w:noProof/>
        </w:rPr>
        <w:t>220</w:t>
      </w:r>
      <w:r>
        <w:rPr>
          <w:noProof/>
          <w:rtl/>
        </w:rPr>
        <w:t xml:space="preserve">، </w:t>
      </w:r>
      <w:r>
        <w:rPr>
          <w:noProof/>
        </w:rPr>
        <w:t>223</w:t>
      </w:r>
    </w:p>
    <w:p w:rsidR="002002F4" w:rsidRDefault="002002F4" w:rsidP="002002F4">
      <w:pPr>
        <w:ind w:firstLine="0"/>
        <w:rPr>
          <w:noProof/>
        </w:rPr>
      </w:pPr>
      <w:r>
        <w:rPr>
          <w:noProof/>
          <w:rtl/>
        </w:rPr>
        <w:t xml:space="preserve">بازرگان، مهدي، </w:t>
      </w:r>
      <w:r>
        <w:rPr>
          <w:noProof/>
        </w:rPr>
        <w:t>217</w:t>
      </w:r>
      <w:r>
        <w:rPr>
          <w:noProof/>
          <w:rtl/>
        </w:rPr>
        <w:t xml:space="preserve">، </w:t>
      </w:r>
      <w:r>
        <w:rPr>
          <w:noProof/>
        </w:rPr>
        <w:t>218</w:t>
      </w:r>
      <w:r>
        <w:rPr>
          <w:noProof/>
          <w:rtl/>
        </w:rPr>
        <w:t xml:space="preserve">، </w:t>
      </w:r>
      <w:r>
        <w:rPr>
          <w:noProof/>
        </w:rPr>
        <w:t>223</w:t>
      </w:r>
    </w:p>
    <w:p w:rsidR="002002F4" w:rsidRDefault="002002F4" w:rsidP="002002F4">
      <w:pPr>
        <w:ind w:firstLine="0"/>
        <w:rPr>
          <w:noProof/>
        </w:rPr>
      </w:pPr>
      <w:r>
        <w:rPr>
          <w:noProof/>
          <w:rtl/>
        </w:rPr>
        <w:t xml:space="preserve">البحراني، يوسف، </w:t>
      </w:r>
      <w:r>
        <w:rPr>
          <w:noProof/>
        </w:rPr>
        <w:t>295</w:t>
      </w:r>
    </w:p>
    <w:p w:rsidR="002002F4" w:rsidRDefault="002002F4" w:rsidP="002002F4">
      <w:pPr>
        <w:ind w:firstLine="0"/>
        <w:rPr>
          <w:noProof/>
        </w:rPr>
      </w:pPr>
      <w:r>
        <w:rPr>
          <w:noProof/>
          <w:rtl/>
        </w:rPr>
        <w:t xml:space="preserve">برزگر خالقي، محمّد رضا، </w:t>
      </w:r>
      <w:r>
        <w:rPr>
          <w:noProof/>
        </w:rPr>
        <w:t>46</w:t>
      </w:r>
    </w:p>
    <w:p w:rsidR="002002F4" w:rsidRDefault="002002F4" w:rsidP="002002F4">
      <w:pPr>
        <w:ind w:firstLine="0"/>
        <w:rPr>
          <w:noProof/>
        </w:rPr>
      </w:pPr>
      <w:r>
        <w:rPr>
          <w:noProof/>
          <w:rtl/>
        </w:rPr>
        <w:t xml:space="preserve">بريد بن معاوية العجليّ، </w:t>
      </w:r>
      <w:r>
        <w:rPr>
          <w:noProof/>
        </w:rPr>
        <w:t>401</w:t>
      </w:r>
    </w:p>
    <w:p w:rsidR="002002F4" w:rsidRDefault="002002F4" w:rsidP="002002F4">
      <w:pPr>
        <w:ind w:firstLine="0"/>
        <w:rPr>
          <w:noProof/>
        </w:rPr>
      </w:pPr>
      <w:r>
        <w:rPr>
          <w:noProof/>
          <w:rtl/>
        </w:rPr>
        <w:t xml:space="preserve">البعلبكي، منير، </w:t>
      </w:r>
      <w:r>
        <w:rPr>
          <w:noProof/>
        </w:rPr>
        <w:t>12</w:t>
      </w:r>
    </w:p>
    <w:p w:rsidR="002002F4" w:rsidRDefault="002002F4" w:rsidP="002002F4">
      <w:pPr>
        <w:ind w:firstLine="0"/>
        <w:rPr>
          <w:noProof/>
        </w:rPr>
      </w:pPr>
      <w:r>
        <w:rPr>
          <w:noProof/>
          <w:rtl/>
        </w:rPr>
        <w:t xml:space="preserve">بكير بن أعين، </w:t>
      </w:r>
      <w:r>
        <w:rPr>
          <w:noProof/>
        </w:rPr>
        <w:t>363</w:t>
      </w:r>
    </w:p>
    <w:p w:rsidR="002002F4" w:rsidRDefault="002002F4" w:rsidP="002002F4">
      <w:pPr>
        <w:ind w:firstLine="0"/>
        <w:rPr>
          <w:noProof/>
        </w:rPr>
      </w:pPr>
      <w:r>
        <w:rPr>
          <w:noProof/>
          <w:rtl/>
        </w:rPr>
        <w:t xml:space="preserve">البلخي الرومي، مولانا جلال الدين محمّد، </w:t>
      </w:r>
      <w:r>
        <w:rPr>
          <w:noProof/>
        </w:rPr>
        <w:t>51</w:t>
      </w:r>
    </w:p>
    <w:p w:rsidR="002002F4" w:rsidRDefault="002002F4" w:rsidP="002002F4">
      <w:pPr>
        <w:ind w:firstLine="0"/>
        <w:rPr>
          <w:noProof/>
        </w:rPr>
      </w:pPr>
      <w:r>
        <w:rPr>
          <w:noProof/>
          <w:rtl/>
        </w:rPr>
        <w:t xml:space="preserve">البهلويّ الأوّل، رضا شاه، </w:t>
      </w:r>
      <w:r>
        <w:rPr>
          <w:noProof/>
        </w:rPr>
        <w:t>200</w:t>
      </w:r>
      <w:r>
        <w:rPr>
          <w:noProof/>
          <w:rtl/>
        </w:rPr>
        <w:t xml:space="preserve">، </w:t>
      </w:r>
      <w:r>
        <w:rPr>
          <w:noProof/>
        </w:rPr>
        <w:t>201</w:t>
      </w:r>
    </w:p>
    <w:p w:rsidR="002002F4" w:rsidRDefault="002002F4" w:rsidP="002002F4">
      <w:pPr>
        <w:ind w:firstLine="0"/>
        <w:rPr>
          <w:noProof/>
        </w:rPr>
      </w:pPr>
      <w:r>
        <w:rPr>
          <w:noProof/>
          <w:rtl/>
        </w:rPr>
        <w:t xml:space="preserve">البهلويّ الثاني، محمّد رضا شاه، </w:t>
      </w:r>
      <w:r>
        <w:rPr>
          <w:noProof/>
        </w:rPr>
        <w:t>201</w:t>
      </w:r>
      <w:r>
        <w:rPr>
          <w:noProof/>
          <w:rtl/>
        </w:rPr>
        <w:t xml:space="preserve">، </w:t>
      </w:r>
      <w:r>
        <w:rPr>
          <w:noProof/>
        </w:rPr>
        <w:t>202</w:t>
      </w:r>
      <w:r>
        <w:rPr>
          <w:noProof/>
          <w:rtl/>
        </w:rPr>
        <w:t xml:space="preserve">، </w:t>
      </w:r>
      <w:r>
        <w:rPr>
          <w:noProof/>
        </w:rPr>
        <w:t>207</w:t>
      </w:r>
    </w:p>
    <w:p w:rsidR="002002F4" w:rsidRDefault="002002F4" w:rsidP="002002F4">
      <w:pPr>
        <w:ind w:firstLine="0"/>
        <w:rPr>
          <w:noProof/>
        </w:rPr>
      </w:pPr>
      <w:r>
        <w:rPr>
          <w:noProof/>
          <w:rtl/>
        </w:rPr>
        <w:t xml:space="preserve">بيدار فر، محسن، </w:t>
      </w:r>
      <w:r>
        <w:rPr>
          <w:noProof/>
        </w:rPr>
        <w:t>46</w:t>
      </w:r>
    </w:p>
    <w:p w:rsidR="002002F4" w:rsidRDefault="002002F4" w:rsidP="002002F4">
      <w:pPr>
        <w:ind w:firstLine="0"/>
        <w:rPr>
          <w:noProof/>
        </w:rPr>
      </w:pPr>
      <w:r>
        <w:rPr>
          <w:noProof/>
          <w:rtl/>
        </w:rPr>
        <w:t xml:space="preserve">البيهقي، أحمد بن حسين، </w:t>
      </w:r>
      <w:r>
        <w:rPr>
          <w:noProof/>
        </w:rPr>
        <w:t>117</w:t>
      </w:r>
      <w:r>
        <w:rPr>
          <w:noProof/>
          <w:rtl/>
        </w:rPr>
        <w:t xml:space="preserve">، </w:t>
      </w:r>
      <w:r>
        <w:rPr>
          <w:noProof/>
        </w:rPr>
        <w:t>298</w:t>
      </w:r>
    </w:p>
    <w:p w:rsidR="002002F4" w:rsidRDefault="002002F4" w:rsidP="002002F4">
      <w:pPr>
        <w:ind w:firstLine="0"/>
        <w:rPr>
          <w:noProof/>
        </w:rPr>
      </w:pPr>
      <w:r>
        <w:rPr>
          <w:noProof/>
          <w:rtl/>
        </w:rPr>
        <w:t xml:space="preserve">التبريزي، الشيخ جواد، </w:t>
      </w:r>
      <w:r>
        <w:rPr>
          <w:noProof/>
        </w:rPr>
        <w:t>137</w:t>
      </w:r>
      <w:r>
        <w:rPr>
          <w:noProof/>
          <w:rtl/>
        </w:rPr>
        <w:t xml:space="preserve">، </w:t>
      </w:r>
      <w:r>
        <w:rPr>
          <w:noProof/>
        </w:rPr>
        <w:t>160</w:t>
      </w:r>
      <w:r>
        <w:rPr>
          <w:noProof/>
          <w:rtl/>
        </w:rPr>
        <w:t xml:space="preserve">، </w:t>
      </w:r>
      <w:r>
        <w:rPr>
          <w:noProof/>
        </w:rPr>
        <w:t>161</w:t>
      </w:r>
      <w:r>
        <w:rPr>
          <w:noProof/>
          <w:rtl/>
        </w:rPr>
        <w:t xml:space="preserve">، </w:t>
      </w:r>
      <w:r>
        <w:rPr>
          <w:noProof/>
        </w:rPr>
        <w:t>307</w:t>
      </w:r>
      <w:r>
        <w:rPr>
          <w:noProof/>
          <w:rtl/>
        </w:rPr>
        <w:t xml:space="preserve">، </w:t>
      </w:r>
      <w:r>
        <w:rPr>
          <w:noProof/>
        </w:rPr>
        <w:t>310</w:t>
      </w:r>
      <w:r>
        <w:rPr>
          <w:noProof/>
          <w:rtl/>
        </w:rPr>
        <w:t xml:space="preserve">، </w:t>
      </w:r>
      <w:r>
        <w:rPr>
          <w:noProof/>
        </w:rPr>
        <w:t>316</w:t>
      </w:r>
      <w:r>
        <w:rPr>
          <w:noProof/>
          <w:rtl/>
        </w:rPr>
        <w:t xml:space="preserve">، </w:t>
      </w:r>
      <w:r>
        <w:rPr>
          <w:noProof/>
        </w:rPr>
        <w:t>317</w:t>
      </w:r>
      <w:r>
        <w:rPr>
          <w:noProof/>
          <w:rtl/>
        </w:rPr>
        <w:t xml:space="preserve">، </w:t>
      </w:r>
      <w:r>
        <w:rPr>
          <w:noProof/>
        </w:rPr>
        <w:t>318</w:t>
      </w:r>
      <w:r>
        <w:rPr>
          <w:noProof/>
          <w:rtl/>
        </w:rPr>
        <w:t xml:space="preserve">، </w:t>
      </w:r>
      <w:r>
        <w:rPr>
          <w:noProof/>
        </w:rPr>
        <w:t>325</w:t>
      </w:r>
      <w:r>
        <w:rPr>
          <w:noProof/>
          <w:rtl/>
        </w:rPr>
        <w:t xml:space="preserve">، </w:t>
      </w:r>
      <w:r>
        <w:rPr>
          <w:noProof/>
        </w:rPr>
        <w:t>329</w:t>
      </w:r>
      <w:r>
        <w:rPr>
          <w:noProof/>
          <w:rtl/>
        </w:rPr>
        <w:t xml:space="preserve">، </w:t>
      </w:r>
      <w:r>
        <w:rPr>
          <w:noProof/>
        </w:rPr>
        <w:t>330</w:t>
      </w:r>
      <w:r>
        <w:rPr>
          <w:noProof/>
          <w:rtl/>
        </w:rPr>
        <w:t xml:space="preserve">، </w:t>
      </w:r>
      <w:r>
        <w:rPr>
          <w:noProof/>
        </w:rPr>
        <w:t>371</w:t>
      </w:r>
    </w:p>
    <w:p w:rsidR="002002F4" w:rsidRDefault="002002F4" w:rsidP="002002F4">
      <w:pPr>
        <w:ind w:firstLine="0"/>
        <w:rPr>
          <w:noProof/>
        </w:rPr>
      </w:pPr>
      <w:r>
        <w:rPr>
          <w:noProof/>
          <w:rtl/>
        </w:rPr>
        <w:t xml:space="preserve">تركمان، محمّد، </w:t>
      </w:r>
      <w:r>
        <w:rPr>
          <w:noProof/>
        </w:rPr>
        <w:t>128</w:t>
      </w:r>
    </w:p>
    <w:p w:rsidR="002002F4" w:rsidRDefault="002002F4" w:rsidP="002002F4">
      <w:pPr>
        <w:ind w:firstLine="0"/>
        <w:rPr>
          <w:noProof/>
        </w:rPr>
      </w:pPr>
      <w:r>
        <w:rPr>
          <w:noProof/>
          <w:rtl/>
        </w:rPr>
        <w:t xml:space="preserve">الترمذي، محمّد بن عيسي، </w:t>
      </w:r>
      <w:r>
        <w:rPr>
          <w:noProof/>
        </w:rPr>
        <w:t>297</w:t>
      </w:r>
    </w:p>
    <w:p w:rsidR="002002F4" w:rsidRDefault="002002F4" w:rsidP="002002F4">
      <w:pPr>
        <w:ind w:firstLine="0"/>
        <w:rPr>
          <w:noProof/>
        </w:rPr>
      </w:pPr>
      <w:r>
        <w:rPr>
          <w:noProof/>
          <w:rtl/>
        </w:rPr>
        <w:t xml:space="preserve">التستري، محمّد تقي، </w:t>
      </w:r>
      <w:r>
        <w:rPr>
          <w:noProof/>
        </w:rPr>
        <w:t>379</w:t>
      </w:r>
    </w:p>
    <w:p w:rsidR="002002F4" w:rsidRDefault="002002F4" w:rsidP="002002F4">
      <w:pPr>
        <w:ind w:firstLine="0"/>
        <w:rPr>
          <w:noProof/>
        </w:rPr>
      </w:pPr>
      <w:r>
        <w:rPr>
          <w:noProof/>
          <w:rtl/>
        </w:rPr>
        <w:t xml:space="preserve">التوحيدي، محمّد علي، </w:t>
      </w:r>
      <w:r>
        <w:rPr>
          <w:noProof/>
        </w:rPr>
        <w:t>77</w:t>
      </w:r>
      <w:r>
        <w:rPr>
          <w:noProof/>
          <w:rtl/>
        </w:rPr>
        <w:t xml:space="preserve">، </w:t>
      </w:r>
      <w:r>
        <w:rPr>
          <w:noProof/>
        </w:rPr>
        <w:t>132</w:t>
      </w:r>
      <w:r>
        <w:rPr>
          <w:noProof/>
          <w:rtl/>
        </w:rPr>
        <w:t xml:space="preserve">، </w:t>
      </w:r>
      <w:r>
        <w:rPr>
          <w:noProof/>
        </w:rPr>
        <w:t>310</w:t>
      </w:r>
      <w:r>
        <w:rPr>
          <w:noProof/>
          <w:rtl/>
        </w:rPr>
        <w:t xml:space="preserve">، </w:t>
      </w:r>
      <w:r>
        <w:rPr>
          <w:noProof/>
        </w:rPr>
        <w:t>330</w:t>
      </w:r>
      <w:r>
        <w:rPr>
          <w:noProof/>
          <w:rtl/>
        </w:rPr>
        <w:t xml:space="preserve">، </w:t>
      </w:r>
      <w:r>
        <w:rPr>
          <w:noProof/>
        </w:rPr>
        <w:t>353</w:t>
      </w:r>
    </w:p>
    <w:p w:rsidR="002002F4" w:rsidRDefault="002002F4" w:rsidP="002002F4">
      <w:pPr>
        <w:ind w:firstLine="0"/>
        <w:rPr>
          <w:noProof/>
        </w:rPr>
      </w:pPr>
      <w:r>
        <w:rPr>
          <w:noProof/>
          <w:rtl/>
        </w:rPr>
        <w:t xml:space="preserve">الثعلبي النيسابوري، أحمد بن محمّد إبراهيم، </w:t>
      </w:r>
      <w:r>
        <w:rPr>
          <w:noProof/>
        </w:rPr>
        <w:t>95</w:t>
      </w:r>
    </w:p>
    <w:p w:rsidR="002002F4" w:rsidRDefault="002002F4" w:rsidP="002002F4">
      <w:pPr>
        <w:ind w:firstLine="0"/>
        <w:rPr>
          <w:noProof/>
        </w:rPr>
      </w:pPr>
      <w:r>
        <w:rPr>
          <w:noProof/>
          <w:rtl/>
        </w:rPr>
        <w:t xml:space="preserve">ثقة الإسلام الأصفهاني، محمّد علي، </w:t>
      </w:r>
      <w:r>
        <w:rPr>
          <w:noProof/>
        </w:rPr>
        <w:t>134</w:t>
      </w:r>
    </w:p>
    <w:p w:rsidR="002002F4" w:rsidRDefault="002002F4" w:rsidP="002002F4">
      <w:pPr>
        <w:ind w:firstLine="0"/>
        <w:rPr>
          <w:noProof/>
        </w:rPr>
      </w:pPr>
      <w:r>
        <w:rPr>
          <w:noProof/>
          <w:rtl/>
        </w:rPr>
        <w:t xml:space="preserve">ثوير بن أبي فاختة، </w:t>
      </w:r>
      <w:r>
        <w:rPr>
          <w:noProof/>
        </w:rPr>
        <w:t>363</w:t>
      </w:r>
    </w:p>
    <w:p w:rsidR="002002F4" w:rsidRDefault="002002F4" w:rsidP="002002F4">
      <w:pPr>
        <w:ind w:firstLine="0"/>
        <w:rPr>
          <w:noProof/>
        </w:rPr>
      </w:pPr>
      <w:r>
        <w:rPr>
          <w:noProof/>
          <w:rtl/>
        </w:rPr>
        <w:t xml:space="preserve">جبرائيل، </w:t>
      </w:r>
      <w:r>
        <w:rPr>
          <w:noProof/>
        </w:rPr>
        <w:t>323</w:t>
      </w:r>
    </w:p>
    <w:p w:rsidR="002002F4" w:rsidRDefault="002002F4" w:rsidP="002002F4">
      <w:pPr>
        <w:ind w:firstLine="0"/>
        <w:rPr>
          <w:noProof/>
        </w:rPr>
      </w:pPr>
      <w:r>
        <w:rPr>
          <w:noProof/>
          <w:rtl/>
        </w:rPr>
        <w:t xml:space="preserve">جعفر الکذّاب، </w:t>
      </w:r>
      <w:r>
        <w:rPr>
          <w:noProof/>
        </w:rPr>
        <w:t>384</w:t>
      </w:r>
      <w:r>
        <w:rPr>
          <w:noProof/>
          <w:rtl/>
        </w:rPr>
        <w:t xml:space="preserve">، </w:t>
      </w:r>
      <w:r>
        <w:rPr>
          <w:noProof/>
        </w:rPr>
        <w:t>386</w:t>
      </w:r>
    </w:p>
    <w:p w:rsidR="002002F4" w:rsidRDefault="002002F4" w:rsidP="002002F4">
      <w:pPr>
        <w:ind w:firstLine="0"/>
        <w:rPr>
          <w:noProof/>
        </w:rPr>
      </w:pPr>
      <w:r>
        <w:rPr>
          <w:noProof/>
          <w:rtl/>
        </w:rPr>
        <w:t xml:space="preserve">جعفر بن محمّد بن قولويه، </w:t>
      </w:r>
      <w:r>
        <w:rPr>
          <w:noProof/>
        </w:rPr>
        <w:t>377</w:t>
      </w:r>
    </w:p>
    <w:p w:rsidR="002002F4" w:rsidRDefault="002002F4" w:rsidP="002002F4">
      <w:pPr>
        <w:ind w:firstLine="0"/>
        <w:rPr>
          <w:noProof/>
        </w:rPr>
      </w:pPr>
      <w:r>
        <w:rPr>
          <w:noProof/>
          <w:rtl/>
        </w:rPr>
        <w:t xml:space="preserve">جعفر، محمّد كمال إبراهيم، </w:t>
      </w:r>
      <w:r>
        <w:rPr>
          <w:noProof/>
        </w:rPr>
        <w:t>46</w:t>
      </w:r>
    </w:p>
    <w:p w:rsidR="002002F4" w:rsidRDefault="002002F4" w:rsidP="002002F4">
      <w:pPr>
        <w:ind w:firstLine="0"/>
        <w:rPr>
          <w:noProof/>
        </w:rPr>
      </w:pPr>
      <w:r>
        <w:rPr>
          <w:noProof/>
          <w:rtl/>
        </w:rPr>
        <w:t xml:space="preserve">جعفريان، رسول، </w:t>
      </w:r>
      <w:r>
        <w:rPr>
          <w:noProof/>
        </w:rPr>
        <w:t>130</w:t>
      </w:r>
    </w:p>
    <w:p w:rsidR="002002F4" w:rsidRDefault="002002F4" w:rsidP="002002F4">
      <w:pPr>
        <w:ind w:firstLine="0"/>
        <w:rPr>
          <w:noProof/>
        </w:rPr>
      </w:pPr>
      <w:r>
        <w:rPr>
          <w:noProof/>
          <w:rtl/>
        </w:rPr>
        <w:t xml:space="preserve">جوادي الآملي، الشيخ عبدالله، </w:t>
      </w:r>
      <w:r>
        <w:rPr>
          <w:noProof/>
        </w:rPr>
        <w:t>139</w:t>
      </w:r>
      <w:r>
        <w:rPr>
          <w:noProof/>
          <w:rtl/>
        </w:rPr>
        <w:t xml:space="preserve">، </w:t>
      </w:r>
      <w:r>
        <w:rPr>
          <w:noProof/>
        </w:rPr>
        <w:t>144</w:t>
      </w:r>
      <w:r>
        <w:rPr>
          <w:noProof/>
          <w:rtl/>
        </w:rPr>
        <w:t xml:space="preserve">، </w:t>
      </w:r>
      <w:r>
        <w:rPr>
          <w:noProof/>
        </w:rPr>
        <w:t>145</w:t>
      </w:r>
      <w:r>
        <w:rPr>
          <w:noProof/>
          <w:rtl/>
        </w:rPr>
        <w:t xml:space="preserve">، </w:t>
      </w:r>
      <w:r>
        <w:rPr>
          <w:noProof/>
        </w:rPr>
        <w:t>146</w:t>
      </w:r>
      <w:r>
        <w:rPr>
          <w:noProof/>
          <w:rtl/>
        </w:rPr>
        <w:t xml:space="preserve">، </w:t>
      </w:r>
      <w:r>
        <w:rPr>
          <w:noProof/>
        </w:rPr>
        <w:t>148</w:t>
      </w:r>
      <w:r>
        <w:rPr>
          <w:noProof/>
          <w:rtl/>
        </w:rPr>
        <w:t xml:space="preserve">، </w:t>
      </w:r>
      <w:r>
        <w:rPr>
          <w:noProof/>
        </w:rPr>
        <w:t>150</w:t>
      </w:r>
      <w:r>
        <w:rPr>
          <w:noProof/>
          <w:rtl/>
        </w:rPr>
        <w:t xml:space="preserve">، </w:t>
      </w:r>
      <w:r>
        <w:rPr>
          <w:noProof/>
        </w:rPr>
        <w:t>151</w:t>
      </w:r>
      <w:r>
        <w:rPr>
          <w:noProof/>
          <w:rtl/>
        </w:rPr>
        <w:t xml:space="preserve">، </w:t>
      </w:r>
      <w:r>
        <w:rPr>
          <w:noProof/>
        </w:rPr>
        <w:t>184</w:t>
      </w:r>
      <w:r>
        <w:rPr>
          <w:noProof/>
          <w:rtl/>
        </w:rPr>
        <w:t xml:space="preserve">، </w:t>
      </w:r>
      <w:r>
        <w:rPr>
          <w:noProof/>
        </w:rPr>
        <w:t>187</w:t>
      </w:r>
      <w:r>
        <w:rPr>
          <w:noProof/>
          <w:rtl/>
        </w:rPr>
        <w:t xml:space="preserve">، </w:t>
      </w:r>
      <w:r>
        <w:rPr>
          <w:noProof/>
        </w:rPr>
        <w:t>188</w:t>
      </w:r>
      <w:r>
        <w:rPr>
          <w:noProof/>
          <w:rtl/>
        </w:rPr>
        <w:t xml:space="preserve">، </w:t>
      </w:r>
      <w:r>
        <w:rPr>
          <w:noProof/>
        </w:rPr>
        <w:t>189</w:t>
      </w:r>
      <w:r>
        <w:rPr>
          <w:noProof/>
          <w:rtl/>
        </w:rPr>
        <w:t xml:space="preserve">، </w:t>
      </w:r>
      <w:r>
        <w:rPr>
          <w:noProof/>
        </w:rPr>
        <w:t>190</w:t>
      </w:r>
      <w:r>
        <w:rPr>
          <w:noProof/>
          <w:rtl/>
        </w:rPr>
        <w:t xml:space="preserve">، </w:t>
      </w:r>
      <w:r>
        <w:rPr>
          <w:noProof/>
        </w:rPr>
        <w:t>191</w:t>
      </w:r>
      <w:r>
        <w:rPr>
          <w:noProof/>
          <w:rtl/>
        </w:rPr>
        <w:t xml:space="preserve">، </w:t>
      </w:r>
      <w:r>
        <w:rPr>
          <w:noProof/>
        </w:rPr>
        <w:t>255</w:t>
      </w:r>
      <w:r>
        <w:rPr>
          <w:noProof/>
          <w:rtl/>
        </w:rPr>
        <w:t xml:space="preserve">، </w:t>
      </w:r>
      <w:r>
        <w:rPr>
          <w:noProof/>
        </w:rPr>
        <w:t>284</w:t>
      </w:r>
      <w:r>
        <w:rPr>
          <w:noProof/>
          <w:rtl/>
        </w:rPr>
        <w:t xml:space="preserve">، </w:t>
      </w:r>
      <w:r>
        <w:rPr>
          <w:noProof/>
        </w:rPr>
        <w:t>346</w:t>
      </w:r>
      <w:r>
        <w:rPr>
          <w:noProof/>
          <w:rtl/>
        </w:rPr>
        <w:t xml:space="preserve">، </w:t>
      </w:r>
      <w:r>
        <w:rPr>
          <w:noProof/>
        </w:rPr>
        <w:t>420</w:t>
      </w:r>
      <w:r>
        <w:rPr>
          <w:noProof/>
          <w:rtl/>
        </w:rPr>
        <w:t xml:space="preserve">، </w:t>
      </w:r>
      <w:r>
        <w:rPr>
          <w:noProof/>
        </w:rPr>
        <w:t>422</w:t>
      </w:r>
      <w:r>
        <w:rPr>
          <w:noProof/>
          <w:rtl/>
        </w:rPr>
        <w:t xml:space="preserve">، </w:t>
      </w:r>
      <w:r>
        <w:rPr>
          <w:noProof/>
        </w:rPr>
        <w:t>424</w:t>
      </w:r>
      <w:r>
        <w:rPr>
          <w:noProof/>
          <w:rtl/>
        </w:rPr>
        <w:t xml:space="preserve">، </w:t>
      </w:r>
      <w:r>
        <w:rPr>
          <w:noProof/>
        </w:rPr>
        <w:t>428</w:t>
      </w:r>
      <w:r>
        <w:rPr>
          <w:noProof/>
          <w:rtl/>
        </w:rPr>
        <w:t xml:space="preserve">، </w:t>
      </w:r>
      <w:r>
        <w:rPr>
          <w:noProof/>
        </w:rPr>
        <w:t>432</w:t>
      </w:r>
      <w:r>
        <w:rPr>
          <w:noProof/>
          <w:rtl/>
        </w:rPr>
        <w:t xml:space="preserve">، </w:t>
      </w:r>
      <w:r>
        <w:rPr>
          <w:noProof/>
        </w:rPr>
        <w:t>449</w:t>
      </w:r>
      <w:r>
        <w:rPr>
          <w:noProof/>
          <w:rtl/>
        </w:rPr>
        <w:t xml:space="preserve">، </w:t>
      </w:r>
      <w:r>
        <w:rPr>
          <w:noProof/>
        </w:rPr>
        <w:t>450</w:t>
      </w:r>
    </w:p>
    <w:p w:rsidR="002002F4" w:rsidRDefault="002002F4" w:rsidP="002002F4">
      <w:pPr>
        <w:ind w:firstLine="0"/>
        <w:rPr>
          <w:noProof/>
        </w:rPr>
      </w:pPr>
      <w:r>
        <w:rPr>
          <w:noProof/>
          <w:rtl/>
        </w:rPr>
        <w:t xml:space="preserve">الجوهري، إسماعيل بن حمّاد، </w:t>
      </w:r>
      <w:r>
        <w:rPr>
          <w:noProof/>
        </w:rPr>
        <w:t>40</w:t>
      </w:r>
    </w:p>
    <w:p w:rsidR="002002F4" w:rsidRDefault="002002F4" w:rsidP="002002F4">
      <w:pPr>
        <w:ind w:firstLine="0"/>
        <w:rPr>
          <w:noProof/>
        </w:rPr>
      </w:pPr>
      <w:r>
        <w:rPr>
          <w:noProof/>
          <w:rtl/>
        </w:rPr>
        <w:t xml:space="preserve">الجيلاني، ميرزا أبوالقاسم، </w:t>
      </w:r>
      <w:r>
        <w:rPr>
          <w:noProof/>
        </w:rPr>
        <w:t>130</w:t>
      </w:r>
      <w:r>
        <w:rPr>
          <w:noProof/>
          <w:rtl/>
        </w:rPr>
        <w:t xml:space="preserve">، </w:t>
      </w:r>
      <w:r>
        <w:rPr>
          <w:noProof/>
        </w:rPr>
        <w:t>199</w:t>
      </w:r>
    </w:p>
    <w:p w:rsidR="002002F4" w:rsidRDefault="002002F4" w:rsidP="002002F4">
      <w:pPr>
        <w:ind w:firstLine="0"/>
        <w:rPr>
          <w:noProof/>
        </w:rPr>
      </w:pPr>
      <w:r>
        <w:rPr>
          <w:noProof/>
          <w:rtl/>
        </w:rPr>
        <w:t xml:space="preserve">الحائري اليزدي، الشيخ عبد الكريم، </w:t>
      </w:r>
      <w:r>
        <w:rPr>
          <w:noProof/>
        </w:rPr>
        <w:t>440</w:t>
      </w:r>
    </w:p>
    <w:p w:rsidR="002002F4" w:rsidRDefault="002002F4" w:rsidP="002002F4">
      <w:pPr>
        <w:ind w:firstLine="0"/>
        <w:rPr>
          <w:noProof/>
        </w:rPr>
      </w:pPr>
      <w:r>
        <w:rPr>
          <w:noProof/>
          <w:rtl/>
        </w:rPr>
        <w:t xml:space="preserve">الحائري اليزدي، مرتضی، </w:t>
      </w:r>
      <w:r>
        <w:rPr>
          <w:noProof/>
        </w:rPr>
        <w:t>191</w:t>
      </w:r>
      <w:r>
        <w:rPr>
          <w:noProof/>
          <w:rtl/>
        </w:rPr>
        <w:t xml:space="preserve">، </w:t>
      </w:r>
      <w:r>
        <w:rPr>
          <w:noProof/>
        </w:rPr>
        <w:t>297</w:t>
      </w:r>
      <w:r>
        <w:rPr>
          <w:noProof/>
          <w:rtl/>
        </w:rPr>
        <w:t xml:space="preserve">، </w:t>
      </w:r>
      <w:r>
        <w:rPr>
          <w:noProof/>
        </w:rPr>
        <w:t>298</w:t>
      </w:r>
      <w:r>
        <w:rPr>
          <w:noProof/>
          <w:rtl/>
        </w:rPr>
        <w:t xml:space="preserve">، </w:t>
      </w:r>
      <w:r>
        <w:rPr>
          <w:noProof/>
        </w:rPr>
        <w:t>309</w:t>
      </w:r>
      <w:r>
        <w:rPr>
          <w:noProof/>
          <w:rtl/>
        </w:rPr>
        <w:t xml:space="preserve">، </w:t>
      </w:r>
      <w:r>
        <w:rPr>
          <w:noProof/>
        </w:rPr>
        <w:t>317</w:t>
      </w:r>
      <w:r>
        <w:rPr>
          <w:noProof/>
          <w:rtl/>
        </w:rPr>
        <w:t xml:space="preserve">، </w:t>
      </w:r>
      <w:r>
        <w:rPr>
          <w:noProof/>
        </w:rPr>
        <w:t>325</w:t>
      </w:r>
      <w:r>
        <w:rPr>
          <w:noProof/>
          <w:rtl/>
        </w:rPr>
        <w:t xml:space="preserve">، </w:t>
      </w:r>
      <w:r>
        <w:rPr>
          <w:noProof/>
        </w:rPr>
        <w:t>327</w:t>
      </w:r>
      <w:r>
        <w:rPr>
          <w:noProof/>
          <w:rtl/>
        </w:rPr>
        <w:t xml:space="preserve">، </w:t>
      </w:r>
      <w:r>
        <w:rPr>
          <w:noProof/>
        </w:rPr>
        <w:t>377</w:t>
      </w:r>
    </w:p>
    <w:p w:rsidR="002002F4" w:rsidRDefault="002002F4" w:rsidP="002002F4">
      <w:pPr>
        <w:ind w:firstLine="0"/>
        <w:rPr>
          <w:noProof/>
        </w:rPr>
      </w:pPr>
      <w:r>
        <w:rPr>
          <w:noProof/>
          <w:rtl/>
        </w:rPr>
        <w:t xml:space="preserve">الحائري اليزدي، مهدي، </w:t>
      </w:r>
      <w:r>
        <w:rPr>
          <w:noProof/>
        </w:rPr>
        <w:t>191</w:t>
      </w:r>
      <w:r>
        <w:rPr>
          <w:noProof/>
          <w:rtl/>
        </w:rPr>
        <w:t xml:space="preserve">، </w:t>
      </w:r>
      <w:r>
        <w:rPr>
          <w:noProof/>
        </w:rPr>
        <w:t>250</w:t>
      </w:r>
    </w:p>
    <w:p w:rsidR="002002F4" w:rsidRDefault="002002F4" w:rsidP="002002F4">
      <w:pPr>
        <w:ind w:firstLine="0"/>
        <w:rPr>
          <w:noProof/>
        </w:rPr>
      </w:pPr>
      <w:r>
        <w:rPr>
          <w:noProof/>
          <w:rtl/>
        </w:rPr>
        <w:t xml:space="preserve">الحائري، عبد الهادي، </w:t>
      </w:r>
      <w:r>
        <w:rPr>
          <w:noProof/>
        </w:rPr>
        <w:t>130</w:t>
      </w:r>
    </w:p>
    <w:p w:rsidR="002002F4" w:rsidRDefault="002002F4" w:rsidP="002002F4">
      <w:pPr>
        <w:ind w:firstLine="0"/>
        <w:rPr>
          <w:noProof/>
        </w:rPr>
      </w:pPr>
      <w:r>
        <w:rPr>
          <w:noProof/>
          <w:rtl/>
        </w:rPr>
        <w:t>حب</w:t>
      </w:r>
      <w:r>
        <w:rPr>
          <w:rFonts w:ascii="Times New Roman" w:hAnsi="Times New Roman" w:cs="Times New Roman" w:hint="cs"/>
          <w:noProof/>
          <w:rtl/>
        </w:rPr>
        <w:t>‌</w:t>
      </w:r>
      <w:r>
        <w:rPr>
          <w:rFonts w:ascii="Mosawi" w:hAnsi="Mosawi" w:hint="cs"/>
          <w:noProof/>
          <w:rtl/>
        </w:rPr>
        <w:t>الله،</w:t>
      </w:r>
      <w:r>
        <w:rPr>
          <w:noProof/>
          <w:rtl/>
        </w:rPr>
        <w:t xml:space="preserve"> </w:t>
      </w:r>
      <w:r>
        <w:rPr>
          <w:rFonts w:ascii="Mosawi" w:hAnsi="Mosawi" w:hint="cs"/>
          <w:noProof/>
          <w:rtl/>
        </w:rPr>
        <w:t>حيدر،</w:t>
      </w:r>
      <w:r>
        <w:rPr>
          <w:noProof/>
          <w:rtl/>
        </w:rPr>
        <w:t xml:space="preserve"> </w:t>
      </w:r>
      <w:r>
        <w:rPr>
          <w:noProof/>
        </w:rPr>
        <w:t>8</w:t>
      </w:r>
    </w:p>
    <w:p w:rsidR="002002F4" w:rsidRDefault="002002F4" w:rsidP="002002F4">
      <w:pPr>
        <w:ind w:firstLine="0"/>
        <w:rPr>
          <w:noProof/>
        </w:rPr>
      </w:pPr>
      <w:r>
        <w:rPr>
          <w:noProof/>
          <w:rtl/>
        </w:rPr>
        <w:t xml:space="preserve">حبيبي، حسن، </w:t>
      </w:r>
      <w:r>
        <w:rPr>
          <w:noProof/>
        </w:rPr>
        <w:t>220</w:t>
      </w:r>
      <w:r>
        <w:rPr>
          <w:noProof/>
          <w:rtl/>
        </w:rPr>
        <w:t xml:space="preserve">، </w:t>
      </w:r>
      <w:r>
        <w:rPr>
          <w:noProof/>
        </w:rPr>
        <w:t>222</w:t>
      </w:r>
    </w:p>
    <w:p w:rsidR="002002F4" w:rsidRDefault="002002F4" w:rsidP="002002F4">
      <w:pPr>
        <w:ind w:firstLine="0"/>
        <w:rPr>
          <w:noProof/>
        </w:rPr>
      </w:pPr>
      <w:r>
        <w:rPr>
          <w:noProof/>
          <w:rtl/>
        </w:rPr>
        <w:t xml:space="preserve">حجاريان، سعيد، </w:t>
      </w:r>
      <w:r>
        <w:rPr>
          <w:noProof/>
        </w:rPr>
        <w:t>197</w:t>
      </w:r>
    </w:p>
    <w:p w:rsidR="002002F4" w:rsidRDefault="002002F4" w:rsidP="002002F4">
      <w:pPr>
        <w:ind w:firstLine="0"/>
        <w:rPr>
          <w:noProof/>
        </w:rPr>
      </w:pPr>
      <w:r>
        <w:rPr>
          <w:noProof/>
          <w:rtl/>
        </w:rPr>
        <w:t>الحجة القائم(عج) = الإمام المهدي(عج)</w:t>
      </w:r>
    </w:p>
    <w:p w:rsidR="002002F4" w:rsidRDefault="002002F4" w:rsidP="002002F4">
      <w:pPr>
        <w:ind w:firstLine="0"/>
        <w:rPr>
          <w:noProof/>
        </w:rPr>
      </w:pPr>
      <w:r>
        <w:rPr>
          <w:noProof/>
          <w:rtl/>
        </w:rPr>
        <w:t xml:space="preserve">حجتي كرماني، محمّد جواد، </w:t>
      </w:r>
      <w:r>
        <w:rPr>
          <w:noProof/>
        </w:rPr>
        <w:t>231</w:t>
      </w:r>
    </w:p>
    <w:p w:rsidR="002002F4" w:rsidRDefault="002002F4" w:rsidP="002002F4">
      <w:pPr>
        <w:ind w:firstLine="0"/>
        <w:rPr>
          <w:noProof/>
          <w:rtl/>
        </w:rPr>
      </w:pPr>
      <w:r>
        <w:rPr>
          <w:noProof/>
          <w:rtl/>
        </w:rPr>
        <w:t xml:space="preserve">الحرّ العاملي، محمّد بن حسن، </w:t>
      </w:r>
      <w:r>
        <w:rPr>
          <w:noProof/>
        </w:rPr>
        <w:t>61</w:t>
      </w:r>
    </w:p>
    <w:p w:rsidR="002002F4" w:rsidRDefault="002002F4" w:rsidP="002002F4">
      <w:pPr>
        <w:ind w:firstLine="0"/>
        <w:rPr>
          <w:noProof/>
        </w:rPr>
      </w:pPr>
      <w:r>
        <w:rPr>
          <w:noProof/>
          <w:rtl/>
        </w:rPr>
        <w:t xml:space="preserve">الحسن بن علي، </w:t>
      </w:r>
      <w:r>
        <w:rPr>
          <w:noProof/>
        </w:rPr>
        <w:t>363</w:t>
      </w:r>
    </w:p>
    <w:p w:rsidR="002002F4" w:rsidRDefault="002002F4" w:rsidP="002002F4">
      <w:pPr>
        <w:ind w:firstLine="0"/>
        <w:rPr>
          <w:noProof/>
        </w:rPr>
      </w:pPr>
      <w:r>
        <w:rPr>
          <w:noProof/>
          <w:rtl/>
        </w:rPr>
        <w:t xml:space="preserve">الحسن بن علي بن أبي حمزة، </w:t>
      </w:r>
      <w:r>
        <w:rPr>
          <w:noProof/>
        </w:rPr>
        <w:t>372</w:t>
      </w:r>
    </w:p>
    <w:p w:rsidR="002002F4" w:rsidRDefault="002002F4" w:rsidP="002002F4">
      <w:pPr>
        <w:ind w:firstLine="0"/>
        <w:rPr>
          <w:noProof/>
        </w:rPr>
      </w:pPr>
      <w:r>
        <w:rPr>
          <w:noProof/>
          <w:rtl/>
        </w:rPr>
        <w:t xml:space="preserve">الحسن بن عليّ بن فضّال، </w:t>
      </w:r>
      <w:r>
        <w:rPr>
          <w:noProof/>
        </w:rPr>
        <w:t>320</w:t>
      </w:r>
      <w:r>
        <w:rPr>
          <w:noProof/>
          <w:rtl/>
        </w:rPr>
        <w:t xml:space="preserve">، </w:t>
      </w:r>
      <w:r>
        <w:rPr>
          <w:noProof/>
        </w:rPr>
        <w:t>347</w:t>
      </w:r>
      <w:r>
        <w:rPr>
          <w:noProof/>
          <w:rtl/>
        </w:rPr>
        <w:t xml:space="preserve">، </w:t>
      </w:r>
      <w:r>
        <w:rPr>
          <w:noProof/>
        </w:rPr>
        <w:t>372</w:t>
      </w:r>
    </w:p>
    <w:p w:rsidR="002002F4" w:rsidRDefault="002002F4" w:rsidP="002002F4">
      <w:pPr>
        <w:ind w:firstLine="0"/>
        <w:rPr>
          <w:noProof/>
        </w:rPr>
      </w:pPr>
      <w:r>
        <w:rPr>
          <w:noProof/>
          <w:rtl/>
        </w:rPr>
        <w:t xml:space="preserve">الحسن بن محبوب، </w:t>
      </w:r>
      <w:r>
        <w:rPr>
          <w:noProof/>
        </w:rPr>
        <w:t>369</w:t>
      </w:r>
      <w:r>
        <w:rPr>
          <w:noProof/>
          <w:rtl/>
        </w:rPr>
        <w:t xml:space="preserve">، </w:t>
      </w:r>
      <w:r>
        <w:rPr>
          <w:noProof/>
        </w:rPr>
        <w:t>370</w:t>
      </w:r>
    </w:p>
    <w:p w:rsidR="002002F4" w:rsidRDefault="002002F4" w:rsidP="002002F4">
      <w:pPr>
        <w:ind w:firstLine="0"/>
        <w:rPr>
          <w:noProof/>
        </w:rPr>
      </w:pPr>
      <w:r>
        <w:rPr>
          <w:noProof/>
          <w:rtl/>
        </w:rPr>
        <w:t xml:space="preserve">الحسين بن سعيد، </w:t>
      </w:r>
      <w:r>
        <w:rPr>
          <w:noProof/>
        </w:rPr>
        <w:t>347</w:t>
      </w:r>
      <w:r>
        <w:rPr>
          <w:noProof/>
          <w:rtl/>
        </w:rPr>
        <w:t xml:space="preserve">، </w:t>
      </w:r>
      <w:r>
        <w:rPr>
          <w:noProof/>
        </w:rPr>
        <w:t>363</w:t>
      </w:r>
    </w:p>
    <w:p w:rsidR="002002F4" w:rsidRDefault="002002F4" w:rsidP="002002F4">
      <w:pPr>
        <w:ind w:firstLine="0"/>
        <w:rPr>
          <w:noProof/>
        </w:rPr>
      </w:pPr>
      <w:r>
        <w:rPr>
          <w:noProof/>
          <w:rtl/>
        </w:rPr>
        <w:t xml:space="preserve">الحسين بن محمّد، </w:t>
      </w:r>
      <w:r>
        <w:rPr>
          <w:noProof/>
        </w:rPr>
        <w:t>363</w:t>
      </w:r>
    </w:p>
    <w:p w:rsidR="002002F4" w:rsidRDefault="002002F4" w:rsidP="002002F4">
      <w:pPr>
        <w:ind w:firstLine="0"/>
        <w:rPr>
          <w:noProof/>
        </w:rPr>
      </w:pPr>
      <w:r>
        <w:rPr>
          <w:noProof/>
          <w:rtl/>
        </w:rPr>
        <w:t xml:space="preserve">الحسين بن يزيد النوفليّ، </w:t>
      </w:r>
      <w:r>
        <w:rPr>
          <w:noProof/>
        </w:rPr>
        <w:t>315</w:t>
      </w:r>
    </w:p>
    <w:p w:rsidR="002002F4" w:rsidRDefault="002002F4" w:rsidP="002002F4">
      <w:pPr>
        <w:ind w:firstLine="0"/>
        <w:rPr>
          <w:noProof/>
        </w:rPr>
      </w:pPr>
      <w:r>
        <w:rPr>
          <w:noProof/>
          <w:rtl/>
        </w:rPr>
        <w:t xml:space="preserve">حسيني البهشتي، السيّد محمّدحسين، </w:t>
      </w:r>
      <w:r>
        <w:rPr>
          <w:noProof/>
        </w:rPr>
        <w:t>220</w:t>
      </w:r>
      <w:r>
        <w:rPr>
          <w:noProof/>
          <w:rtl/>
        </w:rPr>
        <w:t xml:space="preserve">، </w:t>
      </w:r>
      <w:r>
        <w:rPr>
          <w:noProof/>
        </w:rPr>
        <w:t>230</w:t>
      </w:r>
      <w:r>
        <w:rPr>
          <w:noProof/>
          <w:rtl/>
        </w:rPr>
        <w:t xml:space="preserve">، </w:t>
      </w:r>
      <w:r>
        <w:rPr>
          <w:noProof/>
        </w:rPr>
        <w:t>233</w:t>
      </w:r>
    </w:p>
    <w:p w:rsidR="002002F4" w:rsidRDefault="002002F4" w:rsidP="002002F4">
      <w:pPr>
        <w:ind w:firstLine="0"/>
        <w:rPr>
          <w:noProof/>
        </w:rPr>
      </w:pPr>
      <w:r>
        <w:rPr>
          <w:noProof/>
          <w:rtl/>
        </w:rPr>
        <w:t xml:space="preserve">الحسيني الحائري، السيّد كاظم، </w:t>
      </w:r>
      <w:r>
        <w:rPr>
          <w:noProof/>
        </w:rPr>
        <w:t>72</w:t>
      </w:r>
      <w:r>
        <w:rPr>
          <w:noProof/>
          <w:rtl/>
        </w:rPr>
        <w:t xml:space="preserve">، </w:t>
      </w:r>
      <w:r>
        <w:rPr>
          <w:noProof/>
        </w:rPr>
        <w:t>143</w:t>
      </w:r>
      <w:r>
        <w:rPr>
          <w:noProof/>
          <w:rtl/>
        </w:rPr>
        <w:t xml:space="preserve">، </w:t>
      </w:r>
      <w:r>
        <w:rPr>
          <w:noProof/>
        </w:rPr>
        <w:t>153</w:t>
      </w:r>
      <w:r>
        <w:rPr>
          <w:noProof/>
          <w:rtl/>
        </w:rPr>
        <w:t xml:space="preserve">، </w:t>
      </w:r>
      <w:r>
        <w:rPr>
          <w:noProof/>
        </w:rPr>
        <w:t>310</w:t>
      </w:r>
      <w:r>
        <w:rPr>
          <w:noProof/>
          <w:rtl/>
        </w:rPr>
        <w:t xml:space="preserve">، </w:t>
      </w:r>
      <w:r>
        <w:rPr>
          <w:noProof/>
        </w:rPr>
        <w:t>325</w:t>
      </w:r>
      <w:r>
        <w:rPr>
          <w:noProof/>
          <w:rtl/>
        </w:rPr>
        <w:t xml:space="preserve">، </w:t>
      </w:r>
      <w:r>
        <w:rPr>
          <w:noProof/>
        </w:rPr>
        <w:t>330</w:t>
      </w:r>
      <w:r>
        <w:rPr>
          <w:noProof/>
          <w:rtl/>
        </w:rPr>
        <w:t xml:space="preserve">، </w:t>
      </w:r>
      <w:r>
        <w:rPr>
          <w:noProof/>
        </w:rPr>
        <w:t>353</w:t>
      </w:r>
      <w:r>
        <w:rPr>
          <w:noProof/>
          <w:rtl/>
        </w:rPr>
        <w:t xml:space="preserve">، </w:t>
      </w:r>
      <w:r>
        <w:rPr>
          <w:noProof/>
        </w:rPr>
        <w:t>371</w:t>
      </w:r>
      <w:r>
        <w:rPr>
          <w:noProof/>
          <w:rtl/>
        </w:rPr>
        <w:t xml:space="preserve">، </w:t>
      </w:r>
      <w:r>
        <w:rPr>
          <w:noProof/>
        </w:rPr>
        <w:t>377</w:t>
      </w:r>
      <w:r>
        <w:rPr>
          <w:noProof/>
          <w:rtl/>
        </w:rPr>
        <w:t xml:space="preserve">، </w:t>
      </w:r>
      <w:r>
        <w:rPr>
          <w:noProof/>
        </w:rPr>
        <w:t>389</w:t>
      </w:r>
    </w:p>
    <w:p w:rsidR="002002F4" w:rsidRDefault="002002F4" w:rsidP="002002F4">
      <w:pPr>
        <w:ind w:firstLine="0"/>
        <w:rPr>
          <w:noProof/>
        </w:rPr>
      </w:pPr>
      <w:r>
        <w:rPr>
          <w:noProof/>
          <w:rtl/>
        </w:rPr>
        <w:t xml:space="preserve">الحسينيي المراغي، السيّد مير عبدالفتاح، </w:t>
      </w:r>
      <w:r>
        <w:rPr>
          <w:noProof/>
        </w:rPr>
        <w:t>70</w:t>
      </w:r>
      <w:r>
        <w:rPr>
          <w:noProof/>
          <w:rtl/>
        </w:rPr>
        <w:t xml:space="preserve">، </w:t>
      </w:r>
      <w:r>
        <w:rPr>
          <w:noProof/>
        </w:rPr>
        <w:t>74</w:t>
      </w:r>
      <w:r>
        <w:rPr>
          <w:noProof/>
          <w:rtl/>
        </w:rPr>
        <w:t xml:space="preserve">، </w:t>
      </w:r>
      <w:r>
        <w:rPr>
          <w:noProof/>
        </w:rPr>
        <w:t>134</w:t>
      </w:r>
      <w:r>
        <w:rPr>
          <w:noProof/>
          <w:rtl/>
        </w:rPr>
        <w:t xml:space="preserve">، </w:t>
      </w:r>
      <w:r>
        <w:rPr>
          <w:noProof/>
        </w:rPr>
        <w:t>135</w:t>
      </w:r>
      <w:r>
        <w:rPr>
          <w:noProof/>
          <w:rtl/>
        </w:rPr>
        <w:t xml:space="preserve">، </w:t>
      </w:r>
      <w:r>
        <w:rPr>
          <w:noProof/>
        </w:rPr>
        <w:t>157</w:t>
      </w:r>
      <w:r>
        <w:rPr>
          <w:noProof/>
          <w:rtl/>
        </w:rPr>
        <w:t xml:space="preserve">، </w:t>
      </w:r>
      <w:r>
        <w:rPr>
          <w:noProof/>
        </w:rPr>
        <w:t>191</w:t>
      </w:r>
      <w:r>
        <w:rPr>
          <w:noProof/>
          <w:rtl/>
        </w:rPr>
        <w:t xml:space="preserve">، </w:t>
      </w:r>
      <w:r>
        <w:rPr>
          <w:noProof/>
        </w:rPr>
        <w:t>303</w:t>
      </w:r>
      <w:r>
        <w:rPr>
          <w:noProof/>
          <w:rtl/>
        </w:rPr>
        <w:t xml:space="preserve">، </w:t>
      </w:r>
      <w:r>
        <w:rPr>
          <w:noProof/>
        </w:rPr>
        <w:t>313</w:t>
      </w:r>
      <w:r>
        <w:rPr>
          <w:noProof/>
          <w:rtl/>
        </w:rPr>
        <w:t xml:space="preserve">، </w:t>
      </w:r>
      <w:r>
        <w:rPr>
          <w:noProof/>
        </w:rPr>
        <w:t>321</w:t>
      </w:r>
      <w:r>
        <w:rPr>
          <w:noProof/>
          <w:rtl/>
        </w:rPr>
        <w:t xml:space="preserve">، </w:t>
      </w:r>
      <w:r>
        <w:rPr>
          <w:noProof/>
        </w:rPr>
        <w:t>336</w:t>
      </w:r>
      <w:r>
        <w:rPr>
          <w:noProof/>
          <w:rtl/>
        </w:rPr>
        <w:t xml:space="preserve">، </w:t>
      </w:r>
      <w:r>
        <w:rPr>
          <w:noProof/>
        </w:rPr>
        <w:t>353</w:t>
      </w:r>
      <w:r>
        <w:rPr>
          <w:noProof/>
          <w:rtl/>
        </w:rPr>
        <w:t xml:space="preserve">، </w:t>
      </w:r>
      <w:r>
        <w:rPr>
          <w:noProof/>
        </w:rPr>
        <w:t>358</w:t>
      </w:r>
      <w:r>
        <w:rPr>
          <w:noProof/>
          <w:rtl/>
        </w:rPr>
        <w:t xml:space="preserve">، </w:t>
      </w:r>
      <w:r>
        <w:rPr>
          <w:noProof/>
        </w:rPr>
        <w:t>390</w:t>
      </w:r>
      <w:r>
        <w:rPr>
          <w:noProof/>
          <w:rtl/>
        </w:rPr>
        <w:t xml:space="preserve">، </w:t>
      </w:r>
      <w:r>
        <w:rPr>
          <w:noProof/>
        </w:rPr>
        <w:t>416</w:t>
      </w:r>
    </w:p>
    <w:p w:rsidR="002002F4" w:rsidRDefault="002002F4" w:rsidP="002002F4">
      <w:pPr>
        <w:ind w:firstLine="0"/>
        <w:rPr>
          <w:noProof/>
        </w:rPr>
      </w:pPr>
      <w:r>
        <w:rPr>
          <w:noProof/>
          <w:rtl/>
        </w:rPr>
        <w:t>حكمي</w:t>
      </w:r>
      <w:r>
        <w:rPr>
          <w:rFonts w:ascii="Times New Roman" w:hAnsi="Times New Roman" w:cs="Times New Roman"/>
          <w:noProof/>
        </w:rPr>
        <w:t>‌</w:t>
      </w:r>
      <w:r>
        <w:rPr>
          <w:noProof/>
          <w:rtl/>
        </w:rPr>
        <w:t xml:space="preserve">زاده، علي أكبر، </w:t>
      </w:r>
      <w:r>
        <w:rPr>
          <w:noProof/>
        </w:rPr>
        <w:t>138</w:t>
      </w:r>
    </w:p>
    <w:p w:rsidR="002002F4" w:rsidRDefault="002002F4" w:rsidP="002002F4">
      <w:pPr>
        <w:ind w:firstLine="0"/>
        <w:rPr>
          <w:noProof/>
        </w:rPr>
      </w:pPr>
      <w:r>
        <w:rPr>
          <w:noProof/>
          <w:rtl/>
        </w:rPr>
        <w:t xml:space="preserve">الحكيم، السيّد محسن، </w:t>
      </w:r>
      <w:r>
        <w:rPr>
          <w:noProof/>
        </w:rPr>
        <w:t>77</w:t>
      </w:r>
      <w:r>
        <w:rPr>
          <w:noProof/>
          <w:rtl/>
        </w:rPr>
        <w:t xml:space="preserve">، </w:t>
      </w:r>
      <w:r>
        <w:rPr>
          <w:noProof/>
        </w:rPr>
        <w:t>132</w:t>
      </w:r>
      <w:r>
        <w:rPr>
          <w:noProof/>
          <w:rtl/>
        </w:rPr>
        <w:t xml:space="preserve">، </w:t>
      </w:r>
      <w:r>
        <w:rPr>
          <w:noProof/>
        </w:rPr>
        <w:t>160</w:t>
      </w:r>
      <w:r>
        <w:rPr>
          <w:noProof/>
          <w:rtl/>
        </w:rPr>
        <w:t xml:space="preserve">، </w:t>
      </w:r>
      <w:r>
        <w:rPr>
          <w:noProof/>
        </w:rPr>
        <w:t>297</w:t>
      </w:r>
      <w:r>
        <w:rPr>
          <w:noProof/>
          <w:rtl/>
        </w:rPr>
        <w:t xml:space="preserve">، </w:t>
      </w:r>
      <w:r>
        <w:rPr>
          <w:noProof/>
        </w:rPr>
        <w:t>300</w:t>
      </w:r>
      <w:r>
        <w:rPr>
          <w:noProof/>
          <w:rtl/>
        </w:rPr>
        <w:t xml:space="preserve">، </w:t>
      </w:r>
      <w:r>
        <w:rPr>
          <w:noProof/>
        </w:rPr>
        <w:t>325</w:t>
      </w:r>
      <w:r>
        <w:rPr>
          <w:noProof/>
          <w:rtl/>
        </w:rPr>
        <w:t xml:space="preserve">، </w:t>
      </w:r>
      <w:r>
        <w:rPr>
          <w:noProof/>
        </w:rPr>
        <w:t>330</w:t>
      </w:r>
      <w:r>
        <w:rPr>
          <w:noProof/>
          <w:rtl/>
        </w:rPr>
        <w:t xml:space="preserve">، </w:t>
      </w:r>
      <w:r>
        <w:rPr>
          <w:noProof/>
        </w:rPr>
        <w:t>381</w:t>
      </w:r>
      <w:r>
        <w:rPr>
          <w:noProof/>
          <w:rtl/>
        </w:rPr>
        <w:t xml:space="preserve">، </w:t>
      </w:r>
      <w:r>
        <w:rPr>
          <w:noProof/>
        </w:rPr>
        <w:t>382</w:t>
      </w:r>
      <w:r>
        <w:rPr>
          <w:noProof/>
          <w:rtl/>
        </w:rPr>
        <w:t xml:space="preserve">، </w:t>
      </w:r>
      <w:r>
        <w:rPr>
          <w:noProof/>
        </w:rPr>
        <w:t>417</w:t>
      </w:r>
    </w:p>
    <w:p w:rsidR="002002F4" w:rsidRDefault="002002F4" w:rsidP="002002F4">
      <w:pPr>
        <w:ind w:firstLine="0"/>
        <w:rPr>
          <w:noProof/>
        </w:rPr>
      </w:pPr>
      <w:r>
        <w:rPr>
          <w:noProof/>
          <w:rtl/>
        </w:rPr>
        <w:t xml:space="preserve">خاتم الأنبياء(ص) </w:t>
      </w:r>
      <w:r>
        <w:rPr>
          <w:noProof/>
        </w:rPr>
        <w:t>=</w:t>
      </w:r>
      <w:r>
        <w:rPr>
          <w:noProof/>
          <w:rtl/>
        </w:rPr>
        <w:t xml:space="preserve"> </w:t>
      </w:r>
      <w:r>
        <w:rPr>
          <w:rFonts w:hint="cs"/>
          <w:noProof/>
          <w:rtl/>
        </w:rPr>
        <w:t>محمّد رسول الله(ص)</w:t>
      </w:r>
    </w:p>
    <w:p w:rsidR="002002F4" w:rsidRDefault="002002F4" w:rsidP="002002F4">
      <w:pPr>
        <w:ind w:firstLine="0"/>
        <w:rPr>
          <w:noProof/>
        </w:rPr>
      </w:pPr>
      <w:r>
        <w:rPr>
          <w:noProof/>
          <w:rtl/>
        </w:rPr>
        <w:t xml:space="preserve">الخامنئي، السيّد علي الحسيني، </w:t>
      </w:r>
      <w:r>
        <w:rPr>
          <w:noProof/>
        </w:rPr>
        <w:t>175</w:t>
      </w:r>
      <w:r>
        <w:rPr>
          <w:noProof/>
          <w:rtl/>
        </w:rPr>
        <w:t xml:space="preserve">، </w:t>
      </w:r>
      <w:r>
        <w:rPr>
          <w:noProof/>
        </w:rPr>
        <w:t>278</w:t>
      </w:r>
      <w:r>
        <w:rPr>
          <w:noProof/>
          <w:rtl/>
        </w:rPr>
        <w:t xml:space="preserve">، </w:t>
      </w:r>
      <w:r>
        <w:rPr>
          <w:noProof/>
        </w:rPr>
        <w:t>284</w:t>
      </w:r>
      <w:r>
        <w:rPr>
          <w:noProof/>
          <w:rtl/>
        </w:rPr>
        <w:t xml:space="preserve">، </w:t>
      </w:r>
      <w:r>
        <w:rPr>
          <w:noProof/>
        </w:rPr>
        <w:t>286</w:t>
      </w:r>
    </w:p>
    <w:p w:rsidR="002002F4" w:rsidRDefault="002002F4" w:rsidP="002002F4">
      <w:pPr>
        <w:ind w:firstLine="0"/>
        <w:rPr>
          <w:noProof/>
        </w:rPr>
      </w:pPr>
      <w:r>
        <w:rPr>
          <w:noProof/>
          <w:rtl/>
        </w:rPr>
        <w:t xml:space="preserve">خرازي، السيّد محسن، </w:t>
      </w:r>
      <w:r>
        <w:rPr>
          <w:noProof/>
        </w:rPr>
        <w:t>427</w:t>
      </w:r>
      <w:r>
        <w:rPr>
          <w:noProof/>
          <w:rtl/>
        </w:rPr>
        <w:t xml:space="preserve">، </w:t>
      </w:r>
      <w:r>
        <w:rPr>
          <w:noProof/>
        </w:rPr>
        <w:t>428</w:t>
      </w:r>
      <w:r>
        <w:rPr>
          <w:noProof/>
          <w:rtl/>
        </w:rPr>
        <w:t xml:space="preserve">، </w:t>
      </w:r>
      <w:r>
        <w:rPr>
          <w:noProof/>
        </w:rPr>
        <w:t>429</w:t>
      </w:r>
    </w:p>
    <w:p w:rsidR="002002F4" w:rsidRDefault="002002F4" w:rsidP="002002F4">
      <w:pPr>
        <w:ind w:firstLine="0"/>
        <w:rPr>
          <w:noProof/>
        </w:rPr>
      </w:pPr>
      <w:r>
        <w:rPr>
          <w:noProof/>
          <w:rtl/>
        </w:rPr>
        <w:t xml:space="preserve">خطيب الخوارزمي، الموفق بن أحمد، </w:t>
      </w:r>
      <w:r>
        <w:rPr>
          <w:noProof/>
        </w:rPr>
        <w:t>95</w:t>
      </w:r>
    </w:p>
    <w:p w:rsidR="002002F4" w:rsidRDefault="002002F4" w:rsidP="002002F4">
      <w:pPr>
        <w:ind w:firstLine="0"/>
        <w:rPr>
          <w:noProof/>
        </w:rPr>
      </w:pPr>
      <w:r>
        <w:rPr>
          <w:noProof/>
          <w:rtl/>
        </w:rPr>
        <w:t xml:space="preserve">الخميني، السيّد روح الله الموسوي، </w:t>
      </w:r>
      <w:r>
        <w:rPr>
          <w:noProof/>
        </w:rPr>
        <w:t>22</w:t>
      </w:r>
      <w:r>
        <w:rPr>
          <w:noProof/>
          <w:rtl/>
        </w:rPr>
        <w:t xml:space="preserve">، </w:t>
      </w:r>
      <w:r>
        <w:rPr>
          <w:noProof/>
        </w:rPr>
        <w:t>26</w:t>
      </w:r>
      <w:r>
        <w:rPr>
          <w:noProof/>
          <w:rtl/>
        </w:rPr>
        <w:t xml:space="preserve">، </w:t>
      </w:r>
      <w:r>
        <w:rPr>
          <w:noProof/>
        </w:rPr>
        <w:t>29</w:t>
      </w:r>
      <w:r>
        <w:rPr>
          <w:noProof/>
          <w:rtl/>
        </w:rPr>
        <w:t xml:space="preserve">، </w:t>
      </w:r>
      <w:r>
        <w:rPr>
          <w:noProof/>
        </w:rPr>
        <w:t>35</w:t>
      </w:r>
      <w:r>
        <w:rPr>
          <w:noProof/>
          <w:rtl/>
        </w:rPr>
        <w:t xml:space="preserve">، </w:t>
      </w:r>
      <w:r>
        <w:rPr>
          <w:noProof/>
        </w:rPr>
        <w:t>37</w:t>
      </w:r>
      <w:r>
        <w:rPr>
          <w:noProof/>
          <w:rtl/>
        </w:rPr>
        <w:t xml:space="preserve">، </w:t>
      </w:r>
      <w:r>
        <w:rPr>
          <w:noProof/>
        </w:rPr>
        <w:t>46</w:t>
      </w:r>
      <w:r>
        <w:rPr>
          <w:noProof/>
          <w:rtl/>
        </w:rPr>
        <w:t xml:space="preserve">، </w:t>
      </w:r>
      <w:r>
        <w:rPr>
          <w:noProof/>
        </w:rPr>
        <w:t>47</w:t>
      </w:r>
      <w:r>
        <w:rPr>
          <w:noProof/>
          <w:rtl/>
        </w:rPr>
        <w:t xml:space="preserve">، </w:t>
      </w:r>
      <w:r>
        <w:rPr>
          <w:noProof/>
        </w:rPr>
        <w:t>48</w:t>
      </w:r>
      <w:r>
        <w:rPr>
          <w:noProof/>
          <w:rtl/>
        </w:rPr>
        <w:t xml:space="preserve">، </w:t>
      </w:r>
      <w:r>
        <w:rPr>
          <w:noProof/>
        </w:rPr>
        <w:t>49</w:t>
      </w:r>
      <w:r>
        <w:rPr>
          <w:noProof/>
          <w:rtl/>
        </w:rPr>
        <w:t xml:space="preserve">، </w:t>
      </w:r>
      <w:r>
        <w:rPr>
          <w:noProof/>
        </w:rPr>
        <w:t>50</w:t>
      </w:r>
      <w:r>
        <w:rPr>
          <w:noProof/>
          <w:rtl/>
        </w:rPr>
        <w:t xml:space="preserve">، </w:t>
      </w:r>
      <w:r>
        <w:rPr>
          <w:noProof/>
        </w:rPr>
        <w:t>68</w:t>
      </w:r>
      <w:r>
        <w:rPr>
          <w:noProof/>
          <w:rtl/>
        </w:rPr>
        <w:t xml:space="preserve">، </w:t>
      </w:r>
      <w:r>
        <w:rPr>
          <w:noProof/>
        </w:rPr>
        <w:t>69</w:t>
      </w:r>
      <w:r>
        <w:rPr>
          <w:noProof/>
          <w:rtl/>
        </w:rPr>
        <w:t xml:space="preserve">، </w:t>
      </w:r>
      <w:r>
        <w:rPr>
          <w:noProof/>
        </w:rPr>
        <w:t>74</w:t>
      </w:r>
      <w:r>
        <w:rPr>
          <w:noProof/>
          <w:rtl/>
        </w:rPr>
        <w:t xml:space="preserve">، </w:t>
      </w:r>
      <w:r>
        <w:rPr>
          <w:noProof/>
        </w:rPr>
        <w:t>75</w:t>
      </w:r>
      <w:r>
        <w:rPr>
          <w:noProof/>
          <w:rtl/>
        </w:rPr>
        <w:t xml:space="preserve">، </w:t>
      </w:r>
      <w:r>
        <w:rPr>
          <w:noProof/>
        </w:rPr>
        <w:t>76</w:t>
      </w:r>
      <w:r>
        <w:rPr>
          <w:noProof/>
          <w:rtl/>
        </w:rPr>
        <w:t xml:space="preserve">، </w:t>
      </w:r>
      <w:r>
        <w:rPr>
          <w:noProof/>
        </w:rPr>
        <w:t>77</w:t>
      </w:r>
      <w:r>
        <w:rPr>
          <w:noProof/>
          <w:rtl/>
        </w:rPr>
        <w:t xml:space="preserve">، </w:t>
      </w:r>
      <w:r>
        <w:rPr>
          <w:noProof/>
        </w:rPr>
        <w:t>78</w:t>
      </w:r>
      <w:r>
        <w:rPr>
          <w:noProof/>
          <w:rtl/>
        </w:rPr>
        <w:t xml:space="preserve">، </w:t>
      </w:r>
      <w:r>
        <w:rPr>
          <w:noProof/>
        </w:rPr>
        <w:t>80</w:t>
      </w:r>
      <w:r>
        <w:rPr>
          <w:noProof/>
          <w:rtl/>
        </w:rPr>
        <w:t xml:space="preserve">، </w:t>
      </w:r>
      <w:r>
        <w:rPr>
          <w:noProof/>
        </w:rPr>
        <w:t>83</w:t>
      </w:r>
      <w:r>
        <w:rPr>
          <w:noProof/>
          <w:rtl/>
        </w:rPr>
        <w:t xml:space="preserve">، </w:t>
      </w:r>
      <w:r>
        <w:rPr>
          <w:noProof/>
        </w:rPr>
        <w:t>119</w:t>
      </w:r>
      <w:r>
        <w:rPr>
          <w:noProof/>
          <w:rtl/>
        </w:rPr>
        <w:t xml:space="preserve">، </w:t>
      </w:r>
      <w:r>
        <w:rPr>
          <w:noProof/>
        </w:rPr>
        <w:t>124</w:t>
      </w:r>
      <w:r>
        <w:rPr>
          <w:noProof/>
          <w:rtl/>
        </w:rPr>
        <w:t xml:space="preserve">، </w:t>
      </w:r>
      <w:r>
        <w:rPr>
          <w:noProof/>
        </w:rPr>
        <w:t>132</w:t>
      </w:r>
      <w:r>
        <w:rPr>
          <w:noProof/>
          <w:rtl/>
        </w:rPr>
        <w:t xml:space="preserve">، </w:t>
      </w:r>
      <w:r>
        <w:rPr>
          <w:noProof/>
        </w:rPr>
        <w:t>133</w:t>
      </w:r>
      <w:r>
        <w:rPr>
          <w:noProof/>
          <w:rtl/>
        </w:rPr>
        <w:t xml:space="preserve">، </w:t>
      </w:r>
      <w:r>
        <w:rPr>
          <w:noProof/>
        </w:rPr>
        <w:t>134</w:t>
      </w:r>
      <w:r>
        <w:rPr>
          <w:noProof/>
          <w:rtl/>
        </w:rPr>
        <w:t xml:space="preserve">، </w:t>
      </w:r>
      <w:r>
        <w:rPr>
          <w:noProof/>
        </w:rPr>
        <w:t>135</w:t>
      </w:r>
      <w:r>
        <w:rPr>
          <w:noProof/>
          <w:rtl/>
        </w:rPr>
        <w:t xml:space="preserve">، </w:t>
      </w:r>
      <w:r>
        <w:rPr>
          <w:noProof/>
        </w:rPr>
        <w:t>138</w:t>
      </w:r>
      <w:r>
        <w:rPr>
          <w:noProof/>
          <w:rtl/>
        </w:rPr>
        <w:t xml:space="preserve">، </w:t>
      </w:r>
      <w:r>
        <w:rPr>
          <w:noProof/>
        </w:rPr>
        <w:t>139</w:t>
      </w:r>
      <w:r>
        <w:rPr>
          <w:noProof/>
          <w:rtl/>
        </w:rPr>
        <w:t xml:space="preserve">، </w:t>
      </w:r>
      <w:r>
        <w:rPr>
          <w:noProof/>
        </w:rPr>
        <w:t>140</w:t>
      </w:r>
      <w:r>
        <w:rPr>
          <w:noProof/>
          <w:rtl/>
        </w:rPr>
        <w:t xml:space="preserve">، </w:t>
      </w:r>
      <w:r>
        <w:rPr>
          <w:noProof/>
        </w:rPr>
        <w:t>142</w:t>
      </w:r>
      <w:r>
        <w:rPr>
          <w:noProof/>
          <w:rtl/>
        </w:rPr>
        <w:t xml:space="preserve">، </w:t>
      </w:r>
      <w:r>
        <w:rPr>
          <w:noProof/>
        </w:rPr>
        <w:t>145</w:t>
      </w:r>
      <w:r>
        <w:rPr>
          <w:noProof/>
          <w:rtl/>
        </w:rPr>
        <w:t xml:space="preserve">، </w:t>
      </w:r>
      <w:r>
        <w:rPr>
          <w:noProof/>
        </w:rPr>
        <w:t>150</w:t>
      </w:r>
      <w:r>
        <w:rPr>
          <w:noProof/>
          <w:rtl/>
        </w:rPr>
        <w:t xml:space="preserve">، </w:t>
      </w:r>
      <w:r>
        <w:rPr>
          <w:noProof/>
        </w:rPr>
        <w:t>153</w:t>
      </w:r>
      <w:r>
        <w:rPr>
          <w:noProof/>
          <w:rtl/>
        </w:rPr>
        <w:t xml:space="preserve">، </w:t>
      </w:r>
      <w:r>
        <w:rPr>
          <w:noProof/>
        </w:rPr>
        <w:t>156</w:t>
      </w:r>
      <w:r>
        <w:rPr>
          <w:noProof/>
          <w:rtl/>
        </w:rPr>
        <w:t xml:space="preserve">، </w:t>
      </w:r>
      <w:r>
        <w:rPr>
          <w:noProof/>
        </w:rPr>
        <w:t>157</w:t>
      </w:r>
      <w:r>
        <w:rPr>
          <w:noProof/>
          <w:rtl/>
        </w:rPr>
        <w:t xml:space="preserve">، </w:t>
      </w:r>
      <w:r>
        <w:rPr>
          <w:noProof/>
        </w:rPr>
        <w:t>172</w:t>
      </w:r>
      <w:r>
        <w:rPr>
          <w:noProof/>
          <w:rtl/>
        </w:rPr>
        <w:t xml:space="preserve">، </w:t>
      </w:r>
      <w:r>
        <w:rPr>
          <w:noProof/>
        </w:rPr>
        <w:t>173</w:t>
      </w:r>
      <w:r>
        <w:rPr>
          <w:noProof/>
          <w:rtl/>
        </w:rPr>
        <w:t xml:space="preserve">، </w:t>
      </w:r>
      <w:r>
        <w:rPr>
          <w:noProof/>
        </w:rPr>
        <w:t>174</w:t>
      </w:r>
      <w:r>
        <w:rPr>
          <w:noProof/>
          <w:rtl/>
        </w:rPr>
        <w:t xml:space="preserve">، </w:t>
      </w:r>
      <w:r>
        <w:rPr>
          <w:noProof/>
        </w:rPr>
        <w:t>176</w:t>
      </w:r>
      <w:r>
        <w:rPr>
          <w:noProof/>
          <w:rtl/>
        </w:rPr>
        <w:t xml:space="preserve">، </w:t>
      </w:r>
      <w:r>
        <w:rPr>
          <w:noProof/>
        </w:rPr>
        <w:t>177</w:t>
      </w:r>
      <w:r>
        <w:rPr>
          <w:noProof/>
          <w:rtl/>
        </w:rPr>
        <w:t xml:space="preserve">، </w:t>
      </w:r>
      <w:r>
        <w:rPr>
          <w:noProof/>
        </w:rPr>
        <w:t>179</w:t>
      </w:r>
      <w:r>
        <w:rPr>
          <w:noProof/>
          <w:rtl/>
        </w:rPr>
        <w:t xml:space="preserve">، </w:t>
      </w:r>
      <w:r>
        <w:rPr>
          <w:noProof/>
        </w:rPr>
        <w:t>193</w:t>
      </w:r>
      <w:r>
        <w:rPr>
          <w:noProof/>
          <w:rtl/>
        </w:rPr>
        <w:t xml:space="preserve">، </w:t>
      </w:r>
      <w:r>
        <w:rPr>
          <w:noProof/>
        </w:rPr>
        <w:t>195</w:t>
      </w:r>
      <w:r>
        <w:rPr>
          <w:noProof/>
          <w:rtl/>
        </w:rPr>
        <w:t xml:space="preserve">، </w:t>
      </w:r>
      <w:r>
        <w:rPr>
          <w:noProof/>
        </w:rPr>
        <w:t>196</w:t>
      </w:r>
      <w:r>
        <w:rPr>
          <w:noProof/>
          <w:rtl/>
        </w:rPr>
        <w:t xml:space="preserve">، </w:t>
      </w:r>
      <w:r>
        <w:rPr>
          <w:noProof/>
        </w:rPr>
        <w:t>201</w:t>
      </w:r>
      <w:r>
        <w:rPr>
          <w:noProof/>
          <w:rtl/>
        </w:rPr>
        <w:t xml:space="preserve">، </w:t>
      </w:r>
      <w:r>
        <w:rPr>
          <w:noProof/>
        </w:rPr>
        <w:t>202</w:t>
      </w:r>
      <w:r>
        <w:rPr>
          <w:noProof/>
          <w:rtl/>
        </w:rPr>
        <w:t xml:space="preserve">، </w:t>
      </w:r>
      <w:r>
        <w:rPr>
          <w:noProof/>
        </w:rPr>
        <w:t>203</w:t>
      </w:r>
      <w:r>
        <w:rPr>
          <w:noProof/>
          <w:rtl/>
        </w:rPr>
        <w:t xml:space="preserve">، </w:t>
      </w:r>
      <w:r>
        <w:rPr>
          <w:noProof/>
        </w:rPr>
        <w:t>204</w:t>
      </w:r>
      <w:r>
        <w:rPr>
          <w:noProof/>
          <w:rtl/>
        </w:rPr>
        <w:t xml:space="preserve">، </w:t>
      </w:r>
      <w:r>
        <w:rPr>
          <w:noProof/>
        </w:rPr>
        <w:t>205</w:t>
      </w:r>
      <w:r>
        <w:rPr>
          <w:noProof/>
          <w:rtl/>
        </w:rPr>
        <w:t xml:space="preserve">، </w:t>
      </w:r>
      <w:r>
        <w:rPr>
          <w:noProof/>
        </w:rPr>
        <w:t>206</w:t>
      </w:r>
      <w:r>
        <w:rPr>
          <w:noProof/>
          <w:rtl/>
        </w:rPr>
        <w:t xml:space="preserve">، </w:t>
      </w:r>
      <w:r>
        <w:rPr>
          <w:noProof/>
        </w:rPr>
        <w:t>207</w:t>
      </w:r>
      <w:r>
        <w:rPr>
          <w:noProof/>
          <w:rtl/>
        </w:rPr>
        <w:t xml:space="preserve">، </w:t>
      </w:r>
      <w:r>
        <w:rPr>
          <w:noProof/>
        </w:rPr>
        <w:t>208</w:t>
      </w:r>
      <w:r>
        <w:rPr>
          <w:noProof/>
          <w:rtl/>
        </w:rPr>
        <w:t xml:space="preserve">، </w:t>
      </w:r>
      <w:r>
        <w:rPr>
          <w:noProof/>
        </w:rPr>
        <w:t>209</w:t>
      </w:r>
      <w:r>
        <w:rPr>
          <w:noProof/>
          <w:rtl/>
        </w:rPr>
        <w:t xml:space="preserve">، </w:t>
      </w:r>
      <w:r>
        <w:rPr>
          <w:noProof/>
        </w:rPr>
        <w:t>210</w:t>
      </w:r>
      <w:r>
        <w:rPr>
          <w:noProof/>
          <w:rtl/>
        </w:rPr>
        <w:t xml:space="preserve">، </w:t>
      </w:r>
      <w:r>
        <w:rPr>
          <w:noProof/>
        </w:rPr>
        <w:t>213</w:t>
      </w:r>
      <w:r>
        <w:rPr>
          <w:noProof/>
          <w:rtl/>
        </w:rPr>
        <w:t xml:space="preserve">، </w:t>
      </w:r>
      <w:r>
        <w:rPr>
          <w:noProof/>
        </w:rPr>
        <w:t>214</w:t>
      </w:r>
      <w:r>
        <w:rPr>
          <w:noProof/>
          <w:rtl/>
        </w:rPr>
        <w:t xml:space="preserve">، </w:t>
      </w:r>
      <w:r>
        <w:rPr>
          <w:noProof/>
        </w:rPr>
        <w:t>215</w:t>
      </w:r>
      <w:r>
        <w:rPr>
          <w:noProof/>
          <w:rtl/>
        </w:rPr>
        <w:t xml:space="preserve">، </w:t>
      </w:r>
      <w:r>
        <w:rPr>
          <w:noProof/>
        </w:rPr>
        <w:t>216</w:t>
      </w:r>
      <w:r>
        <w:rPr>
          <w:noProof/>
          <w:rtl/>
        </w:rPr>
        <w:t xml:space="preserve">، </w:t>
      </w:r>
      <w:r>
        <w:rPr>
          <w:noProof/>
        </w:rPr>
        <w:t>217</w:t>
      </w:r>
      <w:r>
        <w:rPr>
          <w:noProof/>
          <w:rtl/>
        </w:rPr>
        <w:t xml:space="preserve">، </w:t>
      </w:r>
      <w:r>
        <w:rPr>
          <w:noProof/>
        </w:rPr>
        <w:t>218</w:t>
      </w:r>
      <w:r>
        <w:rPr>
          <w:noProof/>
          <w:rtl/>
        </w:rPr>
        <w:t xml:space="preserve">، </w:t>
      </w:r>
      <w:r>
        <w:rPr>
          <w:noProof/>
        </w:rPr>
        <w:t>219</w:t>
      </w:r>
      <w:r>
        <w:rPr>
          <w:noProof/>
          <w:rtl/>
        </w:rPr>
        <w:t xml:space="preserve">، </w:t>
      </w:r>
      <w:r>
        <w:rPr>
          <w:noProof/>
        </w:rPr>
        <w:t>220</w:t>
      </w:r>
      <w:r>
        <w:rPr>
          <w:noProof/>
          <w:rtl/>
        </w:rPr>
        <w:t xml:space="preserve">، </w:t>
      </w:r>
      <w:r>
        <w:rPr>
          <w:noProof/>
        </w:rPr>
        <w:t>222</w:t>
      </w:r>
      <w:r>
        <w:rPr>
          <w:noProof/>
          <w:rtl/>
        </w:rPr>
        <w:t xml:space="preserve">، </w:t>
      </w:r>
      <w:r>
        <w:rPr>
          <w:noProof/>
        </w:rPr>
        <w:t>227</w:t>
      </w:r>
      <w:r>
        <w:rPr>
          <w:noProof/>
          <w:rtl/>
        </w:rPr>
        <w:t xml:space="preserve">، </w:t>
      </w:r>
      <w:r>
        <w:rPr>
          <w:noProof/>
        </w:rPr>
        <w:t>228</w:t>
      </w:r>
      <w:r>
        <w:rPr>
          <w:noProof/>
          <w:rtl/>
        </w:rPr>
        <w:t xml:space="preserve">، </w:t>
      </w:r>
      <w:r>
        <w:rPr>
          <w:noProof/>
        </w:rPr>
        <w:t>229</w:t>
      </w:r>
      <w:r>
        <w:rPr>
          <w:noProof/>
          <w:rtl/>
        </w:rPr>
        <w:t xml:space="preserve">، </w:t>
      </w:r>
      <w:r>
        <w:rPr>
          <w:noProof/>
        </w:rPr>
        <w:t>233</w:t>
      </w:r>
      <w:r>
        <w:rPr>
          <w:noProof/>
          <w:rtl/>
        </w:rPr>
        <w:t xml:space="preserve">، </w:t>
      </w:r>
      <w:r>
        <w:rPr>
          <w:noProof/>
        </w:rPr>
        <w:t>235</w:t>
      </w:r>
      <w:r>
        <w:rPr>
          <w:noProof/>
          <w:rtl/>
        </w:rPr>
        <w:t xml:space="preserve">، </w:t>
      </w:r>
      <w:r>
        <w:rPr>
          <w:noProof/>
        </w:rPr>
        <w:t>236</w:t>
      </w:r>
      <w:r>
        <w:rPr>
          <w:noProof/>
          <w:rtl/>
        </w:rPr>
        <w:t xml:space="preserve">، </w:t>
      </w:r>
      <w:r>
        <w:rPr>
          <w:noProof/>
        </w:rPr>
        <w:t>241</w:t>
      </w:r>
      <w:r>
        <w:rPr>
          <w:noProof/>
          <w:rtl/>
        </w:rPr>
        <w:t xml:space="preserve">، </w:t>
      </w:r>
      <w:r>
        <w:rPr>
          <w:noProof/>
        </w:rPr>
        <w:t>242</w:t>
      </w:r>
      <w:r>
        <w:rPr>
          <w:noProof/>
          <w:rtl/>
        </w:rPr>
        <w:t xml:space="preserve">، </w:t>
      </w:r>
      <w:r>
        <w:rPr>
          <w:noProof/>
        </w:rPr>
        <w:t>243</w:t>
      </w:r>
      <w:r>
        <w:rPr>
          <w:noProof/>
          <w:rtl/>
        </w:rPr>
        <w:t xml:space="preserve">، </w:t>
      </w:r>
      <w:r>
        <w:rPr>
          <w:noProof/>
        </w:rPr>
        <w:t>244</w:t>
      </w:r>
      <w:r>
        <w:rPr>
          <w:noProof/>
          <w:rtl/>
        </w:rPr>
        <w:t xml:space="preserve">، </w:t>
      </w:r>
      <w:r>
        <w:rPr>
          <w:noProof/>
        </w:rPr>
        <w:t>245</w:t>
      </w:r>
      <w:r>
        <w:rPr>
          <w:noProof/>
          <w:rtl/>
        </w:rPr>
        <w:t xml:space="preserve">، </w:t>
      </w:r>
      <w:r>
        <w:rPr>
          <w:noProof/>
        </w:rPr>
        <w:t>247</w:t>
      </w:r>
      <w:r>
        <w:rPr>
          <w:noProof/>
          <w:rtl/>
        </w:rPr>
        <w:t xml:space="preserve">، </w:t>
      </w:r>
      <w:r>
        <w:rPr>
          <w:noProof/>
        </w:rPr>
        <w:t>252</w:t>
      </w:r>
      <w:r>
        <w:rPr>
          <w:noProof/>
          <w:rtl/>
        </w:rPr>
        <w:t xml:space="preserve">، </w:t>
      </w:r>
      <w:r>
        <w:rPr>
          <w:noProof/>
        </w:rPr>
        <w:t>256</w:t>
      </w:r>
      <w:r>
        <w:rPr>
          <w:noProof/>
          <w:rtl/>
        </w:rPr>
        <w:t xml:space="preserve">، </w:t>
      </w:r>
      <w:r>
        <w:rPr>
          <w:noProof/>
        </w:rPr>
        <w:t>257</w:t>
      </w:r>
      <w:r>
        <w:rPr>
          <w:noProof/>
          <w:rtl/>
        </w:rPr>
        <w:t xml:space="preserve">، </w:t>
      </w:r>
      <w:r>
        <w:rPr>
          <w:noProof/>
        </w:rPr>
        <w:t>258</w:t>
      </w:r>
      <w:r>
        <w:rPr>
          <w:noProof/>
          <w:rtl/>
        </w:rPr>
        <w:t xml:space="preserve">، </w:t>
      </w:r>
      <w:r>
        <w:rPr>
          <w:noProof/>
        </w:rPr>
        <w:t>259</w:t>
      </w:r>
      <w:r>
        <w:rPr>
          <w:noProof/>
          <w:rtl/>
        </w:rPr>
        <w:t xml:space="preserve">، </w:t>
      </w:r>
      <w:r>
        <w:rPr>
          <w:noProof/>
        </w:rPr>
        <w:t>260</w:t>
      </w:r>
      <w:r>
        <w:rPr>
          <w:noProof/>
          <w:rtl/>
        </w:rPr>
        <w:t xml:space="preserve">، </w:t>
      </w:r>
      <w:r>
        <w:rPr>
          <w:noProof/>
        </w:rPr>
        <w:t>265</w:t>
      </w:r>
      <w:r>
        <w:rPr>
          <w:noProof/>
          <w:rtl/>
        </w:rPr>
        <w:t xml:space="preserve">، </w:t>
      </w:r>
      <w:r>
        <w:rPr>
          <w:noProof/>
        </w:rPr>
        <w:t>267</w:t>
      </w:r>
      <w:r>
        <w:rPr>
          <w:noProof/>
          <w:rtl/>
        </w:rPr>
        <w:t xml:space="preserve">، </w:t>
      </w:r>
      <w:r>
        <w:rPr>
          <w:noProof/>
        </w:rPr>
        <w:t>272</w:t>
      </w:r>
      <w:r>
        <w:rPr>
          <w:noProof/>
          <w:rtl/>
        </w:rPr>
        <w:t xml:space="preserve">، </w:t>
      </w:r>
      <w:r>
        <w:rPr>
          <w:noProof/>
        </w:rPr>
        <w:t>273</w:t>
      </w:r>
      <w:r>
        <w:rPr>
          <w:noProof/>
          <w:rtl/>
        </w:rPr>
        <w:t xml:space="preserve">، </w:t>
      </w:r>
      <w:r>
        <w:rPr>
          <w:noProof/>
        </w:rPr>
        <w:t>278</w:t>
      </w:r>
      <w:r>
        <w:rPr>
          <w:noProof/>
          <w:rtl/>
        </w:rPr>
        <w:t xml:space="preserve">، </w:t>
      </w:r>
      <w:r>
        <w:rPr>
          <w:noProof/>
        </w:rPr>
        <w:t>281</w:t>
      </w:r>
      <w:r>
        <w:rPr>
          <w:noProof/>
          <w:rtl/>
        </w:rPr>
        <w:t xml:space="preserve">، </w:t>
      </w:r>
      <w:r>
        <w:rPr>
          <w:noProof/>
        </w:rPr>
        <w:t>287</w:t>
      </w:r>
      <w:r>
        <w:rPr>
          <w:noProof/>
          <w:rtl/>
        </w:rPr>
        <w:t xml:space="preserve">، </w:t>
      </w:r>
      <w:r>
        <w:rPr>
          <w:noProof/>
        </w:rPr>
        <w:t>291</w:t>
      </w:r>
      <w:r>
        <w:rPr>
          <w:noProof/>
          <w:rtl/>
        </w:rPr>
        <w:t xml:space="preserve">، </w:t>
      </w:r>
      <w:r>
        <w:rPr>
          <w:noProof/>
        </w:rPr>
        <w:t>297</w:t>
      </w:r>
      <w:r>
        <w:rPr>
          <w:noProof/>
          <w:rtl/>
        </w:rPr>
        <w:t xml:space="preserve">، </w:t>
      </w:r>
      <w:r>
        <w:rPr>
          <w:noProof/>
        </w:rPr>
        <w:t>303</w:t>
      </w:r>
      <w:r>
        <w:rPr>
          <w:noProof/>
          <w:rtl/>
        </w:rPr>
        <w:t xml:space="preserve">، </w:t>
      </w:r>
      <w:r>
        <w:rPr>
          <w:noProof/>
        </w:rPr>
        <w:t>306</w:t>
      </w:r>
      <w:r>
        <w:rPr>
          <w:noProof/>
          <w:rtl/>
        </w:rPr>
        <w:t xml:space="preserve">، </w:t>
      </w:r>
      <w:r>
        <w:rPr>
          <w:noProof/>
        </w:rPr>
        <w:t>313</w:t>
      </w:r>
      <w:r>
        <w:rPr>
          <w:noProof/>
          <w:rtl/>
        </w:rPr>
        <w:t xml:space="preserve">، </w:t>
      </w:r>
      <w:r>
        <w:rPr>
          <w:noProof/>
        </w:rPr>
        <w:t>321</w:t>
      </w:r>
      <w:r>
        <w:rPr>
          <w:noProof/>
          <w:rtl/>
        </w:rPr>
        <w:t xml:space="preserve">، </w:t>
      </w:r>
      <w:r>
        <w:rPr>
          <w:noProof/>
        </w:rPr>
        <w:t>323</w:t>
      </w:r>
      <w:r>
        <w:rPr>
          <w:noProof/>
          <w:rtl/>
        </w:rPr>
        <w:t xml:space="preserve">، </w:t>
      </w:r>
      <w:r>
        <w:rPr>
          <w:noProof/>
        </w:rPr>
        <w:t>324</w:t>
      </w:r>
      <w:r>
        <w:rPr>
          <w:noProof/>
          <w:rtl/>
        </w:rPr>
        <w:t xml:space="preserve">، </w:t>
      </w:r>
      <w:r>
        <w:rPr>
          <w:noProof/>
        </w:rPr>
        <w:t>326</w:t>
      </w:r>
      <w:r>
        <w:rPr>
          <w:noProof/>
          <w:rtl/>
        </w:rPr>
        <w:t xml:space="preserve">، </w:t>
      </w:r>
      <w:r>
        <w:rPr>
          <w:noProof/>
        </w:rPr>
        <w:t>334</w:t>
      </w:r>
      <w:r>
        <w:rPr>
          <w:noProof/>
          <w:rtl/>
        </w:rPr>
        <w:t xml:space="preserve">، </w:t>
      </w:r>
      <w:r>
        <w:rPr>
          <w:noProof/>
        </w:rPr>
        <w:t>335</w:t>
      </w:r>
      <w:r>
        <w:rPr>
          <w:noProof/>
          <w:rtl/>
        </w:rPr>
        <w:t xml:space="preserve">، </w:t>
      </w:r>
      <w:r>
        <w:rPr>
          <w:noProof/>
        </w:rPr>
        <w:t>338</w:t>
      </w:r>
      <w:r>
        <w:rPr>
          <w:noProof/>
          <w:rtl/>
        </w:rPr>
        <w:t xml:space="preserve">، </w:t>
      </w:r>
      <w:r>
        <w:rPr>
          <w:noProof/>
        </w:rPr>
        <w:t>339</w:t>
      </w:r>
      <w:r>
        <w:rPr>
          <w:noProof/>
          <w:rtl/>
        </w:rPr>
        <w:t xml:space="preserve">، </w:t>
      </w:r>
      <w:r>
        <w:rPr>
          <w:noProof/>
        </w:rPr>
        <w:t>346</w:t>
      </w:r>
      <w:r>
        <w:rPr>
          <w:noProof/>
          <w:rtl/>
        </w:rPr>
        <w:t xml:space="preserve">، </w:t>
      </w:r>
      <w:r>
        <w:rPr>
          <w:noProof/>
        </w:rPr>
        <w:t>349</w:t>
      </w:r>
      <w:r>
        <w:rPr>
          <w:noProof/>
          <w:rtl/>
        </w:rPr>
        <w:t xml:space="preserve">، </w:t>
      </w:r>
      <w:r>
        <w:rPr>
          <w:noProof/>
        </w:rPr>
        <w:t>363</w:t>
      </w:r>
      <w:r>
        <w:rPr>
          <w:noProof/>
          <w:rtl/>
        </w:rPr>
        <w:t xml:space="preserve">، </w:t>
      </w:r>
      <w:r>
        <w:rPr>
          <w:noProof/>
        </w:rPr>
        <w:t>365</w:t>
      </w:r>
      <w:r>
        <w:rPr>
          <w:noProof/>
          <w:rtl/>
        </w:rPr>
        <w:t xml:space="preserve">، </w:t>
      </w:r>
      <w:r>
        <w:rPr>
          <w:noProof/>
        </w:rPr>
        <w:t>369</w:t>
      </w:r>
      <w:r>
        <w:rPr>
          <w:noProof/>
          <w:rtl/>
        </w:rPr>
        <w:t xml:space="preserve">، </w:t>
      </w:r>
      <w:r>
        <w:rPr>
          <w:noProof/>
        </w:rPr>
        <w:t>380</w:t>
      </w:r>
      <w:r>
        <w:rPr>
          <w:noProof/>
          <w:rtl/>
        </w:rPr>
        <w:t xml:space="preserve">، </w:t>
      </w:r>
      <w:r>
        <w:rPr>
          <w:noProof/>
        </w:rPr>
        <w:t>385</w:t>
      </w:r>
      <w:r>
        <w:rPr>
          <w:noProof/>
          <w:rtl/>
        </w:rPr>
        <w:t xml:space="preserve">، </w:t>
      </w:r>
      <w:r>
        <w:rPr>
          <w:noProof/>
        </w:rPr>
        <w:t>395</w:t>
      </w:r>
      <w:r>
        <w:rPr>
          <w:noProof/>
          <w:rtl/>
        </w:rPr>
        <w:t xml:space="preserve">، </w:t>
      </w:r>
      <w:r>
        <w:rPr>
          <w:noProof/>
        </w:rPr>
        <w:t>417</w:t>
      </w:r>
      <w:r>
        <w:rPr>
          <w:noProof/>
          <w:rtl/>
        </w:rPr>
        <w:t xml:space="preserve">، </w:t>
      </w:r>
      <w:r>
        <w:rPr>
          <w:noProof/>
        </w:rPr>
        <w:t>419</w:t>
      </w:r>
      <w:r>
        <w:rPr>
          <w:noProof/>
          <w:rtl/>
        </w:rPr>
        <w:t xml:space="preserve">، </w:t>
      </w:r>
      <w:r>
        <w:rPr>
          <w:noProof/>
        </w:rPr>
        <w:t>420</w:t>
      </w:r>
      <w:r>
        <w:rPr>
          <w:noProof/>
          <w:rtl/>
        </w:rPr>
        <w:t xml:space="preserve">، </w:t>
      </w:r>
      <w:r>
        <w:rPr>
          <w:noProof/>
        </w:rPr>
        <w:t>445</w:t>
      </w:r>
      <w:r>
        <w:rPr>
          <w:noProof/>
          <w:rtl/>
        </w:rPr>
        <w:t xml:space="preserve">، </w:t>
      </w:r>
      <w:r>
        <w:rPr>
          <w:noProof/>
        </w:rPr>
        <w:t>447</w:t>
      </w:r>
      <w:r>
        <w:rPr>
          <w:noProof/>
          <w:rtl/>
        </w:rPr>
        <w:t xml:space="preserve">، </w:t>
      </w:r>
      <w:r>
        <w:rPr>
          <w:noProof/>
        </w:rPr>
        <w:t>448</w:t>
      </w:r>
    </w:p>
    <w:p w:rsidR="002002F4" w:rsidRDefault="002002F4" w:rsidP="002002F4">
      <w:pPr>
        <w:ind w:firstLine="0"/>
        <w:rPr>
          <w:noProof/>
        </w:rPr>
      </w:pPr>
      <w:r>
        <w:rPr>
          <w:noProof/>
          <w:rtl/>
        </w:rPr>
        <w:t xml:space="preserve">الخميني، السيّد مصطفي، </w:t>
      </w:r>
      <w:r>
        <w:rPr>
          <w:noProof/>
        </w:rPr>
        <w:t>205</w:t>
      </w:r>
    </w:p>
    <w:p w:rsidR="002002F4" w:rsidRDefault="002002F4" w:rsidP="002002F4">
      <w:pPr>
        <w:ind w:firstLine="0"/>
        <w:rPr>
          <w:noProof/>
        </w:rPr>
      </w:pPr>
      <w:r>
        <w:rPr>
          <w:noProof/>
          <w:rtl/>
        </w:rPr>
        <w:t>خواجه نصير الدين الطوسي، أبو</w:t>
      </w:r>
      <w:r>
        <w:rPr>
          <w:b/>
          <w:bCs/>
          <w:noProof/>
          <w:color w:val="252525"/>
          <w:shd w:val="clear" w:color="auto" w:fill="FFFFFF"/>
          <w:rtl/>
        </w:rPr>
        <w:t xml:space="preserve"> جعفر محمّد بن محمّد بن حسن</w:t>
      </w:r>
      <w:r>
        <w:rPr>
          <w:noProof/>
          <w:rtl/>
        </w:rPr>
        <w:t xml:space="preserve">، </w:t>
      </w:r>
      <w:r>
        <w:rPr>
          <w:noProof/>
        </w:rPr>
        <w:t>58</w:t>
      </w:r>
      <w:r>
        <w:rPr>
          <w:noProof/>
          <w:rtl/>
        </w:rPr>
        <w:t xml:space="preserve">، </w:t>
      </w:r>
      <w:r>
        <w:rPr>
          <w:noProof/>
        </w:rPr>
        <w:t>59</w:t>
      </w:r>
      <w:r>
        <w:rPr>
          <w:noProof/>
          <w:rtl/>
        </w:rPr>
        <w:t xml:space="preserve">، </w:t>
      </w:r>
      <w:r>
        <w:rPr>
          <w:noProof/>
        </w:rPr>
        <w:t>428</w:t>
      </w:r>
    </w:p>
    <w:p w:rsidR="002002F4" w:rsidRDefault="002002F4" w:rsidP="002002F4">
      <w:pPr>
        <w:ind w:firstLine="0"/>
        <w:rPr>
          <w:noProof/>
        </w:rPr>
      </w:pPr>
      <w:r>
        <w:rPr>
          <w:noProof/>
          <w:rtl/>
        </w:rPr>
        <w:t xml:space="preserve">الخوانساري، السيّد أحمد، </w:t>
      </w:r>
      <w:r>
        <w:rPr>
          <w:noProof/>
        </w:rPr>
        <w:t>77</w:t>
      </w:r>
      <w:r>
        <w:rPr>
          <w:noProof/>
          <w:rtl/>
        </w:rPr>
        <w:t xml:space="preserve">، </w:t>
      </w:r>
      <w:r>
        <w:rPr>
          <w:noProof/>
        </w:rPr>
        <w:t>132</w:t>
      </w:r>
      <w:r>
        <w:rPr>
          <w:noProof/>
          <w:rtl/>
        </w:rPr>
        <w:t xml:space="preserve">، </w:t>
      </w:r>
      <w:r>
        <w:rPr>
          <w:noProof/>
        </w:rPr>
        <w:t>160</w:t>
      </w:r>
      <w:r>
        <w:rPr>
          <w:noProof/>
          <w:rtl/>
        </w:rPr>
        <w:t xml:space="preserve">، </w:t>
      </w:r>
      <w:r>
        <w:rPr>
          <w:noProof/>
        </w:rPr>
        <w:t>295</w:t>
      </w:r>
      <w:r>
        <w:rPr>
          <w:noProof/>
          <w:rtl/>
        </w:rPr>
        <w:t xml:space="preserve">، </w:t>
      </w:r>
      <w:r>
        <w:rPr>
          <w:noProof/>
        </w:rPr>
        <w:t>297</w:t>
      </w:r>
      <w:r>
        <w:rPr>
          <w:noProof/>
          <w:rtl/>
        </w:rPr>
        <w:t xml:space="preserve">، </w:t>
      </w:r>
      <w:r>
        <w:rPr>
          <w:noProof/>
        </w:rPr>
        <w:t>298</w:t>
      </w:r>
      <w:r>
        <w:rPr>
          <w:noProof/>
          <w:rtl/>
        </w:rPr>
        <w:t xml:space="preserve">، </w:t>
      </w:r>
      <w:r>
        <w:rPr>
          <w:noProof/>
        </w:rPr>
        <w:t>299</w:t>
      </w:r>
      <w:r>
        <w:rPr>
          <w:noProof/>
          <w:rtl/>
        </w:rPr>
        <w:t xml:space="preserve">، </w:t>
      </w:r>
      <w:r>
        <w:rPr>
          <w:noProof/>
        </w:rPr>
        <w:t>325</w:t>
      </w:r>
      <w:r>
        <w:rPr>
          <w:noProof/>
          <w:rtl/>
        </w:rPr>
        <w:t xml:space="preserve">، </w:t>
      </w:r>
      <w:r>
        <w:rPr>
          <w:noProof/>
        </w:rPr>
        <w:t>330</w:t>
      </w:r>
      <w:r>
        <w:rPr>
          <w:noProof/>
          <w:rtl/>
        </w:rPr>
        <w:t xml:space="preserve">، </w:t>
      </w:r>
      <w:r>
        <w:rPr>
          <w:noProof/>
        </w:rPr>
        <w:t>381</w:t>
      </w:r>
      <w:r>
        <w:rPr>
          <w:noProof/>
          <w:rtl/>
        </w:rPr>
        <w:t xml:space="preserve">، </w:t>
      </w:r>
      <w:r>
        <w:rPr>
          <w:noProof/>
        </w:rPr>
        <w:t>385</w:t>
      </w:r>
      <w:r>
        <w:rPr>
          <w:noProof/>
          <w:rtl/>
        </w:rPr>
        <w:t xml:space="preserve">، </w:t>
      </w:r>
      <w:r>
        <w:rPr>
          <w:noProof/>
        </w:rPr>
        <w:t>417</w:t>
      </w:r>
    </w:p>
    <w:p w:rsidR="002002F4" w:rsidRDefault="002002F4" w:rsidP="002002F4">
      <w:pPr>
        <w:ind w:firstLine="0"/>
        <w:rPr>
          <w:noProof/>
        </w:rPr>
      </w:pPr>
      <w:r>
        <w:rPr>
          <w:noProof/>
          <w:rtl/>
        </w:rPr>
        <w:t xml:space="preserve">داوود بن الحُصين الأسديّ، </w:t>
      </w:r>
      <w:r>
        <w:rPr>
          <w:noProof/>
        </w:rPr>
        <w:t>344</w:t>
      </w:r>
      <w:r>
        <w:rPr>
          <w:noProof/>
          <w:rtl/>
        </w:rPr>
        <w:t xml:space="preserve">، </w:t>
      </w:r>
      <w:r>
        <w:rPr>
          <w:noProof/>
        </w:rPr>
        <w:t>347</w:t>
      </w:r>
      <w:r>
        <w:rPr>
          <w:noProof/>
          <w:rtl/>
        </w:rPr>
        <w:t xml:space="preserve">، </w:t>
      </w:r>
      <w:r>
        <w:rPr>
          <w:noProof/>
        </w:rPr>
        <w:t>348</w:t>
      </w:r>
      <w:r>
        <w:rPr>
          <w:noProof/>
          <w:rtl/>
        </w:rPr>
        <w:t xml:space="preserve">، </w:t>
      </w:r>
      <w:r>
        <w:rPr>
          <w:noProof/>
        </w:rPr>
        <w:t>353</w:t>
      </w:r>
    </w:p>
    <w:p w:rsidR="002002F4" w:rsidRDefault="002002F4" w:rsidP="002002F4">
      <w:pPr>
        <w:ind w:firstLine="0"/>
        <w:rPr>
          <w:noProof/>
        </w:rPr>
      </w:pPr>
      <w:r>
        <w:rPr>
          <w:noProof/>
          <w:rtl/>
        </w:rPr>
        <w:t xml:space="preserve">دهخدا، علي أكبر، </w:t>
      </w:r>
      <w:r>
        <w:rPr>
          <w:noProof/>
        </w:rPr>
        <w:t>41</w:t>
      </w:r>
    </w:p>
    <w:p w:rsidR="002002F4" w:rsidRDefault="002002F4" w:rsidP="002002F4">
      <w:pPr>
        <w:ind w:firstLine="0"/>
        <w:rPr>
          <w:noProof/>
        </w:rPr>
      </w:pPr>
      <w:r>
        <w:rPr>
          <w:noProof/>
          <w:rtl/>
        </w:rPr>
        <w:t xml:space="preserve">دهيني، محمّد عباس، </w:t>
      </w:r>
      <w:r>
        <w:rPr>
          <w:noProof/>
        </w:rPr>
        <w:t>7</w:t>
      </w:r>
    </w:p>
    <w:p w:rsidR="002002F4" w:rsidRDefault="002002F4" w:rsidP="002002F4">
      <w:pPr>
        <w:ind w:firstLine="0"/>
        <w:rPr>
          <w:noProof/>
        </w:rPr>
      </w:pPr>
      <w:r>
        <w:rPr>
          <w:noProof/>
          <w:rtl/>
        </w:rPr>
        <w:t xml:space="preserve">الراغب الإصفهاني، أبو القاسم حسين بن محمّد، </w:t>
      </w:r>
      <w:r>
        <w:rPr>
          <w:noProof/>
        </w:rPr>
        <w:t>40</w:t>
      </w:r>
      <w:r>
        <w:rPr>
          <w:noProof/>
          <w:rtl/>
        </w:rPr>
        <w:t xml:space="preserve">، </w:t>
      </w:r>
      <w:r>
        <w:rPr>
          <w:noProof/>
        </w:rPr>
        <w:t>88</w:t>
      </w:r>
    </w:p>
    <w:p w:rsidR="002002F4" w:rsidRDefault="002002F4" w:rsidP="002002F4">
      <w:pPr>
        <w:ind w:firstLine="0"/>
        <w:rPr>
          <w:noProof/>
        </w:rPr>
      </w:pPr>
      <w:r>
        <w:rPr>
          <w:noProof/>
          <w:rtl/>
        </w:rPr>
        <w:t>الراوندي، فضل</w:t>
      </w:r>
      <w:r>
        <w:rPr>
          <w:rFonts w:ascii="Times New Roman" w:hAnsi="Times New Roman" w:cs="Times New Roman" w:hint="cs"/>
          <w:noProof/>
          <w:rtl/>
        </w:rPr>
        <w:t>‌</w:t>
      </w:r>
      <w:r>
        <w:rPr>
          <w:rFonts w:ascii="Mosawi" w:hAnsi="Mosawi" w:hint="cs"/>
          <w:noProof/>
          <w:rtl/>
        </w:rPr>
        <w:t>الله،</w:t>
      </w:r>
      <w:r>
        <w:rPr>
          <w:noProof/>
          <w:rtl/>
        </w:rPr>
        <w:t xml:space="preserve"> </w:t>
      </w:r>
      <w:r>
        <w:rPr>
          <w:noProof/>
        </w:rPr>
        <w:t>312</w:t>
      </w:r>
      <w:r>
        <w:rPr>
          <w:noProof/>
          <w:rtl/>
        </w:rPr>
        <w:t xml:space="preserve">، </w:t>
      </w:r>
      <w:r>
        <w:rPr>
          <w:noProof/>
        </w:rPr>
        <w:t>376</w:t>
      </w:r>
    </w:p>
    <w:p w:rsidR="002002F4" w:rsidRDefault="002002F4" w:rsidP="002002F4">
      <w:pPr>
        <w:ind w:firstLine="0"/>
        <w:rPr>
          <w:noProof/>
        </w:rPr>
      </w:pPr>
      <w:r>
        <w:rPr>
          <w:noProof/>
          <w:rtl/>
        </w:rPr>
        <w:t xml:space="preserve">الروحاني، السيّد حميد، </w:t>
      </w:r>
      <w:r>
        <w:rPr>
          <w:noProof/>
        </w:rPr>
        <w:t>201</w:t>
      </w:r>
    </w:p>
    <w:p w:rsidR="002002F4" w:rsidRDefault="002002F4" w:rsidP="002002F4">
      <w:pPr>
        <w:ind w:firstLine="0"/>
        <w:rPr>
          <w:noProof/>
        </w:rPr>
      </w:pPr>
      <w:r>
        <w:rPr>
          <w:noProof/>
          <w:rtl/>
        </w:rPr>
        <w:t xml:space="preserve">الزبيدي، محمّد بن محمّد، </w:t>
      </w:r>
      <w:r>
        <w:rPr>
          <w:noProof/>
        </w:rPr>
        <w:t>40</w:t>
      </w:r>
    </w:p>
    <w:p w:rsidR="002002F4" w:rsidRDefault="002002F4" w:rsidP="002002F4">
      <w:pPr>
        <w:ind w:firstLine="0"/>
        <w:rPr>
          <w:noProof/>
        </w:rPr>
      </w:pPr>
      <w:r>
        <w:rPr>
          <w:noProof/>
          <w:rtl/>
        </w:rPr>
        <w:t xml:space="preserve">الزمخشري، أبو القاسم محمود بن عمرو بن أحمد، </w:t>
      </w:r>
      <w:r>
        <w:rPr>
          <w:noProof/>
        </w:rPr>
        <w:t>40</w:t>
      </w:r>
      <w:r>
        <w:rPr>
          <w:noProof/>
          <w:rtl/>
        </w:rPr>
        <w:t xml:space="preserve">، </w:t>
      </w:r>
      <w:r>
        <w:rPr>
          <w:noProof/>
        </w:rPr>
        <w:t>95</w:t>
      </w:r>
      <w:r>
        <w:rPr>
          <w:noProof/>
          <w:rtl/>
        </w:rPr>
        <w:t xml:space="preserve">، </w:t>
      </w:r>
      <w:r>
        <w:rPr>
          <w:noProof/>
        </w:rPr>
        <w:t>320</w:t>
      </w:r>
      <w:r>
        <w:rPr>
          <w:noProof/>
          <w:rtl/>
        </w:rPr>
        <w:t xml:space="preserve">، </w:t>
      </w:r>
      <w:r>
        <w:rPr>
          <w:noProof/>
        </w:rPr>
        <w:t>321</w:t>
      </w:r>
    </w:p>
    <w:p w:rsidR="002002F4" w:rsidRDefault="002002F4" w:rsidP="002002F4">
      <w:pPr>
        <w:ind w:firstLine="0"/>
        <w:rPr>
          <w:noProof/>
        </w:rPr>
      </w:pPr>
      <w:r>
        <w:rPr>
          <w:noProof/>
          <w:rtl/>
        </w:rPr>
        <w:t xml:space="preserve">سالم بن أبي سلمة الكندي السجستاني، </w:t>
      </w:r>
      <w:r>
        <w:rPr>
          <w:noProof/>
        </w:rPr>
        <w:t>364</w:t>
      </w:r>
    </w:p>
    <w:p w:rsidR="002002F4" w:rsidRDefault="002002F4" w:rsidP="002002F4">
      <w:pPr>
        <w:ind w:firstLine="0"/>
        <w:rPr>
          <w:noProof/>
        </w:rPr>
      </w:pPr>
      <w:r>
        <w:rPr>
          <w:noProof/>
          <w:rtl/>
        </w:rPr>
        <w:t xml:space="preserve">سالم بن مكرم </w:t>
      </w:r>
      <w:r>
        <w:rPr>
          <w:noProof/>
        </w:rPr>
        <w:t>=</w:t>
      </w:r>
      <w:r>
        <w:rPr>
          <w:noProof/>
          <w:rtl/>
        </w:rPr>
        <w:t xml:space="preserve"> </w:t>
      </w:r>
      <w:r>
        <w:rPr>
          <w:rFonts w:hint="cs"/>
          <w:noProof/>
          <w:rtl/>
        </w:rPr>
        <w:t>أبو خديجة سالم بن مکرم</w:t>
      </w:r>
    </w:p>
    <w:p w:rsidR="002002F4" w:rsidRDefault="002002F4" w:rsidP="002002F4">
      <w:pPr>
        <w:ind w:firstLine="0"/>
        <w:rPr>
          <w:noProof/>
        </w:rPr>
      </w:pPr>
      <w:r>
        <w:rPr>
          <w:noProof/>
          <w:rtl/>
        </w:rPr>
        <w:t xml:space="preserve">السبحاني التبريزي، جعفر، </w:t>
      </w:r>
      <w:r>
        <w:rPr>
          <w:noProof/>
        </w:rPr>
        <w:t>58</w:t>
      </w:r>
      <w:r>
        <w:rPr>
          <w:noProof/>
          <w:rtl/>
        </w:rPr>
        <w:t xml:space="preserve">، </w:t>
      </w:r>
      <w:r>
        <w:rPr>
          <w:noProof/>
        </w:rPr>
        <w:t>83</w:t>
      </w:r>
      <w:r>
        <w:rPr>
          <w:noProof/>
          <w:rtl/>
        </w:rPr>
        <w:t xml:space="preserve">، </w:t>
      </w:r>
      <w:r>
        <w:rPr>
          <w:noProof/>
        </w:rPr>
        <w:t>134</w:t>
      </w:r>
      <w:r>
        <w:rPr>
          <w:noProof/>
          <w:rtl/>
        </w:rPr>
        <w:t xml:space="preserve">، </w:t>
      </w:r>
      <w:r>
        <w:rPr>
          <w:noProof/>
        </w:rPr>
        <w:t>253</w:t>
      </w:r>
      <w:r>
        <w:rPr>
          <w:noProof/>
          <w:rtl/>
        </w:rPr>
        <w:t xml:space="preserve">، </w:t>
      </w:r>
      <w:r>
        <w:rPr>
          <w:noProof/>
        </w:rPr>
        <w:t>292</w:t>
      </w:r>
      <w:r>
        <w:rPr>
          <w:noProof/>
          <w:rtl/>
        </w:rPr>
        <w:t xml:space="preserve">، </w:t>
      </w:r>
      <w:r>
        <w:rPr>
          <w:noProof/>
        </w:rPr>
        <w:t>427</w:t>
      </w:r>
    </w:p>
    <w:p w:rsidR="002002F4" w:rsidRDefault="002002F4" w:rsidP="002002F4">
      <w:pPr>
        <w:ind w:firstLine="0"/>
        <w:rPr>
          <w:noProof/>
        </w:rPr>
      </w:pPr>
      <w:r>
        <w:rPr>
          <w:noProof/>
          <w:rtl/>
        </w:rPr>
        <w:t xml:space="preserve">السبزواري، السيّد عبد الأعلى، </w:t>
      </w:r>
      <w:r>
        <w:rPr>
          <w:noProof/>
        </w:rPr>
        <w:t>157</w:t>
      </w:r>
    </w:p>
    <w:p w:rsidR="002002F4" w:rsidRDefault="002002F4" w:rsidP="002002F4">
      <w:pPr>
        <w:ind w:firstLine="0"/>
        <w:rPr>
          <w:noProof/>
        </w:rPr>
      </w:pPr>
      <w:r>
        <w:rPr>
          <w:noProof/>
          <w:rtl/>
        </w:rPr>
        <w:t xml:space="preserve">سحابي، عزت الله، </w:t>
      </w:r>
      <w:r>
        <w:rPr>
          <w:noProof/>
        </w:rPr>
        <w:t>231</w:t>
      </w:r>
    </w:p>
    <w:p w:rsidR="002002F4" w:rsidRDefault="002002F4" w:rsidP="002002F4">
      <w:pPr>
        <w:ind w:firstLine="0"/>
        <w:rPr>
          <w:noProof/>
        </w:rPr>
      </w:pPr>
      <w:r>
        <w:rPr>
          <w:noProof/>
          <w:rtl/>
        </w:rPr>
        <w:t xml:space="preserve">سحابي، يدالله، </w:t>
      </w:r>
      <w:r>
        <w:rPr>
          <w:noProof/>
        </w:rPr>
        <w:t>220</w:t>
      </w:r>
    </w:p>
    <w:p w:rsidR="002002F4" w:rsidRDefault="002002F4" w:rsidP="002002F4">
      <w:pPr>
        <w:ind w:firstLine="0"/>
        <w:rPr>
          <w:noProof/>
        </w:rPr>
      </w:pPr>
      <w:r>
        <w:rPr>
          <w:noProof/>
          <w:rtl/>
        </w:rPr>
        <w:t xml:space="preserve">السدي، </w:t>
      </w:r>
      <w:r>
        <w:rPr>
          <w:noProof/>
        </w:rPr>
        <w:t>401</w:t>
      </w:r>
    </w:p>
    <w:p w:rsidR="002002F4" w:rsidRDefault="002002F4" w:rsidP="002002F4">
      <w:pPr>
        <w:ind w:firstLine="0"/>
        <w:rPr>
          <w:noProof/>
        </w:rPr>
      </w:pPr>
      <w:r>
        <w:rPr>
          <w:noProof/>
          <w:rtl/>
        </w:rPr>
        <w:t>سعدي الشيرازي، مصلح</w:t>
      </w:r>
      <w:r>
        <w:rPr>
          <w:rFonts w:ascii="Times New Roman" w:hAnsi="Times New Roman" w:cs="Times New Roman" w:hint="cs"/>
          <w:noProof/>
          <w:rtl/>
        </w:rPr>
        <w:t>‌</w:t>
      </w:r>
      <w:r>
        <w:rPr>
          <w:rFonts w:ascii="Mosawi" w:hAnsi="Mosawi" w:hint="cs"/>
          <w:noProof/>
          <w:rtl/>
        </w:rPr>
        <w:t>الدين</w:t>
      </w:r>
      <w:r>
        <w:rPr>
          <w:noProof/>
          <w:rtl/>
        </w:rPr>
        <w:t xml:space="preserve"> </w:t>
      </w:r>
      <w:r>
        <w:rPr>
          <w:rFonts w:ascii="Mosawi" w:hAnsi="Mosawi" w:hint="cs"/>
          <w:noProof/>
          <w:rtl/>
        </w:rPr>
        <w:t>بن</w:t>
      </w:r>
      <w:r>
        <w:rPr>
          <w:noProof/>
          <w:rtl/>
        </w:rPr>
        <w:t xml:space="preserve"> </w:t>
      </w:r>
      <w:r>
        <w:rPr>
          <w:rFonts w:ascii="Mosawi" w:hAnsi="Mosawi" w:hint="cs"/>
          <w:noProof/>
          <w:rtl/>
        </w:rPr>
        <w:t>عبدالله،</w:t>
      </w:r>
      <w:r>
        <w:rPr>
          <w:noProof/>
          <w:rtl/>
        </w:rPr>
        <w:t xml:space="preserve"> </w:t>
      </w:r>
      <w:r>
        <w:rPr>
          <w:noProof/>
        </w:rPr>
        <w:t>199</w:t>
      </w:r>
    </w:p>
    <w:p w:rsidR="002002F4" w:rsidRDefault="002002F4" w:rsidP="002002F4">
      <w:pPr>
        <w:ind w:firstLine="0"/>
        <w:rPr>
          <w:noProof/>
        </w:rPr>
      </w:pPr>
      <w:r>
        <w:rPr>
          <w:noProof/>
          <w:rtl/>
        </w:rPr>
        <w:t xml:space="preserve">السكوني، إسماعيل بن أبي زياد، </w:t>
      </w:r>
      <w:r>
        <w:rPr>
          <w:noProof/>
        </w:rPr>
        <w:t>315</w:t>
      </w:r>
    </w:p>
    <w:p w:rsidR="002002F4" w:rsidRDefault="002002F4" w:rsidP="002002F4">
      <w:pPr>
        <w:ind w:firstLine="0"/>
        <w:rPr>
          <w:noProof/>
        </w:rPr>
      </w:pPr>
      <w:r>
        <w:rPr>
          <w:noProof/>
          <w:rtl/>
        </w:rPr>
        <w:t xml:space="preserve">السندي بن محمّد، </w:t>
      </w:r>
      <w:r>
        <w:rPr>
          <w:noProof/>
        </w:rPr>
        <w:t>320</w:t>
      </w:r>
    </w:p>
    <w:p w:rsidR="002002F4" w:rsidRDefault="002002F4" w:rsidP="002002F4">
      <w:pPr>
        <w:ind w:firstLine="0"/>
        <w:rPr>
          <w:noProof/>
        </w:rPr>
      </w:pPr>
      <w:r>
        <w:rPr>
          <w:noProof/>
          <w:rtl/>
        </w:rPr>
        <w:t>السهروردي، شهاب</w:t>
      </w:r>
      <w:r>
        <w:rPr>
          <w:rFonts w:ascii="Times New Roman" w:hAnsi="Times New Roman" w:cs="Times New Roman" w:hint="cs"/>
          <w:noProof/>
          <w:rtl/>
        </w:rPr>
        <w:t>‌</w:t>
      </w:r>
      <w:r>
        <w:rPr>
          <w:rFonts w:ascii="Mosawi" w:hAnsi="Mosawi" w:hint="cs"/>
          <w:noProof/>
          <w:rtl/>
        </w:rPr>
        <w:t>الدين</w:t>
      </w:r>
      <w:r>
        <w:rPr>
          <w:noProof/>
          <w:rtl/>
        </w:rPr>
        <w:t xml:space="preserve"> </w:t>
      </w:r>
      <w:r>
        <w:rPr>
          <w:rFonts w:ascii="Mosawi" w:hAnsi="Mosawi" w:hint="cs"/>
          <w:noProof/>
          <w:rtl/>
        </w:rPr>
        <w:t>يحيي</w:t>
      </w:r>
      <w:r>
        <w:rPr>
          <w:noProof/>
          <w:rtl/>
        </w:rPr>
        <w:t xml:space="preserve"> </w:t>
      </w:r>
      <w:r>
        <w:rPr>
          <w:rFonts w:ascii="Mosawi" w:hAnsi="Mosawi" w:hint="cs"/>
          <w:noProof/>
          <w:rtl/>
        </w:rPr>
        <w:t>بن</w:t>
      </w:r>
      <w:r>
        <w:rPr>
          <w:noProof/>
          <w:rtl/>
        </w:rPr>
        <w:t xml:space="preserve"> </w:t>
      </w:r>
      <w:r>
        <w:rPr>
          <w:rFonts w:ascii="Mosawi" w:hAnsi="Mosawi" w:hint="cs"/>
          <w:noProof/>
          <w:rtl/>
        </w:rPr>
        <w:t>حبش،</w:t>
      </w:r>
      <w:r>
        <w:rPr>
          <w:noProof/>
          <w:rtl/>
        </w:rPr>
        <w:t xml:space="preserve"> </w:t>
      </w:r>
      <w:r>
        <w:rPr>
          <w:noProof/>
        </w:rPr>
        <w:t>51</w:t>
      </w:r>
      <w:r>
        <w:rPr>
          <w:noProof/>
          <w:rtl/>
        </w:rPr>
        <w:t xml:space="preserve">، </w:t>
      </w:r>
      <w:r>
        <w:rPr>
          <w:noProof/>
        </w:rPr>
        <w:t>52</w:t>
      </w:r>
    </w:p>
    <w:p w:rsidR="002002F4" w:rsidRDefault="002002F4" w:rsidP="002002F4">
      <w:pPr>
        <w:ind w:firstLine="0"/>
        <w:rPr>
          <w:noProof/>
        </w:rPr>
      </w:pPr>
      <w:r>
        <w:rPr>
          <w:noProof/>
          <w:rtl/>
        </w:rPr>
        <w:t xml:space="preserve">سهل بن زياد، </w:t>
      </w:r>
      <w:r>
        <w:rPr>
          <w:noProof/>
        </w:rPr>
        <w:t>370</w:t>
      </w:r>
    </w:p>
    <w:p w:rsidR="002002F4" w:rsidRDefault="002002F4" w:rsidP="002002F4">
      <w:pPr>
        <w:ind w:firstLine="0"/>
        <w:rPr>
          <w:noProof/>
        </w:rPr>
      </w:pPr>
      <w:r>
        <w:rPr>
          <w:noProof/>
          <w:rtl/>
        </w:rPr>
        <w:t xml:space="preserve">السيّد البروجرديّ </w:t>
      </w:r>
      <w:r>
        <w:rPr>
          <w:noProof/>
        </w:rPr>
        <w:t>=</w:t>
      </w:r>
      <w:r>
        <w:rPr>
          <w:noProof/>
          <w:rtl/>
        </w:rPr>
        <w:t xml:space="preserve"> </w:t>
      </w:r>
      <w:r>
        <w:rPr>
          <w:rFonts w:hint="cs"/>
          <w:noProof/>
          <w:rtl/>
        </w:rPr>
        <w:t>الطباطبائي البروجردي، السيّد حسين</w:t>
      </w:r>
    </w:p>
    <w:p w:rsidR="002002F4" w:rsidRDefault="002002F4" w:rsidP="002002F4">
      <w:pPr>
        <w:ind w:firstLine="0"/>
        <w:rPr>
          <w:noProof/>
        </w:rPr>
      </w:pPr>
      <w:r>
        <w:rPr>
          <w:noProof/>
          <w:rtl/>
        </w:rPr>
        <w:t xml:space="preserve">السيّد الخوئي، السيّد أبوالقاسم، </w:t>
      </w:r>
      <w:r>
        <w:rPr>
          <w:noProof/>
        </w:rPr>
        <w:t>68</w:t>
      </w:r>
      <w:r>
        <w:rPr>
          <w:noProof/>
          <w:rtl/>
        </w:rPr>
        <w:t xml:space="preserve">، </w:t>
      </w:r>
      <w:r>
        <w:rPr>
          <w:noProof/>
        </w:rPr>
        <w:t>74</w:t>
      </w:r>
      <w:r>
        <w:rPr>
          <w:noProof/>
          <w:rtl/>
        </w:rPr>
        <w:t xml:space="preserve">، </w:t>
      </w:r>
      <w:r>
        <w:rPr>
          <w:noProof/>
        </w:rPr>
        <w:t>75</w:t>
      </w:r>
      <w:r>
        <w:rPr>
          <w:noProof/>
          <w:rtl/>
        </w:rPr>
        <w:t xml:space="preserve">، </w:t>
      </w:r>
      <w:r>
        <w:rPr>
          <w:noProof/>
        </w:rPr>
        <w:t>76</w:t>
      </w:r>
      <w:r>
        <w:rPr>
          <w:noProof/>
          <w:rtl/>
        </w:rPr>
        <w:t xml:space="preserve">، </w:t>
      </w:r>
      <w:r>
        <w:rPr>
          <w:noProof/>
        </w:rPr>
        <w:t>77</w:t>
      </w:r>
      <w:r>
        <w:rPr>
          <w:noProof/>
          <w:rtl/>
        </w:rPr>
        <w:t xml:space="preserve">، </w:t>
      </w:r>
      <w:r>
        <w:rPr>
          <w:noProof/>
        </w:rPr>
        <w:t>78</w:t>
      </w:r>
      <w:r>
        <w:rPr>
          <w:noProof/>
          <w:rtl/>
        </w:rPr>
        <w:t xml:space="preserve">، </w:t>
      </w:r>
      <w:r>
        <w:rPr>
          <w:noProof/>
        </w:rPr>
        <w:t>132</w:t>
      </w:r>
      <w:r>
        <w:rPr>
          <w:noProof/>
          <w:rtl/>
        </w:rPr>
        <w:t xml:space="preserve">، </w:t>
      </w:r>
      <w:r>
        <w:rPr>
          <w:noProof/>
        </w:rPr>
        <w:t>160</w:t>
      </w:r>
      <w:r>
        <w:rPr>
          <w:noProof/>
          <w:rtl/>
        </w:rPr>
        <w:t xml:space="preserve">، </w:t>
      </w:r>
      <w:r>
        <w:rPr>
          <w:noProof/>
        </w:rPr>
        <w:t>276</w:t>
      </w:r>
      <w:r>
        <w:rPr>
          <w:noProof/>
          <w:rtl/>
        </w:rPr>
        <w:t xml:space="preserve">، </w:t>
      </w:r>
      <w:r>
        <w:rPr>
          <w:noProof/>
        </w:rPr>
        <w:t>287</w:t>
      </w:r>
      <w:r>
        <w:rPr>
          <w:noProof/>
          <w:rtl/>
        </w:rPr>
        <w:t xml:space="preserve">، </w:t>
      </w:r>
      <w:r>
        <w:rPr>
          <w:noProof/>
        </w:rPr>
        <w:t>297</w:t>
      </w:r>
      <w:r>
        <w:rPr>
          <w:noProof/>
          <w:rtl/>
        </w:rPr>
        <w:t xml:space="preserve">، </w:t>
      </w:r>
      <w:r>
        <w:rPr>
          <w:noProof/>
        </w:rPr>
        <w:t>298</w:t>
      </w:r>
      <w:r>
        <w:rPr>
          <w:noProof/>
          <w:rtl/>
        </w:rPr>
        <w:t xml:space="preserve">، </w:t>
      </w:r>
      <w:r>
        <w:rPr>
          <w:noProof/>
        </w:rPr>
        <w:t>310</w:t>
      </w:r>
      <w:r>
        <w:rPr>
          <w:noProof/>
          <w:rtl/>
        </w:rPr>
        <w:t xml:space="preserve">، </w:t>
      </w:r>
      <w:r>
        <w:rPr>
          <w:noProof/>
        </w:rPr>
        <w:t>325</w:t>
      </w:r>
      <w:r>
        <w:rPr>
          <w:noProof/>
          <w:rtl/>
        </w:rPr>
        <w:t xml:space="preserve">، </w:t>
      </w:r>
      <w:r>
        <w:rPr>
          <w:noProof/>
        </w:rPr>
        <w:t>330</w:t>
      </w:r>
      <w:r>
        <w:rPr>
          <w:noProof/>
          <w:rtl/>
        </w:rPr>
        <w:t xml:space="preserve">، </w:t>
      </w:r>
      <w:r>
        <w:rPr>
          <w:noProof/>
        </w:rPr>
        <w:t>353</w:t>
      </w:r>
      <w:r>
        <w:rPr>
          <w:noProof/>
          <w:rtl/>
        </w:rPr>
        <w:t xml:space="preserve">، </w:t>
      </w:r>
      <w:r>
        <w:rPr>
          <w:noProof/>
        </w:rPr>
        <w:t>355</w:t>
      </w:r>
      <w:r>
        <w:rPr>
          <w:noProof/>
          <w:rtl/>
        </w:rPr>
        <w:t xml:space="preserve">، </w:t>
      </w:r>
      <w:r>
        <w:rPr>
          <w:noProof/>
        </w:rPr>
        <w:t>381</w:t>
      </w:r>
      <w:r>
        <w:rPr>
          <w:noProof/>
          <w:rtl/>
        </w:rPr>
        <w:t xml:space="preserve">، </w:t>
      </w:r>
      <w:r>
        <w:rPr>
          <w:noProof/>
        </w:rPr>
        <w:t>418</w:t>
      </w:r>
      <w:r>
        <w:rPr>
          <w:noProof/>
          <w:rtl/>
        </w:rPr>
        <w:t xml:space="preserve">، </w:t>
      </w:r>
      <w:r>
        <w:rPr>
          <w:noProof/>
        </w:rPr>
        <w:t>440</w:t>
      </w:r>
    </w:p>
    <w:p w:rsidR="002002F4" w:rsidRDefault="002002F4" w:rsidP="002002F4">
      <w:pPr>
        <w:ind w:firstLine="0"/>
        <w:rPr>
          <w:noProof/>
        </w:rPr>
      </w:pPr>
      <w:r>
        <w:rPr>
          <w:noProof/>
          <w:rtl/>
        </w:rPr>
        <w:t xml:space="preserve">السيّد الگلپايگاني، السيّد محمّدرضا، </w:t>
      </w:r>
      <w:r>
        <w:rPr>
          <w:noProof/>
        </w:rPr>
        <w:t>132</w:t>
      </w:r>
      <w:r>
        <w:rPr>
          <w:noProof/>
          <w:rtl/>
        </w:rPr>
        <w:t xml:space="preserve">، </w:t>
      </w:r>
      <w:r>
        <w:rPr>
          <w:noProof/>
        </w:rPr>
        <w:t>157</w:t>
      </w:r>
      <w:r>
        <w:rPr>
          <w:noProof/>
          <w:rtl/>
        </w:rPr>
        <w:t xml:space="preserve">، </w:t>
      </w:r>
      <w:r>
        <w:rPr>
          <w:noProof/>
        </w:rPr>
        <w:t>223</w:t>
      </w:r>
      <w:r>
        <w:rPr>
          <w:noProof/>
          <w:rtl/>
        </w:rPr>
        <w:t xml:space="preserve">، </w:t>
      </w:r>
      <w:r>
        <w:rPr>
          <w:noProof/>
        </w:rPr>
        <w:t>303</w:t>
      </w:r>
      <w:r>
        <w:rPr>
          <w:noProof/>
          <w:rtl/>
        </w:rPr>
        <w:t xml:space="preserve">، </w:t>
      </w:r>
      <w:r>
        <w:rPr>
          <w:noProof/>
        </w:rPr>
        <w:t>313</w:t>
      </w:r>
      <w:r>
        <w:rPr>
          <w:noProof/>
          <w:rtl/>
        </w:rPr>
        <w:t xml:space="preserve">، </w:t>
      </w:r>
      <w:r>
        <w:rPr>
          <w:noProof/>
        </w:rPr>
        <w:t>321</w:t>
      </w:r>
      <w:r>
        <w:rPr>
          <w:noProof/>
          <w:rtl/>
        </w:rPr>
        <w:t xml:space="preserve">، </w:t>
      </w:r>
      <w:r>
        <w:rPr>
          <w:noProof/>
        </w:rPr>
        <w:t>334</w:t>
      </w:r>
      <w:r>
        <w:rPr>
          <w:noProof/>
          <w:rtl/>
        </w:rPr>
        <w:t xml:space="preserve">، </w:t>
      </w:r>
      <w:r>
        <w:rPr>
          <w:noProof/>
        </w:rPr>
        <w:t>339</w:t>
      </w:r>
      <w:r>
        <w:rPr>
          <w:noProof/>
          <w:rtl/>
        </w:rPr>
        <w:t xml:space="preserve">، </w:t>
      </w:r>
      <w:r>
        <w:rPr>
          <w:noProof/>
        </w:rPr>
        <w:t>346</w:t>
      </w:r>
      <w:r>
        <w:rPr>
          <w:noProof/>
          <w:rtl/>
        </w:rPr>
        <w:t xml:space="preserve">، </w:t>
      </w:r>
      <w:r>
        <w:rPr>
          <w:noProof/>
        </w:rPr>
        <w:t>369</w:t>
      </w:r>
      <w:r>
        <w:rPr>
          <w:noProof/>
          <w:rtl/>
        </w:rPr>
        <w:t xml:space="preserve">، </w:t>
      </w:r>
      <w:r>
        <w:rPr>
          <w:noProof/>
        </w:rPr>
        <w:t>377</w:t>
      </w:r>
    </w:p>
    <w:p w:rsidR="002002F4" w:rsidRDefault="002002F4" w:rsidP="002002F4">
      <w:pPr>
        <w:ind w:firstLine="0"/>
        <w:rPr>
          <w:noProof/>
        </w:rPr>
      </w:pPr>
      <w:r>
        <w:rPr>
          <w:noProof/>
          <w:rtl/>
        </w:rPr>
        <w:t xml:space="preserve">السيّد المرتضى، عليّ بن الحسين بن موسي، </w:t>
      </w:r>
      <w:r>
        <w:rPr>
          <w:noProof/>
        </w:rPr>
        <w:t>58</w:t>
      </w:r>
      <w:r>
        <w:rPr>
          <w:noProof/>
          <w:rtl/>
        </w:rPr>
        <w:t xml:space="preserve">، </w:t>
      </w:r>
      <w:r>
        <w:rPr>
          <w:noProof/>
        </w:rPr>
        <w:t>63</w:t>
      </w:r>
      <w:r>
        <w:rPr>
          <w:noProof/>
          <w:rtl/>
        </w:rPr>
        <w:t xml:space="preserve">، </w:t>
      </w:r>
      <w:r>
        <w:rPr>
          <w:noProof/>
        </w:rPr>
        <w:t>119</w:t>
      </w:r>
      <w:r>
        <w:rPr>
          <w:noProof/>
          <w:rtl/>
        </w:rPr>
        <w:t xml:space="preserve">، </w:t>
      </w:r>
      <w:r>
        <w:rPr>
          <w:noProof/>
        </w:rPr>
        <w:t>137</w:t>
      </w:r>
      <w:r>
        <w:rPr>
          <w:noProof/>
          <w:rtl/>
        </w:rPr>
        <w:t xml:space="preserve">، </w:t>
      </w:r>
      <w:r>
        <w:rPr>
          <w:noProof/>
        </w:rPr>
        <w:t>428</w:t>
      </w:r>
    </w:p>
    <w:p w:rsidR="002002F4" w:rsidRDefault="002002F4" w:rsidP="002002F4">
      <w:pPr>
        <w:ind w:firstLine="0"/>
        <w:rPr>
          <w:noProof/>
        </w:rPr>
      </w:pPr>
      <w:r>
        <w:rPr>
          <w:noProof/>
          <w:rtl/>
        </w:rPr>
        <w:t xml:space="preserve">السيّد بهشتي </w:t>
      </w:r>
      <w:r>
        <w:rPr>
          <w:noProof/>
        </w:rPr>
        <w:t>=</w:t>
      </w:r>
      <w:r>
        <w:rPr>
          <w:noProof/>
          <w:rtl/>
        </w:rPr>
        <w:t xml:space="preserve"> </w:t>
      </w:r>
      <w:r>
        <w:rPr>
          <w:rFonts w:hint="cs"/>
          <w:noProof/>
          <w:rtl/>
        </w:rPr>
        <w:t>حسيني البهشتي، السيّد محمّدحسين</w:t>
      </w:r>
    </w:p>
    <w:p w:rsidR="002002F4" w:rsidRDefault="002002F4" w:rsidP="002002F4">
      <w:pPr>
        <w:ind w:firstLine="0"/>
        <w:rPr>
          <w:noProof/>
        </w:rPr>
      </w:pPr>
      <w:r>
        <w:rPr>
          <w:noProof/>
          <w:rtl/>
        </w:rPr>
        <w:t xml:space="preserve">السيف، توفيق، </w:t>
      </w:r>
      <w:r>
        <w:rPr>
          <w:noProof/>
        </w:rPr>
        <w:t>160</w:t>
      </w:r>
    </w:p>
    <w:p w:rsidR="002002F4" w:rsidRDefault="002002F4" w:rsidP="002002F4">
      <w:pPr>
        <w:ind w:firstLine="0"/>
        <w:rPr>
          <w:noProof/>
        </w:rPr>
      </w:pPr>
      <w:r>
        <w:rPr>
          <w:noProof/>
          <w:rtl/>
        </w:rPr>
        <w:t xml:space="preserve">شريعتي، علي، </w:t>
      </w:r>
      <w:r>
        <w:rPr>
          <w:noProof/>
        </w:rPr>
        <w:t>205</w:t>
      </w:r>
    </w:p>
    <w:p w:rsidR="002002F4" w:rsidRDefault="002002F4" w:rsidP="002002F4">
      <w:pPr>
        <w:ind w:firstLine="0"/>
        <w:rPr>
          <w:noProof/>
        </w:rPr>
      </w:pPr>
      <w:r>
        <w:rPr>
          <w:noProof/>
          <w:rtl/>
        </w:rPr>
        <w:t xml:space="preserve">شهرابي، محمّد، </w:t>
      </w:r>
      <w:r>
        <w:rPr>
          <w:noProof/>
        </w:rPr>
        <w:t>260</w:t>
      </w:r>
    </w:p>
    <w:p w:rsidR="002002F4" w:rsidRDefault="002002F4" w:rsidP="002002F4">
      <w:pPr>
        <w:ind w:firstLine="0"/>
        <w:rPr>
          <w:noProof/>
        </w:rPr>
      </w:pPr>
      <w:r>
        <w:rPr>
          <w:noProof/>
          <w:rtl/>
        </w:rPr>
        <w:t>الشهيد الأول، شمس</w:t>
      </w:r>
      <w:r>
        <w:rPr>
          <w:rFonts w:ascii="Times New Roman" w:hAnsi="Times New Roman" w:cs="Times New Roman"/>
          <w:noProof/>
        </w:rPr>
        <w:t>‌</w:t>
      </w:r>
      <w:r>
        <w:rPr>
          <w:noProof/>
          <w:rtl/>
        </w:rPr>
        <w:t xml:space="preserve">الدين محمّد بن أحمد مكي العاملي، </w:t>
      </w:r>
      <w:r>
        <w:rPr>
          <w:noProof/>
        </w:rPr>
        <w:t>28</w:t>
      </w:r>
      <w:r>
        <w:rPr>
          <w:noProof/>
          <w:rtl/>
        </w:rPr>
        <w:t xml:space="preserve">، </w:t>
      </w:r>
      <w:r>
        <w:rPr>
          <w:noProof/>
        </w:rPr>
        <w:t>428</w:t>
      </w:r>
    </w:p>
    <w:p w:rsidR="002002F4" w:rsidRDefault="002002F4" w:rsidP="002002F4">
      <w:pPr>
        <w:ind w:firstLine="0"/>
        <w:rPr>
          <w:noProof/>
        </w:rPr>
      </w:pPr>
      <w:r>
        <w:rPr>
          <w:noProof/>
          <w:rtl/>
        </w:rPr>
        <w:t xml:space="preserve">الشهيد الثاني، </w:t>
      </w:r>
      <w:r>
        <w:rPr>
          <w:b/>
          <w:bCs/>
          <w:noProof/>
          <w:color w:val="252525"/>
          <w:shd w:val="clear" w:color="auto" w:fill="FFFFFF"/>
          <w:rtl/>
        </w:rPr>
        <w:t>زين</w:t>
      </w:r>
      <w:r>
        <w:rPr>
          <w:rFonts w:ascii="Times New Roman" w:hAnsi="Times New Roman" w:cs="Times New Roman"/>
          <w:b/>
          <w:bCs/>
          <w:noProof/>
          <w:color w:val="252525"/>
          <w:shd w:val="clear" w:color="auto" w:fill="FFFFFF"/>
        </w:rPr>
        <w:t>‌</w:t>
      </w:r>
      <w:r>
        <w:rPr>
          <w:b/>
          <w:bCs/>
          <w:noProof/>
          <w:color w:val="252525"/>
          <w:shd w:val="clear" w:color="auto" w:fill="FFFFFF"/>
          <w:rtl/>
        </w:rPr>
        <w:t>الدين بن علي بن احمد عاملي جبعي</w:t>
      </w:r>
      <w:r>
        <w:rPr>
          <w:noProof/>
          <w:rtl/>
        </w:rPr>
        <w:t xml:space="preserve">، </w:t>
      </w:r>
      <w:r>
        <w:rPr>
          <w:noProof/>
        </w:rPr>
        <w:t>28</w:t>
      </w:r>
      <w:r>
        <w:rPr>
          <w:noProof/>
          <w:rtl/>
        </w:rPr>
        <w:t xml:space="preserve">، </w:t>
      </w:r>
      <w:r>
        <w:rPr>
          <w:noProof/>
        </w:rPr>
        <w:t>128</w:t>
      </w:r>
      <w:r>
        <w:rPr>
          <w:noProof/>
          <w:rtl/>
        </w:rPr>
        <w:t xml:space="preserve">، </w:t>
      </w:r>
      <w:r>
        <w:rPr>
          <w:noProof/>
        </w:rPr>
        <w:t>295</w:t>
      </w:r>
      <w:r>
        <w:rPr>
          <w:noProof/>
          <w:rtl/>
        </w:rPr>
        <w:t xml:space="preserve">، </w:t>
      </w:r>
      <w:r>
        <w:rPr>
          <w:noProof/>
        </w:rPr>
        <w:t>303</w:t>
      </w:r>
      <w:r>
        <w:rPr>
          <w:noProof/>
          <w:rtl/>
        </w:rPr>
        <w:t xml:space="preserve">، </w:t>
      </w:r>
      <w:r>
        <w:rPr>
          <w:noProof/>
        </w:rPr>
        <w:t>348</w:t>
      </w:r>
      <w:r>
        <w:rPr>
          <w:noProof/>
          <w:rtl/>
        </w:rPr>
        <w:t xml:space="preserve">، </w:t>
      </w:r>
      <w:r>
        <w:rPr>
          <w:noProof/>
        </w:rPr>
        <w:t>353</w:t>
      </w:r>
      <w:r>
        <w:rPr>
          <w:noProof/>
          <w:rtl/>
        </w:rPr>
        <w:t xml:space="preserve">، </w:t>
      </w:r>
      <w:r>
        <w:rPr>
          <w:noProof/>
        </w:rPr>
        <w:t>354</w:t>
      </w:r>
      <w:r>
        <w:rPr>
          <w:noProof/>
          <w:rtl/>
        </w:rPr>
        <w:t xml:space="preserve">، </w:t>
      </w:r>
      <w:r>
        <w:rPr>
          <w:noProof/>
        </w:rPr>
        <w:t>355</w:t>
      </w:r>
      <w:r>
        <w:rPr>
          <w:noProof/>
          <w:rtl/>
        </w:rPr>
        <w:t xml:space="preserve">، </w:t>
      </w:r>
      <w:r>
        <w:rPr>
          <w:noProof/>
        </w:rPr>
        <w:t>356</w:t>
      </w:r>
      <w:r>
        <w:rPr>
          <w:noProof/>
          <w:rtl/>
        </w:rPr>
        <w:t xml:space="preserve">، </w:t>
      </w:r>
      <w:r>
        <w:rPr>
          <w:noProof/>
        </w:rPr>
        <w:t>364</w:t>
      </w:r>
      <w:r>
        <w:rPr>
          <w:noProof/>
          <w:rtl/>
        </w:rPr>
        <w:t xml:space="preserve">، </w:t>
      </w:r>
      <w:r>
        <w:rPr>
          <w:noProof/>
        </w:rPr>
        <w:t>428</w:t>
      </w:r>
    </w:p>
    <w:p w:rsidR="002002F4" w:rsidRDefault="002002F4" w:rsidP="002002F4">
      <w:pPr>
        <w:ind w:firstLine="0"/>
        <w:rPr>
          <w:noProof/>
        </w:rPr>
      </w:pPr>
      <w:r>
        <w:rPr>
          <w:noProof/>
          <w:rtl/>
        </w:rPr>
        <w:t xml:space="preserve">الشيباني، زرارة بن أعين، </w:t>
      </w:r>
      <w:r>
        <w:rPr>
          <w:noProof/>
        </w:rPr>
        <w:t>114</w:t>
      </w:r>
      <w:r>
        <w:rPr>
          <w:noProof/>
          <w:rtl/>
        </w:rPr>
        <w:t xml:space="preserve">، </w:t>
      </w:r>
      <w:r>
        <w:rPr>
          <w:noProof/>
        </w:rPr>
        <w:t>373</w:t>
      </w:r>
      <w:r>
        <w:rPr>
          <w:noProof/>
          <w:rtl/>
        </w:rPr>
        <w:t xml:space="preserve">، </w:t>
      </w:r>
      <w:r>
        <w:rPr>
          <w:noProof/>
        </w:rPr>
        <w:t>442</w:t>
      </w:r>
    </w:p>
    <w:p w:rsidR="002002F4" w:rsidRDefault="002002F4" w:rsidP="002002F4">
      <w:pPr>
        <w:ind w:firstLine="0"/>
        <w:rPr>
          <w:noProof/>
        </w:rPr>
      </w:pPr>
      <w:r>
        <w:rPr>
          <w:noProof/>
          <w:rtl/>
        </w:rPr>
        <w:t>شيخ الإشراق = السهروردي، شهاب</w:t>
      </w:r>
      <w:r>
        <w:rPr>
          <w:rFonts w:ascii="Times New Roman" w:hAnsi="Times New Roman" w:cs="Times New Roman"/>
          <w:noProof/>
        </w:rPr>
        <w:t>‌</w:t>
      </w:r>
      <w:r>
        <w:rPr>
          <w:noProof/>
          <w:rtl/>
        </w:rPr>
        <w:t>الدين يحيي بن حبش</w:t>
      </w:r>
    </w:p>
    <w:p w:rsidR="002002F4" w:rsidRDefault="002002F4" w:rsidP="002002F4">
      <w:pPr>
        <w:ind w:firstLine="0"/>
        <w:rPr>
          <w:noProof/>
        </w:rPr>
      </w:pPr>
      <w:r>
        <w:rPr>
          <w:noProof/>
          <w:rtl/>
        </w:rPr>
        <w:t xml:space="preserve">الشيخ الآمليّ </w:t>
      </w:r>
      <w:r>
        <w:rPr>
          <w:noProof/>
        </w:rPr>
        <w:t>=</w:t>
      </w:r>
      <w:r>
        <w:rPr>
          <w:noProof/>
          <w:rtl/>
        </w:rPr>
        <w:t xml:space="preserve"> </w:t>
      </w:r>
      <w:r>
        <w:rPr>
          <w:rFonts w:hint="cs"/>
          <w:noProof/>
          <w:rtl/>
        </w:rPr>
        <w:t>جوادي الآملي، الشيخ عبدالله</w:t>
      </w:r>
    </w:p>
    <w:p w:rsidR="002002F4" w:rsidRDefault="002002F4" w:rsidP="002002F4">
      <w:pPr>
        <w:ind w:firstLine="0"/>
        <w:rPr>
          <w:noProof/>
        </w:rPr>
      </w:pPr>
      <w:r>
        <w:rPr>
          <w:noProof/>
          <w:rtl/>
        </w:rPr>
        <w:t xml:space="preserve">الشيخ الرئيس ابن سينا </w:t>
      </w:r>
      <w:r>
        <w:rPr>
          <w:noProof/>
        </w:rPr>
        <w:t>=</w:t>
      </w:r>
      <w:r>
        <w:rPr>
          <w:noProof/>
          <w:rtl/>
        </w:rPr>
        <w:t xml:space="preserve"> </w:t>
      </w:r>
      <w:r>
        <w:rPr>
          <w:rFonts w:hint="cs"/>
          <w:noProof/>
          <w:rtl/>
        </w:rPr>
        <w:t>أبو علي حسين بن عبد الله سينا</w:t>
      </w:r>
    </w:p>
    <w:p w:rsidR="002002F4" w:rsidRDefault="002002F4" w:rsidP="002002F4">
      <w:pPr>
        <w:ind w:firstLine="0"/>
        <w:rPr>
          <w:noProof/>
        </w:rPr>
      </w:pPr>
      <w:r>
        <w:rPr>
          <w:noProof/>
          <w:rtl/>
        </w:rPr>
        <w:t>الشيخ الصدوق = ابن بابويه القمي، أبوجعفر محمّد بن علي</w:t>
      </w:r>
    </w:p>
    <w:p w:rsidR="002002F4" w:rsidRDefault="002002F4" w:rsidP="002002F4">
      <w:pPr>
        <w:ind w:firstLine="0"/>
        <w:rPr>
          <w:noProof/>
        </w:rPr>
      </w:pPr>
      <w:r>
        <w:rPr>
          <w:noProof/>
          <w:rtl/>
        </w:rPr>
        <w:t xml:space="preserve">الشيخ الطبرسي </w:t>
      </w:r>
      <w:r>
        <w:rPr>
          <w:noProof/>
        </w:rPr>
        <w:t>=</w:t>
      </w:r>
      <w:r>
        <w:rPr>
          <w:noProof/>
          <w:rtl/>
        </w:rPr>
        <w:t xml:space="preserve"> </w:t>
      </w:r>
      <w:r>
        <w:rPr>
          <w:rFonts w:hint="cs"/>
          <w:noProof/>
          <w:rtl/>
        </w:rPr>
        <w:t>الطبرسي، أبو علي فضل بن الحسن</w:t>
      </w:r>
    </w:p>
    <w:p w:rsidR="002002F4" w:rsidRDefault="002002F4" w:rsidP="002002F4">
      <w:pPr>
        <w:ind w:firstLine="0"/>
        <w:rPr>
          <w:noProof/>
          <w:rtl/>
        </w:rPr>
      </w:pPr>
      <w:r>
        <w:rPr>
          <w:noProof/>
          <w:rtl/>
        </w:rPr>
        <w:t xml:space="preserve">الشيخ الطوسي، محمّد بن الحسن، </w:t>
      </w:r>
      <w:r>
        <w:rPr>
          <w:noProof/>
        </w:rPr>
        <w:t>28</w:t>
      </w:r>
      <w:r>
        <w:rPr>
          <w:noProof/>
          <w:rtl/>
        </w:rPr>
        <w:t xml:space="preserve">، </w:t>
      </w:r>
      <w:r>
        <w:rPr>
          <w:noProof/>
        </w:rPr>
        <w:t>58</w:t>
      </w:r>
      <w:r>
        <w:rPr>
          <w:noProof/>
          <w:rtl/>
        </w:rPr>
        <w:t xml:space="preserve">، </w:t>
      </w:r>
      <w:r>
        <w:rPr>
          <w:noProof/>
        </w:rPr>
        <w:t>94</w:t>
      </w:r>
      <w:r>
        <w:rPr>
          <w:noProof/>
          <w:rtl/>
        </w:rPr>
        <w:t xml:space="preserve">، </w:t>
      </w:r>
      <w:r>
        <w:rPr>
          <w:noProof/>
        </w:rPr>
        <w:t>97</w:t>
      </w:r>
      <w:r>
        <w:rPr>
          <w:noProof/>
          <w:rtl/>
        </w:rPr>
        <w:t xml:space="preserve">، </w:t>
      </w:r>
      <w:r>
        <w:rPr>
          <w:noProof/>
        </w:rPr>
        <w:t>123</w:t>
      </w:r>
      <w:r>
        <w:rPr>
          <w:noProof/>
          <w:rtl/>
        </w:rPr>
        <w:t xml:space="preserve">، </w:t>
      </w:r>
      <w:r>
        <w:rPr>
          <w:noProof/>
        </w:rPr>
        <w:t>126</w:t>
      </w:r>
      <w:r>
        <w:rPr>
          <w:noProof/>
          <w:rtl/>
        </w:rPr>
        <w:t xml:space="preserve">، </w:t>
      </w:r>
      <w:r>
        <w:rPr>
          <w:noProof/>
        </w:rPr>
        <w:t>137</w:t>
      </w:r>
      <w:r>
        <w:rPr>
          <w:noProof/>
          <w:rtl/>
        </w:rPr>
        <w:t xml:space="preserve">، </w:t>
      </w:r>
      <w:r>
        <w:rPr>
          <w:noProof/>
        </w:rPr>
        <w:t>169</w:t>
      </w:r>
      <w:r>
        <w:rPr>
          <w:noProof/>
          <w:rtl/>
        </w:rPr>
        <w:t xml:space="preserve">، </w:t>
      </w:r>
      <w:r>
        <w:rPr>
          <w:noProof/>
        </w:rPr>
        <w:t>316</w:t>
      </w:r>
      <w:r>
        <w:rPr>
          <w:noProof/>
          <w:rtl/>
        </w:rPr>
        <w:t xml:space="preserve">، </w:t>
      </w:r>
      <w:r>
        <w:rPr>
          <w:noProof/>
        </w:rPr>
        <w:t>328</w:t>
      </w:r>
      <w:r>
        <w:rPr>
          <w:noProof/>
          <w:rtl/>
        </w:rPr>
        <w:t xml:space="preserve">، </w:t>
      </w:r>
      <w:r>
        <w:rPr>
          <w:noProof/>
        </w:rPr>
        <w:t>344</w:t>
      </w:r>
      <w:r>
        <w:rPr>
          <w:noProof/>
          <w:rtl/>
        </w:rPr>
        <w:t xml:space="preserve">، </w:t>
      </w:r>
      <w:r>
        <w:rPr>
          <w:noProof/>
        </w:rPr>
        <w:t>346</w:t>
      </w:r>
      <w:r>
        <w:rPr>
          <w:noProof/>
          <w:rtl/>
        </w:rPr>
        <w:t xml:space="preserve">، </w:t>
      </w:r>
      <w:r>
        <w:rPr>
          <w:noProof/>
        </w:rPr>
        <w:t>347</w:t>
      </w:r>
      <w:r>
        <w:rPr>
          <w:noProof/>
          <w:rtl/>
        </w:rPr>
        <w:t xml:space="preserve">، </w:t>
      </w:r>
      <w:r>
        <w:rPr>
          <w:noProof/>
        </w:rPr>
        <w:t>354</w:t>
      </w:r>
      <w:r>
        <w:rPr>
          <w:noProof/>
          <w:rtl/>
        </w:rPr>
        <w:t xml:space="preserve">، </w:t>
      </w:r>
      <w:r>
        <w:rPr>
          <w:noProof/>
        </w:rPr>
        <w:t>363</w:t>
      </w:r>
      <w:r>
        <w:rPr>
          <w:noProof/>
          <w:rtl/>
        </w:rPr>
        <w:t xml:space="preserve">، </w:t>
      </w:r>
      <w:r>
        <w:rPr>
          <w:noProof/>
        </w:rPr>
        <w:t>364</w:t>
      </w:r>
      <w:r>
        <w:rPr>
          <w:noProof/>
          <w:rtl/>
        </w:rPr>
        <w:t xml:space="preserve">، </w:t>
      </w:r>
      <w:r>
        <w:rPr>
          <w:noProof/>
        </w:rPr>
        <w:t>369</w:t>
      </w:r>
      <w:r>
        <w:rPr>
          <w:noProof/>
          <w:rtl/>
        </w:rPr>
        <w:t xml:space="preserve">، </w:t>
      </w:r>
      <w:r>
        <w:rPr>
          <w:noProof/>
        </w:rPr>
        <w:t>372</w:t>
      </w:r>
      <w:r>
        <w:rPr>
          <w:noProof/>
          <w:rtl/>
        </w:rPr>
        <w:t xml:space="preserve">، </w:t>
      </w:r>
      <w:r>
        <w:rPr>
          <w:noProof/>
        </w:rPr>
        <w:t>376</w:t>
      </w:r>
      <w:r>
        <w:rPr>
          <w:noProof/>
          <w:rtl/>
        </w:rPr>
        <w:t xml:space="preserve">، </w:t>
      </w:r>
      <w:r>
        <w:rPr>
          <w:noProof/>
        </w:rPr>
        <w:t>377</w:t>
      </w:r>
      <w:r>
        <w:rPr>
          <w:noProof/>
          <w:rtl/>
        </w:rPr>
        <w:t xml:space="preserve">، </w:t>
      </w:r>
      <w:r>
        <w:rPr>
          <w:noProof/>
        </w:rPr>
        <w:t>383</w:t>
      </w:r>
      <w:r>
        <w:rPr>
          <w:noProof/>
          <w:rtl/>
        </w:rPr>
        <w:t xml:space="preserve">، </w:t>
      </w:r>
      <w:r>
        <w:rPr>
          <w:noProof/>
        </w:rPr>
        <w:t>384</w:t>
      </w:r>
      <w:r>
        <w:rPr>
          <w:noProof/>
          <w:rtl/>
        </w:rPr>
        <w:t xml:space="preserve">، </w:t>
      </w:r>
      <w:r>
        <w:rPr>
          <w:noProof/>
        </w:rPr>
        <w:t>400</w:t>
      </w:r>
      <w:r>
        <w:rPr>
          <w:noProof/>
          <w:rtl/>
        </w:rPr>
        <w:t xml:space="preserve">، </w:t>
      </w:r>
      <w:r>
        <w:rPr>
          <w:noProof/>
        </w:rPr>
        <w:t>401</w:t>
      </w:r>
      <w:r>
        <w:rPr>
          <w:noProof/>
          <w:rtl/>
        </w:rPr>
        <w:t xml:space="preserve">، </w:t>
      </w:r>
      <w:r>
        <w:rPr>
          <w:noProof/>
        </w:rPr>
        <w:t>428</w:t>
      </w:r>
    </w:p>
    <w:p w:rsidR="002002F4" w:rsidRDefault="002002F4" w:rsidP="002002F4">
      <w:pPr>
        <w:ind w:firstLine="0"/>
        <w:rPr>
          <w:noProof/>
        </w:rPr>
      </w:pPr>
      <w:r>
        <w:rPr>
          <w:noProof/>
          <w:rtl/>
        </w:rPr>
        <w:t xml:space="preserve">شيخ الفقهاء </w:t>
      </w:r>
      <w:r>
        <w:rPr>
          <w:noProof/>
        </w:rPr>
        <w:t>=</w:t>
      </w:r>
      <w:r>
        <w:rPr>
          <w:noProof/>
          <w:rtl/>
        </w:rPr>
        <w:t xml:space="preserve"> </w:t>
      </w:r>
      <w:r>
        <w:rPr>
          <w:rFonts w:hint="cs"/>
          <w:noProof/>
          <w:rtl/>
        </w:rPr>
        <w:t>الآراكي، الشيخ محمّدعلي</w:t>
      </w:r>
    </w:p>
    <w:p w:rsidR="002002F4" w:rsidRDefault="002002F4" w:rsidP="002002F4">
      <w:pPr>
        <w:ind w:firstLine="0"/>
        <w:rPr>
          <w:noProof/>
        </w:rPr>
      </w:pPr>
      <w:r>
        <w:rPr>
          <w:noProof/>
          <w:rtl/>
        </w:rPr>
        <w:t xml:space="preserve">الشيخ المفيد، محمّد بن محمّد بن نعمان، </w:t>
      </w:r>
      <w:r>
        <w:rPr>
          <w:noProof/>
        </w:rPr>
        <w:t>58</w:t>
      </w:r>
      <w:r>
        <w:rPr>
          <w:noProof/>
          <w:rtl/>
        </w:rPr>
        <w:t xml:space="preserve">، </w:t>
      </w:r>
      <w:r>
        <w:rPr>
          <w:noProof/>
        </w:rPr>
        <w:t>126</w:t>
      </w:r>
      <w:r>
        <w:rPr>
          <w:noProof/>
          <w:rtl/>
        </w:rPr>
        <w:t xml:space="preserve">، </w:t>
      </w:r>
      <w:r>
        <w:rPr>
          <w:noProof/>
        </w:rPr>
        <w:t>168</w:t>
      </w:r>
      <w:r>
        <w:rPr>
          <w:noProof/>
          <w:rtl/>
        </w:rPr>
        <w:t xml:space="preserve">، </w:t>
      </w:r>
      <w:r>
        <w:rPr>
          <w:noProof/>
        </w:rPr>
        <w:t>287</w:t>
      </w:r>
      <w:r>
        <w:rPr>
          <w:noProof/>
          <w:rtl/>
        </w:rPr>
        <w:t xml:space="preserve">، </w:t>
      </w:r>
      <w:r>
        <w:rPr>
          <w:noProof/>
        </w:rPr>
        <w:t>320</w:t>
      </w:r>
      <w:r>
        <w:rPr>
          <w:noProof/>
          <w:rtl/>
        </w:rPr>
        <w:t xml:space="preserve">، </w:t>
      </w:r>
      <w:r>
        <w:rPr>
          <w:noProof/>
        </w:rPr>
        <w:t>377</w:t>
      </w:r>
      <w:r>
        <w:rPr>
          <w:noProof/>
          <w:rtl/>
        </w:rPr>
        <w:t xml:space="preserve">، </w:t>
      </w:r>
      <w:r>
        <w:rPr>
          <w:noProof/>
        </w:rPr>
        <w:t>378</w:t>
      </w:r>
      <w:r>
        <w:rPr>
          <w:noProof/>
          <w:rtl/>
        </w:rPr>
        <w:t xml:space="preserve">، </w:t>
      </w:r>
      <w:r>
        <w:rPr>
          <w:noProof/>
        </w:rPr>
        <w:t>384</w:t>
      </w:r>
      <w:r>
        <w:rPr>
          <w:noProof/>
          <w:rtl/>
        </w:rPr>
        <w:t xml:space="preserve">، </w:t>
      </w:r>
      <w:r>
        <w:rPr>
          <w:noProof/>
        </w:rPr>
        <w:t>427</w:t>
      </w:r>
    </w:p>
    <w:p w:rsidR="002002F4" w:rsidRDefault="002002F4" w:rsidP="002002F4">
      <w:pPr>
        <w:ind w:firstLine="0"/>
        <w:rPr>
          <w:noProof/>
        </w:rPr>
      </w:pPr>
      <w:r>
        <w:rPr>
          <w:noProof/>
          <w:rtl/>
        </w:rPr>
        <w:t xml:space="preserve">الشيرازي، </w:t>
      </w:r>
      <w:r>
        <w:rPr>
          <w:noProof/>
        </w:rPr>
        <w:t>340</w:t>
      </w:r>
      <w:r>
        <w:rPr>
          <w:noProof/>
          <w:rtl/>
        </w:rPr>
        <w:t xml:space="preserve">، </w:t>
      </w:r>
      <w:r>
        <w:rPr>
          <w:noProof/>
        </w:rPr>
        <w:t>353</w:t>
      </w:r>
    </w:p>
    <w:p w:rsidR="002002F4" w:rsidRDefault="002002F4" w:rsidP="002002F4">
      <w:pPr>
        <w:ind w:firstLine="0"/>
        <w:rPr>
          <w:noProof/>
        </w:rPr>
      </w:pPr>
      <w:r>
        <w:rPr>
          <w:noProof/>
          <w:rtl/>
        </w:rPr>
        <w:t xml:space="preserve">الشيرازي، السيّد عبد الله، </w:t>
      </w:r>
      <w:r>
        <w:rPr>
          <w:noProof/>
        </w:rPr>
        <w:t>317</w:t>
      </w:r>
      <w:r>
        <w:rPr>
          <w:noProof/>
          <w:rtl/>
        </w:rPr>
        <w:t xml:space="preserve">، </w:t>
      </w:r>
      <w:r>
        <w:rPr>
          <w:noProof/>
        </w:rPr>
        <w:t>325</w:t>
      </w:r>
      <w:r>
        <w:rPr>
          <w:noProof/>
          <w:rtl/>
        </w:rPr>
        <w:t xml:space="preserve">، </w:t>
      </w:r>
      <w:r>
        <w:rPr>
          <w:noProof/>
        </w:rPr>
        <w:t>327</w:t>
      </w:r>
      <w:r>
        <w:rPr>
          <w:noProof/>
          <w:rtl/>
        </w:rPr>
        <w:t xml:space="preserve">، </w:t>
      </w:r>
      <w:r>
        <w:rPr>
          <w:noProof/>
        </w:rPr>
        <w:t>377</w:t>
      </w:r>
    </w:p>
    <w:p w:rsidR="002002F4" w:rsidRDefault="002002F4" w:rsidP="002002F4">
      <w:pPr>
        <w:ind w:firstLine="0"/>
        <w:rPr>
          <w:noProof/>
        </w:rPr>
      </w:pPr>
      <w:r>
        <w:rPr>
          <w:noProof/>
          <w:rtl/>
        </w:rPr>
        <w:t xml:space="preserve">الصابري الهمداني، الشيخ أحمد، </w:t>
      </w:r>
      <w:r>
        <w:rPr>
          <w:noProof/>
        </w:rPr>
        <w:t>132</w:t>
      </w:r>
      <w:r>
        <w:rPr>
          <w:noProof/>
          <w:rtl/>
        </w:rPr>
        <w:t xml:space="preserve">، </w:t>
      </w:r>
      <w:r>
        <w:rPr>
          <w:noProof/>
        </w:rPr>
        <w:t>303</w:t>
      </w:r>
      <w:r>
        <w:rPr>
          <w:noProof/>
          <w:rtl/>
        </w:rPr>
        <w:t xml:space="preserve">، </w:t>
      </w:r>
      <w:r>
        <w:rPr>
          <w:noProof/>
        </w:rPr>
        <w:t>321</w:t>
      </w:r>
      <w:r>
        <w:rPr>
          <w:noProof/>
          <w:rtl/>
        </w:rPr>
        <w:t xml:space="preserve">، </w:t>
      </w:r>
      <w:r>
        <w:rPr>
          <w:noProof/>
        </w:rPr>
        <w:t>334</w:t>
      </w:r>
      <w:r>
        <w:rPr>
          <w:noProof/>
          <w:rtl/>
        </w:rPr>
        <w:t xml:space="preserve">، </w:t>
      </w:r>
      <w:r>
        <w:rPr>
          <w:noProof/>
        </w:rPr>
        <w:t>346</w:t>
      </w:r>
      <w:r>
        <w:rPr>
          <w:noProof/>
          <w:rtl/>
        </w:rPr>
        <w:t xml:space="preserve">، </w:t>
      </w:r>
      <w:r>
        <w:rPr>
          <w:noProof/>
        </w:rPr>
        <w:t>377</w:t>
      </w:r>
    </w:p>
    <w:p w:rsidR="002002F4" w:rsidRDefault="002002F4" w:rsidP="002002F4">
      <w:pPr>
        <w:ind w:firstLine="0"/>
        <w:rPr>
          <w:noProof/>
        </w:rPr>
      </w:pPr>
      <w:r>
        <w:rPr>
          <w:noProof/>
          <w:rtl/>
        </w:rPr>
        <w:t xml:space="preserve">صاحب الجواهر </w:t>
      </w:r>
      <w:r>
        <w:rPr>
          <w:noProof/>
        </w:rPr>
        <w:t>=</w:t>
      </w:r>
      <w:r>
        <w:rPr>
          <w:noProof/>
          <w:rtl/>
        </w:rPr>
        <w:t xml:space="preserve"> </w:t>
      </w:r>
      <w:r>
        <w:rPr>
          <w:rFonts w:hint="cs"/>
          <w:noProof/>
          <w:rtl/>
        </w:rPr>
        <w:t>النجفي، الشيخ محمّد حسن</w:t>
      </w:r>
    </w:p>
    <w:p w:rsidR="002002F4" w:rsidRDefault="002002F4" w:rsidP="002002F4">
      <w:pPr>
        <w:ind w:firstLine="0"/>
        <w:rPr>
          <w:noProof/>
        </w:rPr>
      </w:pPr>
      <w:r>
        <w:rPr>
          <w:noProof/>
          <w:rtl/>
        </w:rPr>
        <w:t xml:space="preserve">صاحب الزمان </w:t>
      </w:r>
      <w:r>
        <w:rPr>
          <w:noProof/>
        </w:rPr>
        <w:t>=</w:t>
      </w:r>
      <w:r>
        <w:rPr>
          <w:noProof/>
          <w:rtl/>
        </w:rPr>
        <w:t xml:space="preserve"> </w:t>
      </w:r>
      <w:r>
        <w:rPr>
          <w:rFonts w:hint="cs"/>
          <w:noProof/>
          <w:rtl/>
        </w:rPr>
        <w:t>الإمام المهدي(عج)</w:t>
      </w:r>
    </w:p>
    <w:p w:rsidR="002002F4" w:rsidRDefault="002002F4" w:rsidP="002002F4">
      <w:pPr>
        <w:ind w:firstLine="0"/>
        <w:rPr>
          <w:noProof/>
        </w:rPr>
      </w:pPr>
      <w:r>
        <w:rPr>
          <w:noProof/>
          <w:rtl/>
        </w:rPr>
        <w:t>صاحب العناوين = المراغي، سيد عبدالفتاح</w:t>
      </w:r>
    </w:p>
    <w:p w:rsidR="002002F4" w:rsidRDefault="002002F4" w:rsidP="002002F4">
      <w:pPr>
        <w:ind w:firstLine="0"/>
        <w:rPr>
          <w:noProof/>
        </w:rPr>
      </w:pPr>
      <w:r>
        <w:rPr>
          <w:noProof/>
          <w:rtl/>
        </w:rPr>
        <w:t>صاحب الکفاية = آخوند الخراساني، محمّدکاظم</w:t>
      </w:r>
    </w:p>
    <w:p w:rsidR="002002F4" w:rsidRDefault="002002F4" w:rsidP="002002F4">
      <w:pPr>
        <w:ind w:firstLine="0"/>
        <w:rPr>
          <w:noProof/>
        </w:rPr>
      </w:pPr>
      <w:r>
        <w:rPr>
          <w:noProof/>
          <w:rtl/>
        </w:rPr>
        <w:t xml:space="preserve">صاحب خزائن الأحکام </w:t>
      </w:r>
      <w:r>
        <w:rPr>
          <w:noProof/>
        </w:rPr>
        <w:t>=</w:t>
      </w:r>
      <w:r>
        <w:rPr>
          <w:noProof/>
          <w:rtl/>
        </w:rPr>
        <w:t xml:space="preserve"> </w:t>
      </w:r>
      <w:r>
        <w:rPr>
          <w:rFonts w:hint="cs"/>
          <w:noProof/>
          <w:rtl/>
        </w:rPr>
        <w:t>فاضل الدربندي، مولي آقا بن عابد</w:t>
      </w:r>
    </w:p>
    <w:p w:rsidR="002002F4" w:rsidRDefault="002002F4" w:rsidP="002002F4">
      <w:pPr>
        <w:ind w:firstLine="0"/>
        <w:rPr>
          <w:noProof/>
        </w:rPr>
      </w:pPr>
      <w:r>
        <w:rPr>
          <w:noProof/>
          <w:rtl/>
        </w:rPr>
        <w:t>صاحب مفتاح الکرامة = العاملي، سيد محمّد جواد</w:t>
      </w:r>
    </w:p>
    <w:p w:rsidR="002002F4" w:rsidRDefault="002002F4" w:rsidP="002002F4">
      <w:pPr>
        <w:ind w:firstLine="0"/>
        <w:rPr>
          <w:noProof/>
        </w:rPr>
      </w:pPr>
      <w:r>
        <w:rPr>
          <w:noProof/>
          <w:rtl/>
        </w:rPr>
        <w:t>صافي الگلپايگاني،</w:t>
      </w:r>
      <w:r>
        <w:rPr>
          <w:rFonts w:ascii="Times New Roman" w:hAnsi="Times New Roman" w:cs="Times New Roman" w:hint="cs"/>
          <w:noProof/>
          <w:rtl/>
        </w:rPr>
        <w:t>‌</w:t>
      </w:r>
      <w:r>
        <w:rPr>
          <w:rFonts w:ascii="Mosawi" w:hAnsi="Mosawi" w:hint="cs"/>
          <w:noProof/>
          <w:rtl/>
        </w:rPr>
        <w:t>لطف</w:t>
      </w:r>
      <w:r>
        <w:rPr>
          <w:noProof/>
          <w:rtl/>
        </w:rPr>
        <w:t xml:space="preserve"> </w:t>
      </w:r>
      <w:r>
        <w:rPr>
          <w:rFonts w:ascii="Mosawi" w:hAnsi="Mosawi" w:hint="cs"/>
          <w:noProof/>
          <w:rtl/>
        </w:rPr>
        <w:t>الله،</w:t>
      </w:r>
      <w:r>
        <w:rPr>
          <w:noProof/>
          <w:rtl/>
        </w:rPr>
        <w:t xml:space="preserve"> </w:t>
      </w:r>
      <w:r>
        <w:rPr>
          <w:noProof/>
        </w:rPr>
        <w:t>232</w:t>
      </w:r>
      <w:r>
        <w:rPr>
          <w:noProof/>
          <w:rtl/>
        </w:rPr>
        <w:t xml:space="preserve">، </w:t>
      </w:r>
      <w:r>
        <w:rPr>
          <w:noProof/>
        </w:rPr>
        <w:t>376</w:t>
      </w:r>
      <w:r>
        <w:rPr>
          <w:noProof/>
          <w:rtl/>
        </w:rPr>
        <w:t xml:space="preserve">، </w:t>
      </w:r>
      <w:r>
        <w:rPr>
          <w:noProof/>
        </w:rPr>
        <w:t>434</w:t>
      </w:r>
    </w:p>
    <w:p w:rsidR="002002F4" w:rsidRDefault="002002F4" w:rsidP="002002F4">
      <w:pPr>
        <w:ind w:firstLine="0"/>
        <w:rPr>
          <w:noProof/>
        </w:rPr>
      </w:pPr>
      <w:r>
        <w:rPr>
          <w:noProof/>
          <w:rtl/>
        </w:rPr>
        <w:t xml:space="preserve">صالح المؤمنين </w:t>
      </w:r>
      <w:r>
        <w:rPr>
          <w:noProof/>
        </w:rPr>
        <w:t>=</w:t>
      </w:r>
      <w:r>
        <w:rPr>
          <w:noProof/>
          <w:rtl/>
        </w:rPr>
        <w:t xml:space="preserve"> </w:t>
      </w:r>
      <w:r>
        <w:rPr>
          <w:rFonts w:hint="cs"/>
          <w:noProof/>
          <w:rtl/>
        </w:rPr>
        <w:t>الإمام علي بن أبي طالب(ع)</w:t>
      </w:r>
    </w:p>
    <w:p w:rsidR="002002F4" w:rsidRDefault="002002F4" w:rsidP="002002F4">
      <w:pPr>
        <w:ind w:firstLine="0"/>
        <w:rPr>
          <w:noProof/>
          <w:rtl/>
        </w:rPr>
      </w:pPr>
      <w:r>
        <w:rPr>
          <w:noProof/>
          <w:rtl/>
        </w:rPr>
        <w:t xml:space="preserve">صالح، صبحي، </w:t>
      </w:r>
      <w:r>
        <w:rPr>
          <w:noProof/>
        </w:rPr>
        <w:t>114</w:t>
      </w:r>
    </w:p>
    <w:p w:rsidR="002002F4" w:rsidRDefault="002002F4" w:rsidP="002002F4">
      <w:pPr>
        <w:ind w:firstLine="0"/>
        <w:rPr>
          <w:noProof/>
        </w:rPr>
      </w:pPr>
      <w:r>
        <w:rPr>
          <w:noProof/>
          <w:rtl/>
        </w:rPr>
        <w:t xml:space="preserve">صالح، محسن، </w:t>
      </w:r>
      <w:r>
        <w:rPr>
          <w:noProof/>
        </w:rPr>
        <w:t>18</w:t>
      </w:r>
    </w:p>
    <w:p w:rsidR="002002F4" w:rsidRDefault="002002F4" w:rsidP="002002F4">
      <w:pPr>
        <w:ind w:firstLine="0"/>
        <w:rPr>
          <w:noProof/>
        </w:rPr>
      </w:pPr>
      <w:r>
        <w:rPr>
          <w:noProof/>
          <w:rtl/>
        </w:rPr>
        <w:t>صالحي النجف آبادي، نعمت</w:t>
      </w:r>
      <w:r>
        <w:rPr>
          <w:rFonts w:ascii="Times New Roman" w:hAnsi="Times New Roman" w:cs="Times New Roman" w:hint="cs"/>
          <w:noProof/>
          <w:rtl/>
        </w:rPr>
        <w:t>‌</w:t>
      </w:r>
      <w:r>
        <w:rPr>
          <w:rFonts w:ascii="Mosawi" w:hAnsi="Mosawi" w:hint="cs"/>
          <w:noProof/>
          <w:rtl/>
        </w:rPr>
        <w:t>الله،</w:t>
      </w:r>
      <w:r>
        <w:rPr>
          <w:noProof/>
          <w:rtl/>
        </w:rPr>
        <w:t xml:space="preserve"> </w:t>
      </w:r>
      <w:r>
        <w:rPr>
          <w:noProof/>
        </w:rPr>
        <w:t>253</w:t>
      </w:r>
    </w:p>
    <w:p w:rsidR="002002F4" w:rsidRDefault="002002F4" w:rsidP="002002F4">
      <w:pPr>
        <w:ind w:firstLine="0"/>
        <w:rPr>
          <w:noProof/>
        </w:rPr>
      </w:pPr>
      <w:r>
        <w:rPr>
          <w:noProof/>
          <w:rtl/>
        </w:rPr>
        <w:t xml:space="preserve">الصدر، السيّد محمّد باقر، </w:t>
      </w:r>
      <w:r>
        <w:rPr>
          <w:noProof/>
        </w:rPr>
        <w:t>180</w:t>
      </w:r>
      <w:r>
        <w:rPr>
          <w:noProof/>
          <w:rtl/>
        </w:rPr>
        <w:t xml:space="preserve">، </w:t>
      </w:r>
      <w:r>
        <w:rPr>
          <w:noProof/>
        </w:rPr>
        <w:t>388</w:t>
      </w:r>
      <w:r>
        <w:rPr>
          <w:noProof/>
          <w:rtl/>
        </w:rPr>
        <w:t xml:space="preserve">، </w:t>
      </w:r>
      <w:r>
        <w:rPr>
          <w:noProof/>
        </w:rPr>
        <w:t>389</w:t>
      </w:r>
    </w:p>
    <w:p w:rsidR="002002F4" w:rsidRDefault="002002F4" w:rsidP="002002F4">
      <w:pPr>
        <w:ind w:firstLine="0"/>
        <w:rPr>
          <w:noProof/>
        </w:rPr>
      </w:pPr>
      <w:r>
        <w:rPr>
          <w:noProof/>
          <w:rtl/>
        </w:rPr>
        <w:t xml:space="preserve">الصدوقي، محمّد، </w:t>
      </w:r>
      <w:r>
        <w:rPr>
          <w:noProof/>
        </w:rPr>
        <w:t>223</w:t>
      </w:r>
    </w:p>
    <w:p w:rsidR="002002F4" w:rsidRDefault="002002F4" w:rsidP="002002F4">
      <w:pPr>
        <w:ind w:firstLine="0"/>
        <w:rPr>
          <w:noProof/>
        </w:rPr>
      </w:pPr>
      <w:r>
        <w:rPr>
          <w:noProof/>
          <w:rtl/>
        </w:rPr>
        <w:t>الصدوقين = ابن بابويه القمي، أبوجعفر محمّد بن علي</w:t>
      </w:r>
    </w:p>
    <w:p w:rsidR="002002F4" w:rsidRDefault="002002F4" w:rsidP="002002F4">
      <w:pPr>
        <w:ind w:firstLine="0"/>
        <w:rPr>
          <w:noProof/>
        </w:rPr>
      </w:pPr>
      <w:r>
        <w:rPr>
          <w:noProof/>
          <w:rtl/>
        </w:rPr>
        <w:t>الصدوقين = ابن بابويه القمي، علي</w:t>
      </w:r>
    </w:p>
    <w:p w:rsidR="002002F4" w:rsidRDefault="002002F4" w:rsidP="002002F4">
      <w:pPr>
        <w:ind w:firstLine="0"/>
        <w:rPr>
          <w:noProof/>
        </w:rPr>
      </w:pPr>
      <w:r>
        <w:rPr>
          <w:noProof/>
          <w:rtl/>
        </w:rPr>
        <w:t xml:space="preserve">الصرّامي، سيف الله، </w:t>
      </w:r>
      <w:r>
        <w:rPr>
          <w:noProof/>
        </w:rPr>
        <w:t>277</w:t>
      </w:r>
    </w:p>
    <w:p w:rsidR="002002F4" w:rsidRDefault="002002F4" w:rsidP="002002F4">
      <w:pPr>
        <w:ind w:firstLine="0"/>
        <w:rPr>
          <w:noProof/>
        </w:rPr>
      </w:pPr>
      <w:r>
        <w:rPr>
          <w:noProof/>
          <w:rtl/>
        </w:rPr>
        <w:t xml:space="preserve">صفوان بن يحيى، </w:t>
      </w:r>
      <w:r>
        <w:rPr>
          <w:noProof/>
        </w:rPr>
        <w:t>344</w:t>
      </w:r>
      <w:r>
        <w:rPr>
          <w:noProof/>
          <w:rtl/>
        </w:rPr>
        <w:t xml:space="preserve">، </w:t>
      </w:r>
      <w:r>
        <w:rPr>
          <w:noProof/>
        </w:rPr>
        <w:t>370</w:t>
      </w:r>
    </w:p>
    <w:p w:rsidR="002002F4" w:rsidRDefault="002002F4" w:rsidP="002002F4">
      <w:pPr>
        <w:ind w:firstLine="0"/>
        <w:rPr>
          <w:noProof/>
        </w:rPr>
      </w:pPr>
      <w:r>
        <w:rPr>
          <w:noProof/>
          <w:rtl/>
        </w:rPr>
        <w:t xml:space="preserve">الصفوي، الشاه سلطان حسين، </w:t>
      </w:r>
      <w:r>
        <w:rPr>
          <w:noProof/>
        </w:rPr>
        <w:t>129</w:t>
      </w:r>
      <w:r>
        <w:rPr>
          <w:noProof/>
          <w:rtl/>
        </w:rPr>
        <w:t xml:space="preserve">، </w:t>
      </w:r>
      <w:r>
        <w:rPr>
          <w:noProof/>
        </w:rPr>
        <w:t>200</w:t>
      </w:r>
    </w:p>
    <w:p w:rsidR="002002F4" w:rsidRDefault="002002F4" w:rsidP="002002F4">
      <w:pPr>
        <w:ind w:firstLine="0"/>
        <w:rPr>
          <w:noProof/>
        </w:rPr>
      </w:pPr>
      <w:r>
        <w:rPr>
          <w:noProof/>
          <w:rtl/>
        </w:rPr>
        <w:t xml:space="preserve">طالوت، </w:t>
      </w:r>
      <w:r>
        <w:rPr>
          <w:noProof/>
        </w:rPr>
        <w:t>94</w:t>
      </w:r>
      <w:r>
        <w:rPr>
          <w:noProof/>
          <w:rtl/>
        </w:rPr>
        <w:t xml:space="preserve">، </w:t>
      </w:r>
      <w:r>
        <w:rPr>
          <w:noProof/>
        </w:rPr>
        <w:t>316</w:t>
      </w:r>
      <w:r>
        <w:rPr>
          <w:noProof/>
          <w:rtl/>
        </w:rPr>
        <w:t xml:space="preserve">، </w:t>
      </w:r>
      <w:r>
        <w:rPr>
          <w:noProof/>
        </w:rPr>
        <w:t>317</w:t>
      </w:r>
    </w:p>
    <w:p w:rsidR="002002F4" w:rsidRDefault="002002F4" w:rsidP="002002F4">
      <w:pPr>
        <w:ind w:firstLine="0"/>
        <w:rPr>
          <w:noProof/>
          <w:rtl/>
        </w:rPr>
      </w:pPr>
      <w:r>
        <w:rPr>
          <w:noProof/>
          <w:rtl/>
        </w:rPr>
        <w:t xml:space="preserve">طاهري خرم آبادي، السيّد حسن، </w:t>
      </w:r>
      <w:r>
        <w:rPr>
          <w:noProof/>
        </w:rPr>
        <w:t>119</w:t>
      </w:r>
    </w:p>
    <w:p w:rsidR="002002F4" w:rsidRDefault="002002F4" w:rsidP="002002F4">
      <w:pPr>
        <w:ind w:firstLine="0"/>
        <w:rPr>
          <w:noProof/>
        </w:rPr>
      </w:pPr>
      <w:r>
        <w:rPr>
          <w:noProof/>
          <w:rtl/>
        </w:rPr>
        <w:t xml:space="preserve">الطباطبائي البروجردي، السيّد حسين، </w:t>
      </w:r>
      <w:r>
        <w:rPr>
          <w:noProof/>
        </w:rPr>
        <w:t>59</w:t>
      </w:r>
      <w:r>
        <w:rPr>
          <w:noProof/>
          <w:rtl/>
        </w:rPr>
        <w:t xml:space="preserve">، </w:t>
      </w:r>
      <w:r>
        <w:rPr>
          <w:noProof/>
        </w:rPr>
        <w:t>132</w:t>
      </w:r>
      <w:r>
        <w:rPr>
          <w:noProof/>
          <w:rtl/>
        </w:rPr>
        <w:t xml:space="preserve">، </w:t>
      </w:r>
      <w:r>
        <w:rPr>
          <w:noProof/>
        </w:rPr>
        <w:t>157</w:t>
      </w:r>
      <w:r>
        <w:rPr>
          <w:noProof/>
          <w:rtl/>
        </w:rPr>
        <w:t xml:space="preserve">، </w:t>
      </w:r>
      <w:r>
        <w:rPr>
          <w:noProof/>
        </w:rPr>
        <w:t>298</w:t>
      </w:r>
      <w:r>
        <w:rPr>
          <w:noProof/>
          <w:rtl/>
        </w:rPr>
        <w:t xml:space="preserve">، </w:t>
      </w:r>
      <w:r>
        <w:rPr>
          <w:noProof/>
        </w:rPr>
        <w:t>382</w:t>
      </w:r>
      <w:r>
        <w:rPr>
          <w:noProof/>
          <w:rtl/>
        </w:rPr>
        <w:t xml:space="preserve">، </w:t>
      </w:r>
      <w:r>
        <w:rPr>
          <w:noProof/>
        </w:rPr>
        <w:t>419</w:t>
      </w:r>
      <w:r>
        <w:rPr>
          <w:noProof/>
          <w:rtl/>
        </w:rPr>
        <w:t xml:space="preserve">، </w:t>
      </w:r>
      <w:r>
        <w:rPr>
          <w:noProof/>
        </w:rPr>
        <w:t>441</w:t>
      </w:r>
      <w:r>
        <w:rPr>
          <w:noProof/>
          <w:rtl/>
        </w:rPr>
        <w:t xml:space="preserve">، </w:t>
      </w:r>
      <w:r>
        <w:rPr>
          <w:noProof/>
        </w:rPr>
        <w:t>443</w:t>
      </w:r>
    </w:p>
    <w:p w:rsidR="002002F4" w:rsidRDefault="002002F4" w:rsidP="002002F4">
      <w:pPr>
        <w:ind w:firstLine="0"/>
        <w:rPr>
          <w:noProof/>
        </w:rPr>
      </w:pPr>
      <w:r>
        <w:rPr>
          <w:noProof/>
          <w:rtl/>
        </w:rPr>
        <w:t xml:space="preserve">الطباطبائي اليزدي، السيّد محمّد كاظم، </w:t>
      </w:r>
      <w:r>
        <w:rPr>
          <w:noProof/>
        </w:rPr>
        <w:t>74</w:t>
      </w:r>
      <w:r>
        <w:rPr>
          <w:noProof/>
          <w:rtl/>
        </w:rPr>
        <w:t xml:space="preserve">، </w:t>
      </w:r>
      <w:r>
        <w:rPr>
          <w:noProof/>
        </w:rPr>
        <w:t>75</w:t>
      </w:r>
      <w:r>
        <w:rPr>
          <w:noProof/>
          <w:rtl/>
        </w:rPr>
        <w:t xml:space="preserve">، </w:t>
      </w:r>
      <w:r>
        <w:rPr>
          <w:noProof/>
        </w:rPr>
        <w:t>76</w:t>
      </w:r>
      <w:r>
        <w:rPr>
          <w:noProof/>
          <w:rtl/>
        </w:rPr>
        <w:t xml:space="preserve">، </w:t>
      </w:r>
      <w:r>
        <w:rPr>
          <w:noProof/>
        </w:rPr>
        <w:t>78</w:t>
      </w:r>
      <w:r>
        <w:rPr>
          <w:noProof/>
          <w:rtl/>
        </w:rPr>
        <w:t xml:space="preserve">، </w:t>
      </w:r>
      <w:r>
        <w:rPr>
          <w:noProof/>
        </w:rPr>
        <w:t>162</w:t>
      </w:r>
      <w:r>
        <w:rPr>
          <w:noProof/>
          <w:rtl/>
        </w:rPr>
        <w:t xml:space="preserve">، </w:t>
      </w:r>
      <w:r>
        <w:rPr>
          <w:noProof/>
        </w:rPr>
        <w:t>275</w:t>
      </w:r>
      <w:r>
        <w:rPr>
          <w:noProof/>
          <w:rtl/>
        </w:rPr>
        <w:t xml:space="preserve">، </w:t>
      </w:r>
      <w:r>
        <w:rPr>
          <w:noProof/>
        </w:rPr>
        <w:t>276</w:t>
      </w:r>
    </w:p>
    <w:p w:rsidR="002002F4" w:rsidRDefault="002002F4" w:rsidP="002002F4">
      <w:pPr>
        <w:ind w:firstLine="0"/>
        <w:rPr>
          <w:noProof/>
        </w:rPr>
      </w:pPr>
      <w:r>
        <w:rPr>
          <w:noProof/>
          <w:rtl/>
        </w:rPr>
        <w:t xml:space="preserve">الطباطبائي، السيّد جواد، </w:t>
      </w:r>
      <w:r>
        <w:rPr>
          <w:noProof/>
        </w:rPr>
        <w:t>53</w:t>
      </w:r>
    </w:p>
    <w:p w:rsidR="002002F4" w:rsidRDefault="002002F4" w:rsidP="002002F4">
      <w:pPr>
        <w:ind w:firstLine="0"/>
        <w:rPr>
          <w:noProof/>
        </w:rPr>
      </w:pPr>
      <w:r>
        <w:rPr>
          <w:noProof/>
          <w:rtl/>
        </w:rPr>
        <w:t xml:space="preserve">الطباطبائي، السيّد علي، </w:t>
      </w:r>
      <w:r>
        <w:rPr>
          <w:noProof/>
        </w:rPr>
        <w:t>295</w:t>
      </w:r>
      <w:r>
        <w:rPr>
          <w:noProof/>
          <w:rtl/>
        </w:rPr>
        <w:t xml:space="preserve">، </w:t>
      </w:r>
      <w:r>
        <w:rPr>
          <w:noProof/>
        </w:rPr>
        <w:t>415</w:t>
      </w:r>
    </w:p>
    <w:p w:rsidR="002002F4" w:rsidRDefault="002002F4" w:rsidP="002002F4">
      <w:pPr>
        <w:ind w:firstLine="0"/>
        <w:rPr>
          <w:noProof/>
        </w:rPr>
      </w:pPr>
      <w:r>
        <w:rPr>
          <w:noProof/>
          <w:rtl/>
        </w:rPr>
        <w:t xml:space="preserve">الطباطبائي، السيّد محمّد حسين، </w:t>
      </w:r>
      <w:r>
        <w:rPr>
          <w:noProof/>
        </w:rPr>
        <w:t>59</w:t>
      </w:r>
      <w:r>
        <w:rPr>
          <w:noProof/>
          <w:rtl/>
        </w:rPr>
        <w:t xml:space="preserve">، </w:t>
      </w:r>
      <w:r>
        <w:rPr>
          <w:noProof/>
        </w:rPr>
        <w:t>61</w:t>
      </w:r>
      <w:r>
        <w:rPr>
          <w:noProof/>
          <w:rtl/>
        </w:rPr>
        <w:t xml:space="preserve">، </w:t>
      </w:r>
      <w:r>
        <w:rPr>
          <w:noProof/>
        </w:rPr>
        <w:t>94</w:t>
      </w:r>
      <w:r>
        <w:rPr>
          <w:noProof/>
          <w:rtl/>
        </w:rPr>
        <w:t xml:space="preserve">، </w:t>
      </w:r>
      <w:r>
        <w:rPr>
          <w:noProof/>
        </w:rPr>
        <w:t>97</w:t>
      </w:r>
      <w:r>
        <w:rPr>
          <w:noProof/>
          <w:rtl/>
        </w:rPr>
        <w:t xml:space="preserve">، </w:t>
      </w:r>
      <w:r>
        <w:rPr>
          <w:noProof/>
        </w:rPr>
        <w:t>99</w:t>
      </w:r>
      <w:r>
        <w:rPr>
          <w:noProof/>
          <w:rtl/>
        </w:rPr>
        <w:t xml:space="preserve">، </w:t>
      </w:r>
      <w:r>
        <w:rPr>
          <w:noProof/>
        </w:rPr>
        <w:t>400</w:t>
      </w:r>
      <w:r>
        <w:rPr>
          <w:noProof/>
          <w:rtl/>
        </w:rPr>
        <w:t xml:space="preserve">، </w:t>
      </w:r>
      <w:r>
        <w:rPr>
          <w:noProof/>
        </w:rPr>
        <w:t>401</w:t>
      </w:r>
      <w:r>
        <w:rPr>
          <w:noProof/>
          <w:rtl/>
        </w:rPr>
        <w:t xml:space="preserve">، </w:t>
      </w:r>
      <w:r>
        <w:rPr>
          <w:noProof/>
        </w:rPr>
        <w:t>402</w:t>
      </w:r>
      <w:r>
        <w:rPr>
          <w:noProof/>
          <w:rtl/>
        </w:rPr>
        <w:t xml:space="preserve">، </w:t>
      </w:r>
      <w:r>
        <w:rPr>
          <w:noProof/>
        </w:rPr>
        <w:t>423</w:t>
      </w:r>
      <w:r>
        <w:rPr>
          <w:noProof/>
          <w:rtl/>
        </w:rPr>
        <w:t xml:space="preserve">، </w:t>
      </w:r>
      <w:r>
        <w:rPr>
          <w:noProof/>
        </w:rPr>
        <w:t>439</w:t>
      </w:r>
    </w:p>
    <w:p w:rsidR="002002F4" w:rsidRDefault="002002F4" w:rsidP="002002F4">
      <w:pPr>
        <w:ind w:firstLine="0"/>
        <w:rPr>
          <w:noProof/>
        </w:rPr>
      </w:pPr>
      <w:r>
        <w:rPr>
          <w:noProof/>
          <w:rtl/>
        </w:rPr>
        <w:t xml:space="preserve">الطباطبائي، صادق، </w:t>
      </w:r>
      <w:r>
        <w:rPr>
          <w:noProof/>
        </w:rPr>
        <w:t>229</w:t>
      </w:r>
    </w:p>
    <w:p w:rsidR="002002F4" w:rsidRDefault="002002F4" w:rsidP="002002F4">
      <w:pPr>
        <w:ind w:firstLine="0"/>
        <w:rPr>
          <w:noProof/>
          <w:rtl/>
        </w:rPr>
      </w:pPr>
      <w:r>
        <w:rPr>
          <w:noProof/>
          <w:rtl/>
        </w:rPr>
        <w:t xml:space="preserve">الطبراني، سليمان بن أحمد، </w:t>
      </w:r>
      <w:r>
        <w:rPr>
          <w:noProof/>
        </w:rPr>
        <w:t>95</w:t>
      </w:r>
    </w:p>
    <w:p w:rsidR="002002F4" w:rsidRDefault="002002F4" w:rsidP="002002F4">
      <w:pPr>
        <w:ind w:firstLine="0"/>
        <w:rPr>
          <w:noProof/>
        </w:rPr>
      </w:pPr>
      <w:r>
        <w:rPr>
          <w:noProof/>
          <w:rtl/>
        </w:rPr>
        <w:t xml:space="preserve">الطبرسي، أبو علي فضل بن حسن، </w:t>
      </w:r>
      <w:r>
        <w:rPr>
          <w:noProof/>
        </w:rPr>
        <w:t>88</w:t>
      </w:r>
      <w:r>
        <w:rPr>
          <w:noProof/>
          <w:rtl/>
        </w:rPr>
        <w:t xml:space="preserve">، </w:t>
      </w:r>
      <w:r>
        <w:rPr>
          <w:noProof/>
        </w:rPr>
        <w:t>92</w:t>
      </w:r>
      <w:r>
        <w:rPr>
          <w:noProof/>
          <w:rtl/>
        </w:rPr>
        <w:t xml:space="preserve">، </w:t>
      </w:r>
      <w:r>
        <w:rPr>
          <w:noProof/>
        </w:rPr>
        <w:t>94</w:t>
      </w:r>
      <w:r>
        <w:rPr>
          <w:noProof/>
          <w:rtl/>
        </w:rPr>
        <w:t xml:space="preserve">، </w:t>
      </w:r>
      <w:r>
        <w:rPr>
          <w:noProof/>
        </w:rPr>
        <w:t>97</w:t>
      </w:r>
      <w:r>
        <w:rPr>
          <w:noProof/>
          <w:rtl/>
        </w:rPr>
        <w:t xml:space="preserve">، </w:t>
      </w:r>
      <w:r>
        <w:rPr>
          <w:noProof/>
        </w:rPr>
        <w:t>123</w:t>
      </w:r>
      <w:r>
        <w:rPr>
          <w:noProof/>
          <w:rtl/>
        </w:rPr>
        <w:t xml:space="preserve">، </w:t>
      </w:r>
      <w:r>
        <w:rPr>
          <w:noProof/>
        </w:rPr>
        <w:t>316</w:t>
      </w:r>
      <w:r>
        <w:rPr>
          <w:noProof/>
          <w:rtl/>
        </w:rPr>
        <w:t xml:space="preserve">، </w:t>
      </w:r>
      <w:r>
        <w:rPr>
          <w:noProof/>
        </w:rPr>
        <w:t>320</w:t>
      </w:r>
      <w:r>
        <w:rPr>
          <w:noProof/>
          <w:rtl/>
        </w:rPr>
        <w:t xml:space="preserve">، </w:t>
      </w:r>
      <w:r>
        <w:rPr>
          <w:noProof/>
        </w:rPr>
        <w:t>328</w:t>
      </w:r>
      <w:r>
        <w:rPr>
          <w:noProof/>
          <w:rtl/>
        </w:rPr>
        <w:t xml:space="preserve">، </w:t>
      </w:r>
      <w:r>
        <w:rPr>
          <w:noProof/>
        </w:rPr>
        <w:t>376</w:t>
      </w:r>
      <w:r>
        <w:rPr>
          <w:noProof/>
          <w:rtl/>
        </w:rPr>
        <w:t xml:space="preserve">، </w:t>
      </w:r>
      <w:r>
        <w:rPr>
          <w:noProof/>
        </w:rPr>
        <w:t>400</w:t>
      </w:r>
      <w:r>
        <w:rPr>
          <w:noProof/>
          <w:rtl/>
        </w:rPr>
        <w:t xml:space="preserve">، </w:t>
      </w:r>
      <w:r>
        <w:rPr>
          <w:noProof/>
        </w:rPr>
        <w:t>401</w:t>
      </w:r>
      <w:r>
        <w:rPr>
          <w:noProof/>
          <w:rtl/>
        </w:rPr>
        <w:t xml:space="preserve">، </w:t>
      </w:r>
      <w:r>
        <w:rPr>
          <w:noProof/>
        </w:rPr>
        <w:t>410</w:t>
      </w:r>
    </w:p>
    <w:p w:rsidR="002002F4" w:rsidRDefault="002002F4" w:rsidP="002002F4">
      <w:pPr>
        <w:ind w:firstLine="0"/>
        <w:rPr>
          <w:noProof/>
        </w:rPr>
      </w:pPr>
      <w:r>
        <w:rPr>
          <w:noProof/>
          <w:rtl/>
        </w:rPr>
        <w:t xml:space="preserve">الطبري، أبي جعفر محمّد بن جرير، </w:t>
      </w:r>
      <w:r>
        <w:rPr>
          <w:noProof/>
        </w:rPr>
        <w:t>95</w:t>
      </w:r>
      <w:r>
        <w:rPr>
          <w:noProof/>
          <w:rtl/>
        </w:rPr>
        <w:t xml:space="preserve">، </w:t>
      </w:r>
      <w:r>
        <w:rPr>
          <w:noProof/>
        </w:rPr>
        <w:t>376</w:t>
      </w:r>
    </w:p>
    <w:p w:rsidR="002002F4" w:rsidRDefault="002002F4" w:rsidP="002002F4">
      <w:pPr>
        <w:ind w:firstLine="0"/>
        <w:rPr>
          <w:noProof/>
        </w:rPr>
      </w:pPr>
      <w:r>
        <w:rPr>
          <w:noProof/>
          <w:rtl/>
        </w:rPr>
        <w:t xml:space="preserve">الطهراني، الشيخ هادي، </w:t>
      </w:r>
      <w:r>
        <w:rPr>
          <w:noProof/>
        </w:rPr>
        <w:t>68</w:t>
      </w:r>
    </w:p>
    <w:p w:rsidR="002002F4" w:rsidRDefault="002002F4" w:rsidP="002002F4">
      <w:pPr>
        <w:ind w:firstLine="0"/>
        <w:rPr>
          <w:noProof/>
        </w:rPr>
      </w:pPr>
      <w:r>
        <w:rPr>
          <w:noProof/>
          <w:rtl/>
        </w:rPr>
        <w:t xml:space="preserve">العالم </w:t>
      </w:r>
      <w:r>
        <w:rPr>
          <w:noProof/>
        </w:rPr>
        <w:t>=</w:t>
      </w:r>
      <w:r>
        <w:rPr>
          <w:noProof/>
          <w:rtl/>
        </w:rPr>
        <w:t xml:space="preserve"> </w:t>
      </w:r>
      <w:r>
        <w:rPr>
          <w:rFonts w:hint="cs"/>
          <w:noProof/>
          <w:rtl/>
        </w:rPr>
        <w:t>الإمام الرضا(ع)</w:t>
      </w:r>
    </w:p>
    <w:p w:rsidR="002002F4" w:rsidRDefault="002002F4" w:rsidP="002002F4">
      <w:pPr>
        <w:ind w:firstLine="0"/>
        <w:rPr>
          <w:noProof/>
        </w:rPr>
      </w:pPr>
      <w:r>
        <w:rPr>
          <w:noProof/>
          <w:rtl/>
        </w:rPr>
        <w:t xml:space="preserve">العاملي، سيد محمّد جواد، </w:t>
      </w:r>
      <w:r>
        <w:rPr>
          <w:noProof/>
        </w:rPr>
        <w:t>415</w:t>
      </w:r>
      <w:r>
        <w:rPr>
          <w:noProof/>
          <w:rtl/>
        </w:rPr>
        <w:t xml:space="preserve">، </w:t>
      </w:r>
      <w:r>
        <w:rPr>
          <w:noProof/>
        </w:rPr>
        <w:t>416</w:t>
      </w:r>
    </w:p>
    <w:p w:rsidR="002002F4" w:rsidRDefault="002002F4" w:rsidP="002002F4">
      <w:pPr>
        <w:ind w:firstLine="0"/>
        <w:rPr>
          <w:noProof/>
        </w:rPr>
      </w:pPr>
      <w:r>
        <w:rPr>
          <w:noProof/>
          <w:rtl/>
        </w:rPr>
        <w:t xml:space="preserve">عبد الله بن ميمون القدّاح، </w:t>
      </w:r>
      <w:r>
        <w:rPr>
          <w:noProof/>
        </w:rPr>
        <w:t>318</w:t>
      </w:r>
      <w:r>
        <w:rPr>
          <w:noProof/>
          <w:rtl/>
        </w:rPr>
        <w:t xml:space="preserve">، </w:t>
      </w:r>
      <w:r>
        <w:rPr>
          <w:noProof/>
        </w:rPr>
        <w:t>319</w:t>
      </w:r>
      <w:r>
        <w:rPr>
          <w:noProof/>
          <w:rtl/>
        </w:rPr>
        <w:t xml:space="preserve">، </w:t>
      </w:r>
      <w:r>
        <w:rPr>
          <w:noProof/>
        </w:rPr>
        <w:t>322</w:t>
      </w:r>
      <w:r>
        <w:rPr>
          <w:noProof/>
          <w:rtl/>
        </w:rPr>
        <w:t xml:space="preserve">، </w:t>
      </w:r>
      <w:r>
        <w:rPr>
          <w:noProof/>
        </w:rPr>
        <w:t>325</w:t>
      </w:r>
      <w:r>
        <w:rPr>
          <w:noProof/>
          <w:rtl/>
        </w:rPr>
        <w:t xml:space="preserve">، </w:t>
      </w:r>
      <w:r>
        <w:rPr>
          <w:noProof/>
        </w:rPr>
        <w:t>326</w:t>
      </w:r>
      <w:r>
        <w:rPr>
          <w:noProof/>
          <w:rtl/>
        </w:rPr>
        <w:t xml:space="preserve">، </w:t>
      </w:r>
      <w:r>
        <w:rPr>
          <w:noProof/>
        </w:rPr>
        <w:t>393</w:t>
      </w:r>
    </w:p>
    <w:p w:rsidR="002002F4" w:rsidRDefault="002002F4" w:rsidP="002002F4">
      <w:pPr>
        <w:ind w:firstLine="0"/>
        <w:rPr>
          <w:noProof/>
        </w:rPr>
      </w:pPr>
      <w:r>
        <w:rPr>
          <w:noProof/>
          <w:rtl/>
        </w:rPr>
        <w:t xml:space="preserve">العراقي، آقا ضياء الدين، </w:t>
      </w:r>
      <w:r>
        <w:rPr>
          <w:noProof/>
        </w:rPr>
        <w:t>325</w:t>
      </w:r>
      <w:r>
        <w:rPr>
          <w:noProof/>
          <w:rtl/>
        </w:rPr>
        <w:t xml:space="preserve">، </w:t>
      </w:r>
      <w:r>
        <w:rPr>
          <w:noProof/>
        </w:rPr>
        <w:t>330</w:t>
      </w:r>
      <w:r>
        <w:rPr>
          <w:noProof/>
          <w:rtl/>
        </w:rPr>
        <w:t xml:space="preserve">، </w:t>
      </w:r>
      <w:r>
        <w:rPr>
          <w:noProof/>
        </w:rPr>
        <w:t>381</w:t>
      </w:r>
      <w:r>
        <w:rPr>
          <w:noProof/>
          <w:rtl/>
        </w:rPr>
        <w:t xml:space="preserve">، </w:t>
      </w:r>
      <w:r>
        <w:rPr>
          <w:noProof/>
        </w:rPr>
        <w:t>382</w:t>
      </w:r>
    </w:p>
    <w:p w:rsidR="002002F4" w:rsidRDefault="002002F4" w:rsidP="002002F4">
      <w:pPr>
        <w:ind w:firstLine="0"/>
        <w:rPr>
          <w:noProof/>
        </w:rPr>
      </w:pPr>
      <w:r>
        <w:rPr>
          <w:noProof/>
          <w:rtl/>
        </w:rPr>
        <w:t xml:space="preserve">العراقي، عبد الرحيم بن حسين، </w:t>
      </w:r>
      <w:r>
        <w:rPr>
          <w:noProof/>
        </w:rPr>
        <w:t>310</w:t>
      </w:r>
    </w:p>
    <w:p w:rsidR="002002F4" w:rsidRDefault="002002F4" w:rsidP="002002F4">
      <w:pPr>
        <w:ind w:firstLine="0"/>
        <w:rPr>
          <w:noProof/>
        </w:rPr>
      </w:pPr>
      <w:r>
        <w:rPr>
          <w:noProof/>
          <w:rtl/>
        </w:rPr>
        <w:t xml:space="preserve">العفيفي، أبو العلاء، </w:t>
      </w:r>
      <w:r>
        <w:rPr>
          <w:noProof/>
        </w:rPr>
        <w:t>49</w:t>
      </w:r>
    </w:p>
    <w:p w:rsidR="002002F4" w:rsidRDefault="002002F4" w:rsidP="002002F4">
      <w:pPr>
        <w:ind w:firstLine="0"/>
        <w:rPr>
          <w:noProof/>
        </w:rPr>
      </w:pPr>
      <w:r>
        <w:rPr>
          <w:noProof/>
          <w:rtl/>
        </w:rPr>
        <w:t>العلاّمة الحلي، أبو</w:t>
      </w:r>
      <w:r>
        <w:rPr>
          <w:noProof/>
          <w:color w:val="252525"/>
          <w:shd w:val="clear" w:color="auto" w:fill="FFFFFF"/>
          <w:rtl/>
        </w:rPr>
        <w:t>منصور جمال</w:t>
      </w:r>
      <w:r>
        <w:rPr>
          <w:noProof/>
          <w:color w:val="252525"/>
          <w:shd w:val="clear" w:color="auto" w:fill="FFFFFF"/>
        </w:rPr>
        <w:t>‌</w:t>
      </w:r>
      <w:r>
        <w:rPr>
          <w:noProof/>
          <w:color w:val="252525"/>
          <w:shd w:val="clear" w:color="auto" w:fill="FFFFFF"/>
          <w:rtl/>
        </w:rPr>
        <w:t>الدين، حسن بن يوسف بن مطهّر</w:t>
      </w:r>
      <w:r>
        <w:rPr>
          <w:noProof/>
          <w:rtl/>
        </w:rPr>
        <w:t xml:space="preserve">، </w:t>
      </w:r>
      <w:r>
        <w:rPr>
          <w:noProof/>
        </w:rPr>
        <w:t>28</w:t>
      </w:r>
      <w:r>
        <w:rPr>
          <w:noProof/>
          <w:rtl/>
        </w:rPr>
        <w:t xml:space="preserve">، </w:t>
      </w:r>
      <w:r>
        <w:rPr>
          <w:noProof/>
        </w:rPr>
        <w:t>58</w:t>
      </w:r>
      <w:r>
        <w:rPr>
          <w:noProof/>
          <w:rtl/>
        </w:rPr>
        <w:t xml:space="preserve">، </w:t>
      </w:r>
      <w:r>
        <w:rPr>
          <w:noProof/>
        </w:rPr>
        <w:t>59</w:t>
      </w:r>
      <w:r>
        <w:rPr>
          <w:noProof/>
          <w:rtl/>
        </w:rPr>
        <w:t xml:space="preserve">، </w:t>
      </w:r>
      <w:r>
        <w:rPr>
          <w:noProof/>
        </w:rPr>
        <w:t>127</w:t>
      </w:r>
      <w:r>
        <w:rPr>
          <w:noProof/>
          <w:rtl/>
        </w:rPr>
        <w:t xml:space="preserve">، </w:t>
      </w:r>
      <w:r>
        <w:rPr>
          <w:noProof/>
        </w:rPr>
        <w:t>272</w:t>
      </w:r>
      <w:r>
        <w:rPr>
          <w:noProof/>
          <w:rtl/>
        </w:rPr>
        <w:t xml:space="preserve">، </w:t>
      </w:r>
      <w:r>
        <w:rPr>
          <w:noProof/>
        </w:rPr>
        <w:t>295</w:t>
      </w:r>
      <w:r>
        <w:rPr>
          <w:noProof/>
          <w:rtl/>
        </w:rPr>
        <w:t xml:space="preserve">، </w:t>
      </w:r>
      <w:r>
        <w:rPr>
          <w:noProof/>
        </w:rPr>
        <w:t>357</w:t>
      </w:r>
      <w:r>
        <w:rPr>
          <w:noProof/>
          <w:rtl/>
        </w:rPr>
        <w:t xml:space="preserve">، </w:t>
      </w:r>
      <w:r>
        <w:rPr>
          <w:noProof/>
        </w:rPr>
        <w:t>364</w:t>
      </w:r>
      <w:r>
        <w:rPr>
          <w:noProof/>
          <w:rtl/>
        </w:rPr>
        <w:t xml:space="preserve">، </w:t>
      </w:r>
      <w:r>
        <w:rPr>
          <w:noProof/>
        </w:rPr>
        <w:t>366</w:t>
      </w:r>
      <w:r>
        <w:rPr>
          <w:noProof/>
          <w:rtl/>
        </w:rPr>
        <w:t xml:space="preserve">، </w:t>
      </w:r>
      <w:r>
        <w:rPr>
          <w:noProof/>
        </w:rPr>
        <w:t>427</w:t>
      </w:r>
    </w:p>
    <w:p w:rsidR="002002F4" w:rsidRDefault="002002F4" w:rsidP="002002F4">
      <w:pPr>
        <w:ind w:firstLine="0"/>
        <w:rPr>
          <w:noProof/>
        </w:rPr>
      </w:pPr>
      <w:r>
        <w:rPr>
          <w:noProof/>
          <w:rtl/>
        </w:rPr>
        <w:t xml:space="preserve">العلاّمة الطباطبائي </w:t>
      </w:r>
      <w:r>
        <w:rPr>
          <w:noProof/>
        </w:rPr>
        <w:t>=</w:t>
      </w:r>
      <w:r>
        <w:rPr>
          <w:noProof/>
          <w:rtl/>
        </w:rPr>
        <w:t xml:space="preserve"> </w:t>
      </w:r>
      <w:r>
        <w:rPr>
          <w:rFonts w:hint="cs"/>
          <w:noProof/>
          <w:rtl/>
        </w:rPr>
        <w:t>الطباطبائي، السيّد محمّد حسين</w:t>
      </w:r>
    </w:p>
    <w:p w:rsidR="002002F4" w:rsidRDefault="002002F4" w:rsidP="002002F4">
      <w:pPr>
        <w:ind w:firstLine="0"/>
        <w:rPr>
          <w:noProof/>
        </w:rPr>
      </w:pPr>
      <w:r>
        <w:rPr>
          <w:noProof/>
          <w:rtl/>
        </w:rPr>
        <w:t xml:space="preserve">العلاّمة المجلسي، محمّد تقي، </w:t>
      </w:r>
      <w:r>
        <w:rPr>
          <w:noProof/>
        </w:rPr>
        <w:t>29</w:t>
      </w:r>
      <w:r>
        <w:rPr>
          <w:noProof/>
          <w:rtl/>
        </w:rPr>
        <w:t xml:space="preserve">، </w:t>
      </w:r>
      <w:r>
        <w:rPr>
          <w:noProof/>
        </w:rPr>
        <w:t>61</w:t>
      </w:r>
      <w:r>
        <w:rPr>
          <w:noProof/>
          <w:rtl/>
        </w:rPr>
        <w:t xml:space="preserve">، </w:t>
      </w:r>
      <w:r>
        <w:rPr>
          <w:noProof/>
        </w:rPr>
        <w:t>128</w:t>
      </w:r>
      <w:r>
        <w:rPr>
          <w:noProof/>
          <w:rtl/>
        </w:rPr>
        <w:t xml:space="preserve">، </w:t>
      </w:r>
      <w:r>
        <w:rPr>
          <w:noProof/>
        </w:rPr>
        <w:t>129</w:t>
      </w:r>
    </w:p>
    <w:p w:rsidR="002002F4" w:rsidRDefault="002002F4" w:rsidP="002002F4">
      <w:pPr>
        <w:ind w:firstLine="0"/>
        <w:rPr>
          <w:noProof/>
        </w:rPr>
      </w:pPr>
      <w:r>
        <w:rPr>
          <w:noProof/>
          <w:rtl/>
        </w:rPr>
        <w:t xml:space="preserve">علي بن إبراهيم، </w:t>
      </w:r>
      <w:r>
        <w:rPr>
          <w:noProof/>
        </w:rPr>
        <w:t>312</w:t>
      </w:r>
      <w:r>
        <w:rPr>
          <w:noProof/>
          <w:rtl/>
        </w:rPr>
        <w:t xml:space="preserve">، </w:t>
      </w:r>
      <w:r>
        <w:rPr>
          <w:noProof/>
        </w:rPr>
        <w:t>347</w:t>
      </w:r>
      <w:r>
        <w:rPr>
          <w:noProof/>
          <w:rtl/>
        </w:rPr>
        <w:t xml:space="preserve">، </w:t>
      </w:r>
      <w:r>
        <w:rPr>
          <w:noProof/>
        </w:rPr>
        <w:t>370</w:t>
      </w:r>
    </w:p>
    <w:p w:rsidR="002002F4" w:rsidRDefault="002002F4" w:rsidP="002002F4">
      <w:pPr>
        <w:ind w:firstLine="0"/>
        <w:rPr>
          <w:noProof/>
        </w:rPr>
      </w:pPr>
      <w:r>
        <w:rPr>
          <w:noProof/>
          <w:rtl/>
        </w:rPr>
        <w:t xml:space="preserve">عليّ بن أبي حمزة البطائني، </w:t>
      </w:r>
      <w:r>
        <w:rPr>
          <w:noProof/>
        </w:rPr>
        <w:t>368</w:t>
      </w:r>
      <w:r>
        <w:rPr>
          <w:noProof/>
          <w:rtl/>
        </w:rPr>
        <w:t xml:space="preserve">، </w:t>
      </w:r>
      <w:r>
        <w:rPr>
          <w:noProof/>
        </w:rPr>
        <w:t>369</w:t>
      </w:r>
      <w:r>
        <w:rPr>
          <w:noProof/>
          <w:rtl/>
        </w:rPr>
        <w:t xml:space="preserve">، </w:t>
      </w:r>
      <w:r>
        <w:rPr>
          <w:noProof/>
        </w:rPr>
        <w:t>370</w:t>
      </w:r>
      <w:r>
        <w:rPr>
          <w:noProof/>
          <w:rtl/>
        </w:rPr>
        <w:t xml:space="preserve">، </w:t>
      </w:r>
      <w:r>
        <w:rPr>
          <w:noProof/>
        </w:rPr>
        <w:t>372</w:t>
      </w:r>
      <w:r>
        <w:rPr>
          <w:noProof/>
          <w:rtl/>
        </w:rPr>
        <w:t xml:space="preserve">، </w:t>
      </w:r>
      <w:r>
        <w:rPr>
          <w:noProof/>
        </w:rPr>
        <w:t>373</w:t>
      </w:r>
      <w:r>
        <w:rPr>
          <w:noProof/>
          <w:rtl/>
        </w:rPr>
        <w:t xml:space="preserve">، </w:t>
      </w:r>
      <w:r>
        <w:rPr>
          <w:noProof/>
        </w:rPr>
        <w:t>374</w:t>
      </w:r>
      <w:r>
        <w:rPr>
          <w:noProof/>
          <w:rtl/>
        </w:rPr>
        <w:t xml:space="preserve">، </w:t>
      </w:r>
      <w:r>
        <w:rPr>
          <w:noProof/>
        </w:rPr>
        <w:t>392</w:t>
      </w:r>
    </w:p>
    <w:p w:rsidR="002002F4" w:rsidRDefault="002002F4" w:rsidP="002002F4">
      <w:pPr>
        <w:ind w:firstLine="0"/>
        <w:rPr>
          <w:noProof/>
        </w:rPr>
      </w:pPr>
      <w:r>
        <w:rPr>
          <w:noProof/>
          <w:rtl/>
        </w:rPr>
        <w:t xml:space="preserve">علي بن رئاب الكوفي، </w:t>
      </w:r>
      <w:r>
        <w:rPr>
          <w:noProof/>
        </w:rPr>
        <w:t>370</w:t>
      </w:r>
      <w:r>
        <w:rPr>
          <w:noProof/>
          <w:rtl/>
        </w:rPr>
        <w:t xml:space="preserve">، </w:t>
      </w:r>
      <w:r>
        <w:rPr>
          <w:noProof/>
        </w:rPr>
        <w:t>372</w:t>
      </w:r>
    </w:p>
    <w:p w:rsidR="002002F4" w:rsidRDefault="002002F4" w:rsidP="002002F4">
      <w:pPr>
        <w:ind w:firstLine="0"/>
        <w:rPr>
          <w:noProof/>
        </w:rPr>
      </w:pPr>
      <w:r>
        <w:rPr>
          <w:noProof/>
          <w:rtl/>
        </w:rPr>
        <w:t xml:space="preserve">عمر بن حنظلة، </w:t>
      </w:r>
      <w:r>
        <w:rPr>
          <w:noProof/>
        </w:rPr>
        <w:t>119</w:t>
      </w:r>
      <w:r>
        <w:rPr>
          <w:noProof/>
          <w:rtl/>
        </w:rPr>
        <w:t xml:space="preserve">، </w:t>
      </w:r>
      <w:r>
        <w:rPr>
          <w:noProof/>
        </w:rPr>
        <w:t>123</w:t>
      </w:r>
      <w:r>
        <w:rPr>
          <w:noProof/>
          <w:rtl/>
        </w:rPr>
        <w:t xml:space="preserve">، </w:t>
      </w:r>
      <w:r>
        <w:rPr>
          <w:noProof/>
        </w:rPr>
        <w:t>189</w:t>
      </w:r>
      <w:r>
        <w:rPr>
          <w:noProof/>
          <w:rtl/>
        </w:rPr>
        <w:t xml:space="preserve">، </w:t>
      </w:r>
      <w:r>
        <w:rPr>
          <w:noProof/>
        </w:rPr>
        <w:t>343</w:t>
      </w:r>
      <w:r>
        <w:rPr>
          <w:noProof/>
          <w:rtl/>
        </w:rPr>
        <w:t xml:space="preserve">، </w:t>
      </w:r>
      <w:r>
        <w:rPr>
          <w:noProof/>
        </w:rPr>
        <w:t>344</w:t>
      </w:r>
      <w:r>
        <w:rPr>
          <w:noProof/>
          <w:rtl/>
        </w:rPr>
        <w:t xml:space="preserve">، </w:t>
      </w:r>
      <w:r>
        <w:rPr>
          <w:noProof/>
        </w:rPr>
        <w:t>345</w:t>
      </w:r>
      <w:r>
        <w:rPr>
          <w:noProof/>
          <w:rtl/>
        </w:rPr>
        <w:t xml:space="preserve">، </w:t>
      </w:r>
      <w:r>
        <w:rPr>
          <w:noProof/>
        </w:rPr>
        <w:t>346</w:t>
      </w:r>
      <w:r>
        <w:rPr>
          <w:noProof/>
          <w:rtl/>
        </w:rPr>
        <w:t xml:space="preserve">، </w:t>
      </w:r>
      <w:r>
        <w:rPr>
          <w:noProof/>
        </w:rPr>
        <w:t>347</w:t>
      </w:r>
      <w:r>
        <w:rPr>
          <w:noProof/>
          <w:rtl/>
        </w:rPr>
        <w:t xml:space="preserve">، </w:t>
      </w:r>
      <w:r>
        <w:rPr>
          <w:noProof/>
        </w:rPr>
        <w:t>348</w:t>
      </w:r>
      <w:r>
        <w:rPr>
          <w:noProof/>
          <w:rtl/>
        </w:rPr>
        <w:t xml:space="preserve">، </w:t>
      </w:r>
      <w:r>
        <w:rPr>
          <w:noProof/>
        </w:rPr>
        <w:t>349</w:t>
      </w:r>
      <w:r>
        <w:rPr>
          <w:noProof/>
          <w:rtl/>
        </w:rPr>
        <w:t xml:space="preserve">، </w:t>
      </w:r>
      <w:r>
        <w:rPr>
          <w:noProof/>
        </w:rPr>
        <w:t>353</w:t>
      </w:r>
      <w:r>
        <w:rPr>
          <w:noProof/>
          <w:rtl/>
        </w:rPr>
        <w:t xml:space="preserve">، </w:t>
      </w:r>
      <w:r>
        <w:rPr>
          <w:noProof/>
        </w:rPr>
        <w:t>354</w:t>
      </w:r>
      <w:r>
        <w:rPr>
          <w:noProof/>
          <w:rtl/>
        </w:rPr>
        <w:t xml:space="preserve">، </w:t>
      </w:r>
      <w:r>
        <w:rPr>
          <w:noProof/>
        </w:rPr>
        <w:t>355</w:t>
      </w:r>
      <w:r>
        <w:rPr>
          <w:noProof/>
          <w:rtl/>
        </w:rPr>
        <w:t xml:space="preserve">، </w:t>
      </w:r>
      <w:r>
        <w:rPr>
          <w:noProof/>
        </w:rPr>
        <w:t>356</w:t>
      </w:r>
      <w:r>
        <w:rPr>
          <w:noProof/>
          <w:rtl/>
        </w:rPr>
        <w:t xml:space="preserve">، </w:t>
      </w:r>
      <w:r>
        <w:rPr>
          <w:noProof/>
        </w:rPr>
        <w:t>357</w:t>
      </w:r>
      <w:r>
        <w:rPr>
          <w:noProof/>
          <w:rtl/>
        </w:rPr>
        <w:t xml:space="preserve">، </w:t>
      </w:r>
      <w:r>
        <w:rPr>
          <w:noProof/>
        </w:rPr>
        <w:t>359</w:t>
      </w:r>
      <w:r>
        <w:rPr>
          <w:noProof/>
          <w:rtl/>
        </w:rPr>
        <w:t xml:space="preserve">، </w:t>
      </w:r>
      <w:r>
        <w:rPr>
          <w:noProof/>
        </w:rPr>
        <w:t>361</w:t>
      </w:r>
      <w:r>
        <w:rPr>
          <w:noProof/>
          <w:rtl/>
        </w:rPr>
        <w:t xml:space="preserve">، </w:t>
      </w:r>
      <w:r>
        <w:rPr>
          <w:noProof/>
        </w:rPr>
        <w:t>362</w:t>
      </w:r>
      <w:r>
        <w:rPr>
          <w:noProof/>
          <w:rtl/>
        </w:rPr>
        <w:t xml:space="preserve">، </w:t>
      </w:r>
      <w:r>
        <w:rPr>
          <w:noProof/>
        </w:rPr>
        <w:t>363</w:t>
      </w:r>
      <w:r>
        <w:rPr>
          <w:noProof/>
          <w:rtl/>
        </w:rPr>
        <w:t xml:space="preserve">، </w:t>
      </w:r>
      <w:r>
        <w:rPr>
          <w:noProof/>
        </w:rPr>
        <w:t>365</w:t>
      </w:r>
      <w:r>
        <w:rPr>
          <w:noProof/>
          <w:rtl/>
        </w:rPr>
        <w:t xml:space="preserve">، </w:t>
      </w:r>
      <w:r>
        <w:rPr>
          <w:noProof/>
        </w:rPr>
        <w:t>367</w:t>
      </w:r>
      <w:r>
        <w:rPr>
          <w:noProof/>
          <w:rtl/>
        </w:rPr>
        <w:t xml:space="preserve">، </w:t>
      </w:r>
      <w:r>
        <w:rPr>
          <w:noProof/>
        </w:rPr>
        <w:t>368</w:t>
      </w:r>
      <w:r>
        <w:rPr>
          <w:noProof/>
          <w:rtl/>
        </w:rPr>
        <w:t xml:space="preserve">، </w:t>
      </w:r>
      <w:r>
        <w:rPr>
          <w:noProof/>
        </w:rPr>
        <w:t>383</w:t>
      </w:r>
      <w:r>
        <w:rPr>
          <w:noProof/>
          <w:rtl/>
        </w:rPr>
        <w:t xml:space="preserve">، </w:t>
      </w:r>
      <w:r>
        <w:rPr>
          <w:noProof/>
        </w:rPr>
        <w:t>385</w:t>
      </w:r>
      <w:r>
        <w:rPr>
          <w:noProof/>
          <w:rtl/>
        </w:rPr>
        <w:t xml:space="preserve">، </w:t>
      </w:r>
      <w:r>
        <w:rPr>
          <w:noProof/>
        </w:rPr>
        <w:t>392</w:t>
      </w:r>
      <w:r>
        <w:rPr>
          <w:noProof/>
          <w:rtl/>
        </w:rPr>
        <w:t xml:space="preserve">، </w:t>
      </w:r>
      <w:r>
        <w:rPr>
          <w:noProof/>
        </w:rPr>
        <w:t>442</w:t>
      </w:r>
      <w:r>
        <w:rPr>
          <w:noProof/>
          <w:rtl/>
        </w:rPr>
        <w:t xml:space="preserve">، </w:t>
      </w:r>
      <w:r>
        <w:rPr>
          <w:noProof/>
        </w:rPr>
        <w:t>443</w:t>
      </w:r>
    </w:p>
    <w:p w:rsidR="002002F4" w:rsidRDefault="002002F4" w:rsidP="002002F4">
      <w:pPr>
        <w:ind w:firstLine="0"/>
        <w:rPr>
          <w:noProof/>
        </w:rPr>
      </w:pPr>
      <w:r>
        <w:rPr>
          <w:noProof/>
          <w:rtl/>
        </w:rPr>
        <w:t xml:space="preserve">العَمْريّ، محمّد بن عثمان، </w:t>
      </w:r>
      <w:r>
        <w:rPr>
          <w:noProof/>
        </w:rPr>
        <w:t>375</w:t>
      </w:r>
      <w:r>
        <w:rPr>
          <w:noProof/>
          <w:rtl/>
        </w:rPr>
        <w:t xml:space="preserve">، </w:t>
      </w:r>
      <w:r>
        <w:rPr>
          <w:noProof/>
        </w:rPr>
        <w:t>378</w:t>
      </w:r>
      <w:r>
        <w:rPr>
          <w:noProof/>
          <w:rtl/>
        </w:rPr>
        <w:t xml:space="preserve">، </w:t>
      </w:r>
      <w:r>
        <w:rPr>
          <w:noProof/>
        </w:rPr>
        <w:t>386</w:t>
      </w:r>
    </w:p>
    <w:p w:rsidR="002002F4" w:rsidRDefault="002002F4" w:rsidP="002002F4">
      <w:pPr>
        <w:ind w:firstLine="0"/>
        <w:rPr>
          <w:noProof/>
        </w:rPr>
      </w:pPr>
      <w:r>
        <w:rPr>
          <w:noProof/>
          <w:rtl/>
        </w:rPr>
        <w:t xml:space="preserve">عيسى بن عبد الله العلوي، </w:t>
      </w:r>
      <w:r>
        <w:rPr>
          <w:noProof/>
        </w:rPr>
        <w:t>307</w:t>
      </w:r>
    </w:p>
    <w:p w:rsidR="002002F4" w:rsidRDefault="002002F4" w:rsidP="002002F4">
      <w:pPr>
        <w:ind w:firstLine="0"/>
        <w:rPr>
          <w:noProof/>
        </w:rPr>
      </w:pPr>
      <w:r>
        <w:rPr>
          <w:noProof/>
          <w:rtl/>
        </w:rPr>
        <w:t xml:space="preserve">غرويّ الإصفهاني، محمّد حسين، </w:t>
      </w:r>
      <w:r>
        <w:rPr>
          <w:noProof/>
        </w:rPr>
        <w:t>68</w:t>
      </w:r>
      <w:r>
        <w:rPr>
          <w:noProof/>
          <w:rtl/>
        </w:rPr>
        <w:t xml:space="preserve">، </w:t>
      </w:r>
      <w:r>
        <w:rPr>
          <w:noProof/>
        </w:rPr>
        <w:t>325</w:t>
      </w:r>
      <w:r>
        <w:rPr>
          <w:noProof/>
          <w:rtl/>
        </w:rPr>
        <w:t xml:space="preserve">، </w:t>
      </w:r>
      <w:r>
        <w:rPr>
          <w:noProof/>
        </w:rPr>
        <w:t>327</w:t>
      </w:r>
      <w:r>
        <w:rPr>
          <w:noProof/>
          <w:rtl/>
        </w:rPr>
        <w:t xml:space="preserve">، </w:t>
      </w:r>
      <w:r>
        <w:rPr>
          <w:noProof/>
        </w:rPr>
        <w:t>381</w:t>
      </w:r>
      <w:r>
        <w:rPr>
          <w:noProof/>
          <w:rtl/>
        </w:rPr>
        <w:t xml:space="preserve">، </w:t>
      </w:r>
      <w:r>
        <w:rPr>
          <w:noProof/>
        </w:rPr>
        <w:t>439</w:t>
      </w:r>
    </w:p>
    <w:p w:rsidR="002002F4" w:rsidRDefault="002002F4" w:rsidP="002002F4">
      <w:pPr>
        <w:ind w:firstLine="0"/>
        <w:rPr>
          <w:noProof/>
        </w:rPr>
      </w:pPr>
      <w:r>
        <w:rPr>
          <w:noProof/>
          <w:rtl/>
        </w:rPr>
        <w:t xml:space="preserve">الغروي التبريزي، الميرزا علي، </w:t>
      </w:r>
      <w:r>
        <w:rPr>
          <w:noProof/>
        </w:rPr>
        <w:t>77</w:t>
      </w:r>
      <w:r>
        <w:rPr>
          <w:noProof/>
          <w:rtl/>
        </w:rPr>
        <w:t xml:space="preserve">، </w:t>
      </w:r>
      <w:r>
        <w:rPr>
          <w:noProof/>
        </w:rPr>
        <w:t>132</w:t>
      </w:r>
      <w:r>
        <w:rPr>
          <w:noProof/>
          <w:rtl/>
        </w:rPr>
        <w:t xml:space="preserve">، </w:t>
      </w:r>
      <w:r>
        <w:rPr>
          <w:noProof/>
        </w:rPr>
        <w:t>160</w:t>
      </w:r>
      <w:r>
        <w:rPr>
          <w:noProof/>
          <w:rtl/>
        </w:rPr>
        <w:t xml:space="preserve">، </w:t>
      </w:r>
      <w:r>
        <w:rPr>
          <w:noProof/>
        </w:rPr>
        <w:t>276</w:t>
      </w:r>
      <w:r>
        <w:rPr>
          <w:noProof/>
          <w:rtl/>
        </w:rPr>
        <w:t xml:space="preserve">، </w:t>
      </w:r>
      <w:r>
        <w:rPr>
          <w:noProof/>
        </w:rPr>
        <w:t>353</w:t>
      </w:r>
      <w:r>
        <w:rPr>
          <w:noProof/>
          <w:rtl/>
        </w:rPr>
        <w:t xml:space="preserve">، </w:t>
      </w:r>
      <w:r>
        <w:rPr>
          <w:noProof/>
        </w:rPr>
        <w:t>355</w:t>
      </w:r>
    </w:p>
    <w:p w:rsidR="002002F4" w:rsidRDefault="002002F4" w:rsidP="002002F4">
      <w:pPr>
        <w:ind w:firstLine="0"/>
        <w:rPr>
          <w:noProof/>
        </w:rPr>
      </w:pPr>
      <w:r>
        <w:rPr>
          <w:noProof/>
          <w:rtl/>
        </w:rPr>
        <w:t xml:space="preserve">غرويان، محسن، </w:t>
      </w:r>
      <w:r>
        <w:rPr>
          <w:noProof/>
        </w:rPr>
        <w:t>259</w:t>
      </w:r>
    </w:p>
    <w:p w:rsidR="002002F4" w:rsidRDefault="002002F4" w:rsidP="002002F4">
      <w:pPr>
        <w:ind w:firstLine="0"/>
        <w:rPr>
          <w:noProof/>
        </w:rPr>
      </w:pPr>
      <w:r>
        <w:rPr>
          <w:noProof/>
          <w:rtl/>
        </w:rPr>
        <w:t xml:space="preserve">الغزالي، أبو حامد محمّد، </w:t>
      </w:r>
      <w:r>
        <w:rPr>
          <w:noProof/>
        </w:rPr>
        <w:t>327</w:t>
      </w:r>
    </w:p>
    <w:p w:rsidR="002002F4" w:rsidRDefault="002002F4" w:rsidP="002002F4">
      <w:pPr>
        <w:ind w:firstLine="0"/>
        <w:rPr>
          <w:noProof/>
        </w:rPr>
      </w:pPr>
      <w:r>
        <w:rPr>
          <w:noProof/>
          <w:rtl/>
        </w:rPr>
        <w:t xml:space="preserve">فارسي، جلال الدين، </w:t>
      </w:r>
      <w:r>
        <w:rPr>
          <w:noProof/>
        </w:rPr>
        <w:t>258</w:t>
      </w:r>
    </w:p>
    <w:p w:rsidR="002002F4" w:rsidRDefault="002002F4" w:rsidP="002002F4">
      <w:pPr>
        <w:ind w:firstLine="0"/>
        <w:rPr>
          <w:noProof/>
        </w:rPr>
      </w:pPr>
      <w:r>
        <w:rPr>
          <w:noProof/>
          <w:rtl/>
        </w:rPr>
        <w:t xml:space="preserve">فاضل الدربندي، مولي آقا بن عابد، </w:t>
      </w:r>
      <w:r>
        <w:rPr>
          <w:noProof/>
        </w:rPr>
        <w:t>135</w:t>
      </w:r>
      <w:r>
        <w:rPr>
          <w:noProof/>
          <w:rtl/>
        </w:rPr>
        <w:t xml:space="preserve">، </w:t>
      </w:r>
      <w:r>
        <w:rPr>
          <w:noProof/>
        </w:rPr>
        <w:t>157</w:t>
      </w:r>
      <w:r>
        <w:rPr>
          <w:noProof/>
          <w:rtl/>
        </w:rPr>
        <w:t xml:space="preserve">، </w:t>
      </w:r>
      <w:r>
        <w:rPr>
          <w:noProof/>
        </w:rPr>
        <w:t>191</w:t>
      </w:r>
      <w:r>
        <w:rPr>
          <w:noProof/>
          <w:rtl/>
        </w:rPr>
        <w:t xml:space="preserve">، </w:t>
      </w:r>
      <w:r>
        <w:rPr>
          <w:noProof/>
        </w:rPr>
        <w:t>325</w:t>
      </w:r>
      <w:r>
        <w:rPr>
          <w:noProof/>
          <w:rtl/>
        </w:rPr>
        <w:t xml:space="preserve">، </w:t>
      </w:r>
      <w:r>
        <w:rPr>
          <w:noProof/>
        </w:rPr>
        <w:t>327</w:t>
      </w:r>
      <w:r>
        <w:rPr>
          <w:noProof/>
          <w:rtl/>
        </w:rPr>
        <w:t xml:space="preserve">، </w:t>
      </w:r>
      <w:r>
        <w:rPr>
          <w:noProof/>
        </w:rPr>
        <w:t>353</w:t>
      </w:r>
      <w:r>
        <w:rPr>
          <w:noProof/>
          <w:rtl/>
        </w:rPr>
        <w:t xml:space="preserve">، </w:t>
      </w:r>
      <w:r>
        <w:rPr>
          <w:noProof/>
        </w:rPr>
        <w:t>416</w:t>
      </w:r>
    </w:p>
    <w:p w:rsidR="002002F4" w:rsidRDefault="002002F4" w:rsidP="002002F4">
      <w:pPr>
        <w:ind w:firstLine="0"/>
        <w:rPr>
          <w:noProof/>
        </w:rPr>
      </w:pPr>
      <w:r>
        <w:rPr>
          <w:noProof/>
          <w:rtl/>
        </w:rPr>
        <w:t xml:space="preserve">الفاضل مقداد السيوري، </w:t>
      </w:r>
      <w:r>
        <w:rPr>
          <w:noProof/>
        </w:rPr>
        <w:t>97</w:t>
      </w:r>
    </w:p>
    <w:p w:rsidR="002002F4" w:rsidRDefault="002002F4" w:rsidP="002002F4">
      <w:pPr>
        <w:ind w:firstLine="0"/>
        <w:rPr>
          <w:noProof/>
        </w:rPr>
      </w:pPr>
      <w:r>
        <w:rPr>
          <w:noProof/>
          <w:rtl/>
        </w:rPr>
        <w:t xml:space="preserve">فاطمة الزهراء (س)، </w:t>
      </w:r>
      <w:r>
        <w:rPr>
          <w:noProof/>
        </w:rPr>
        <w:t>58</w:t>
      </w:r>
    </w:p>
    <w:p w:rsidR="002002F4" w:rsidRDefault="002002F4" w:rsidP="002002F4">
      <w:pPr>
        <w:ind w:firstLine="0"/>
        <w:rPr>
          <w:noProof/>
          <w:rtl/>
        </w:rPr>
      </w:pPr>
      <w:r>
        <w:rPr>
          <w:noProof/>
          <w:rtl/>
        </w:rPr>
        <w:t xml:space="preserve">فخر المحقّقين الحليّ، </w:t>
      </w:r>
      <w:r>
        <w:rPr>
          <w:noProof/>
        </w:rPr>
        <w:t>415</w:t>
      </w:r>
    </w:p>
    <w:p w:rsidR="002002F4" w:rsidRDefault="002002F4" w:rsidP="002002F4">
      <w:pPr>
        <w:ind w:firstLine="0"/>
        <w:rPr>
          <w:noProof/>
        </w:rPr>
      </w:pPr>
      <w:r>
        <w:rPr>
          <w:noProof/>
          <w:rtl/>
        </w:rPr>
        <w:t xml:space="preserve">الفخري، ماجد، </w:t>
      </w:r>
      <w:r>
        <w:rPr>
          <w:noProof/>
        </w:rPr>
        <w:t>328</w:t>
      </w:r>
    </w:p>
    <w:p w:rsidR="002002F4" w:rsidRDefault="002002F4" w:rsidP="002002F4">
      <w:pPr>
        <w:ind w:firstLine="0"/>
        <w:rPr>
          <w:noProof/>
        </w:rPr>
      </w:pPr>
      <w:r>
        <w:rPr>
          <w:noProof/>
          <w:rtl/>
        </w:rPr>
        <w:t xml:space="preserve">الفراهيدي، خليل بن أحمد، </w:t>
      </w:r>
      <w:r>
        <w:rPr>
          <w:noProof/>
        </w:rPr>
        <w:t>40</w:t>
      </w:r>
    </w:p>
    <w:p w:rsidR="002002F4" w:rsidRDefault="002002F4" w:rsidP="002002F4">
      <w:pPr>
        <w:ind w:firstLine="0"/>
        <w:rPr>
          <w:noProof/>
        </w:rPr>
      </w:pPr>
      <w:r>
        <w:rPr>
          <w:noProof/>
          <w:rtl/>
        </w:rPr>
        <w:t xml:space="preserve">الفردوسي، الحكيم أبو القاسم، </w:t>
      </w:r>
      <w:r>
        <w:rPr>
          <w:noProof/>
        </w:rPr>
        <w:t>199</w:t>
      </w:r>
    </w:p>
    <w:p w:rsidR="002002F4" w:rsidRDefault="002002F4" w:rsidP="002002F4">
      <w:pPr>
        <w:ind w:firstLine="0"/>
        <w:rPr>
          <w:noProof/>
        </w:rPr>
      </w:pPr>
      <w:r>
        <w:rPr>
          <w:noProof/>
          <w:rtl/>
        </w:rPr>
        <w:t xml:space="preserve">الفيض الكاشاني، ملا محمّد محسن، </w:t>
      </w:r>
      <w:r>
        <w:rPr>
          <w:noProof/>
        </w:rPr>
        <w:t>50</w:t>
      </w:r>
      <w:r>
        <w:rPr>
          <w:noProof/>
          <w:rtl/>
        </w:rPr>
        <w:t xml:space="preserve">، </w:t>
      </w:r>
      <w:r>
        <w:rPr>
          <w:noProof/>
        </w:rPr>
        <w:t>97</w:t>
      </w:r>
      <w:r>
        <w:rPr>
          <w:noProof/>
          <w:rtl/>
        </w:rPr>
        <w:t xml:space="preserve">، </w:t>
      </w:r>
      <w:r>
        <w:rPr>
          <w:noProof/>
        </w:rPr>
        <w:t>327</w:t>
      </w:r>
    </w:p>
    <w:p w:rsidR="002002F4" w:rsidRDefault="002002F4" w:rsidP="002002F4">
      <w:pPr>
        <w:ind w:firstLine="0"/>
        <w:rPr>
          <w:noProof/>
        </w:rPr>
      </w:pPr>
      <w:r>
        <w:rPr>
          <w:noProof/>
          <w:rtl/>
        </w:rPr>
        <w:t xml:space="preserve">قاجار، فتح علي شاه، </w:t>
      </w:r>
      <w:r>
        <w:rPr>
          <w:noProof/>
        </w:rPr>
        <w:t>130</w:t>
      </w:r>
      <w:r>
        <w:rPr>
          <w:noProof/>
          <w:rtl/>
        </w:rPr>
        <w:t xml:space="preserve">، </w:t>
      </w:r>
      <w:r>
        <w:rPr>
          <w:noProof/>
        </w:rPr>
        <w:t>436</w:t>
      </w:r>
    </w:p>
    <w:p w:rsidR="002002F4" w:rsidRDefault="002002F4" w:rsidP="002002F4">
      <w:pPr>
        <w:ind w:firstLine="0"/>
        <w:rPr>
          <w:noProof/>
        </w:rPr>
      </w:pPr>
      <w:r>
        <w:rPr>
          <w:noProof/>
          <w:rtl/>
        </w:rPr>
        <w:t xml:space="preserve">القاسم بن محمّد، </w:t>
      </w:r>
      <w:r>
        <w:rPr>
          <w:noProof/>
        </w:rPr>
        <w:t>369</w:t>
      </w:r>
    </w:p>
    <w:p w:rsidR="002002F4" w:rsidRDefault="002002F4" w:rsidP="002002F4">
      <w:pPr>
        <w:ind w:firstLine="0"/>
        <w:rPr>
          <w:noProof/>
        </w:rPr>
      </w:pPr>
      <w:r>
        <w:rPr>
          <w:noProof/>
          <w:rtl/>
        </w:rPr>
        <w:t xml:space="preserve">قاضي طباطبائي، حسن، </w:t>
      </w:r>
      <w:r>
        <w:rPr>
          <w:noProof/>
        </w:rPr>
        <w:t>130</w:t>
      </w:r>
      <w:r>
        <w:rPr>
          <w:noProof/>
          <w:rtl/>
        </w:rPr>
        <w:t xml:space="preserve">، </w:t>
      </w:r>
      <w:r>
        <w:rPr>
          <w:noProof/>
        </w:rPr>
        <w:t>199</w:t>
      </w:r>
    </w:p>
    <w:p w:rsidR="002002F4" w:rsidRDefault="002002F4" w:rsidP="002002F4">
      <w:pPr>
        <w:ind w:firstLine="0"/>
        <w:rPr>
          <w:noProof/>
        </w:rPr>
      </w:pPr>
      <w:r>
        <w:rPr>
          <w:noProof/>
          <w:rtl/>
        </w:rPr>
        <w:t xml:space="preserve">قاضي، أبو الفضل، </w:t>
      </w:r>
      <w:r>
        <w:rPr>
          <w:noProof/>
        </w:rPr>
        <w:t>247</w:t>
      </w:r>
    </w:p>
    <w:p w:rsidR="002002F4" w:rsidRDefault="002002F4" w:rsidP="002002F4">
      <w:pPr>
        <w:ind w:firstLine="0"/>
        <w:rPr>
          <w:noProof/>
        </w:rPr>
      </w:pPr>
      <w:r>
        <w:rPr>
          <w:noProof/>
          <w:rtl/>
        </w:rPr>
        <w:t xml:space="preserve">قتادة بن النعمان، </w:t>
      </w:r>
      <w:r>
        <w:rPr>
          <w:noProof/>
        </w:rPr>
        <w:t>401</w:t>
      </w:r>
    </w:p>
    <w:p w:rsidR="002002F4" w:rsidRDefault="002002F4" w:rsidP="002002F4">
      <w:pPr>
        <w:ind w:firstLine="0"/>
        <w:rPr>
          <w:noProof/>
        </w:rPr>
      </w:pPr>
      <w:r>
        <w:rPr>
          <w:noProof/>
          <w:rtl/>
        </w:rPr>
        <w:t xml:space="preserve">القطب الراوندي، سعيد بن عبدالله، </w:t>
      </w:r>
      <w:r>
        <w:rPr>
          <w:noProof/>
        </w:rPr>
        <w:t>303</w:t>
      </w:r>
    </w:p>
    <w:p w:rsidR="002002F4" w:rsidRDefault="002002F4" w:rsidP="002002F4">
      <w:pPr>
        <w:ind w:firstLine="0"/>
        <w:rPr>
          <w:noProof/>
        </w:rPr>
      </w:pPr>
      <w:r>
        <w:rPr>
          <w:noProof/>
          <w:rtl/>
        </w:rPr>
        <w:t>قمشه</w:t>
      </w:r>
      <w:r>
        <w:rPr>
          <w:noProof/>
        </w:rPr>
        <w:t>‌</w:t>
      </w:r>
      <w:r>
        <w:rPr>
          <w:noProof/>
          <w:rtl/>
        </w:rPr>
        <w:t xml:space="preserve">اي، الآقا محمّد رضا، </w:t>
      </w:r>
      <w:r>
        <w:rPr>
          <w:noProof/>
        </w:rPr>
        <w:t>45</w:t>
      </w:r>
      <w:r>
        <w:rPr>
          <w:noProof/>
          <w:rtl/>
        </w:rPr>
        <w:t xml:space="preserve">، </w:t>
      </w:r>
      <w:r>
        <w:rPr>
          <w:noProof/>
        </w:rPr>
        <w:t>46</w:t>
      </w:r>
      <w:r>
        <w:rPr>
          <w:noProof/>
          <w:rtl/>
        </w:rPr>
        <w:t xml:space="preserve">، </w:t>
      </w:r>
      <w:r>
        <w:rPr>
          <w:noProof/>
        </w:rPr>
        <w:t>47</w:t>
      </w:r>
      <w:r>
        <w:rPr>
          <w:noProof/>
          <w:rtl/>
        </w:rPr>
        <w:t xml:space="preserve">، </w:t>
      </w:r>
      <w:r>
        <w:rPr>
          <w:noProof/>
        </w:rPr>
        <w:t>48</w:t>
      </w:r>
      <w:r>
        <w:rPr>
          <w:noProof/>
          <w:rtl/>
        </w:rPr>
        <w:t xml:space="preserve">، </w:t>
      </w:r>
      <w:r>
        <w:rPr>
          <w:noProof/>
        </w:rPr>
        <w:t>50</w:t>
      </w:r>
      <w:r>
        <w:rPr>
          <w:noProof/>
          <w:rtl/>
        </w:rPr>
        <w:t xml:space="preserve">، </w:t>
      </w:r>
      <w:r>
        <w:rPr>
          <w:noProof/>
        </w:rPr>
        <w:t>53</w:t>
      </w:r>
    </w:p>
    <w:p w:rsidR="002002F4" w:rsidRDefault="002002F4" w:rsidP="002002F4">
      <w:pPr>
        <w:ind w:firstLine="0"/>
        <w:rPr>
          <w:noProof/>
        </w:rPr>
      </w:pPr>
      <w:r>
        <w:rPr>
          <w:noProof/>
          <w:rtl/>
        </w:rPr>
        <w:t xml:space="preserve">القيصري، داوود بن محمود، </w:t>
      </w:r>
      <w:r>
        <w:rPr>
          <w:noProof/>
        </w:rPr>
        <w:t>45</w:t>
      </w:r>
      <w:r>
        <w:rPr>
          <w:noProof/>
          <w:rtl/>
        </w:rPr>
        <w:t xml:space="preserve">، </w:t>
      </w:r>
      <w:r>
        <w:rPr>
          <w:noProof/>
        </w:rPr>
        <w:t>46</w:t>
      </w:r>
      <w:r>
        <w:rPr>
          <w:noProof/>
          <w:rtl/>
        </w:rPr>
        <w:t xml:space="preserve">، </w:t>
      </w:r>
      <w:r>
        <w:rPr>
          <w:noProof/>
        </w:rPr>
        <w:t>47</w:t>
      </w:r>
      <w:r>
        <w:rPr>
          <w:noProof/>
          <w:rtl/>
        </w:rPr>
        <w:t xml:space="preserve">، </w:t>
      </w:r>
      <w:r>
        <w:rPr>
          <w:noProof/>
        </w:rPr>
        <w:t>48</w:t>
      </w:r>
      <w:r>
        <w:rPr>
          <w:noProof/>
          <w:rtl/>
        </w:rPr>
        <w:t xml:space="preserve">، </w:t>
      </w:r>
      <w:r>
        <w:rPr>
          <w:noProof/>
        </w:rPr>
        <w:t>49</w:t>
      </w:r>
      <w:r>
        <w:rPr>
          <w:noProof/>
          <w:rtl/>
        </w:rPr>
        <w:t xml:space="preserve">، </w:t>
      </w:r>
      <w:r>
        <w:rPr>
          <w:noProof/>
        </w:rPr>
        <w:t>50</w:t>
      </w:r>
      <w:r>
        <w:rPr>
          <w:noProof/>
          <w:rtl/>
        </w:rPr>
        <w:t xml:space="preserve">، </w:t>
      </w:r>
      <w:r>
        <w:rPr>
          <w:noProof/>
        </w:rPr>
        <w:t>53</w:t>
      </w:r>
    </w:p>
    <w:p w:rsidR="002002F4" w:rsidRDefault="002002F4" w:rsidP="002002F4">
      <w:pPr>
        <w:ind w:firstLine="0"/>
        <w:rPr>
          <w:noProof/>
        </w:rPr>
      </w:pPr>
      <w:r>
        <w:rPr>
          <w:noProof/>
          <w:rtl/>
        </w:rPr>
        <w:t>کاشف الغطاء،</w:t>
      </w:r>
      <w:r>
        <w:rPr>
          <w:rFonts w:ascii="Times New Roman" w:hAnsi="Times New Roman" w:cs="Times New Roman" w:hint="cs"/>
          <w:noProof/>
          <w:rtl/>
        </w:rPr>
        <w:t>‌</w:t>
      </w:r>
      <w:r>
        <w:rPr>
          <w:noProof/>
          <w:rtl/>
        </w:rPr>
        <w:t xml:space="preserve"> </w:t>
      </w:r>
      <w:r>
        <w:rPr>
          <w:rFonts w:ascii="Mosawi" w:hAnsi="Mosawi" w:hint="cs"/>
          <w:noProof/>
          <w:rtl/>
        </w:rPr>
        <w:t>الشيخ</w:t>
      </w:r>
      <w:r>
        <w:rPr>
          <w:noProof/>
          <w:rtl/>
        </w:rPr>
        <w:t xml:space="preserve"> </w:t>
      </w:r>
      <w:r>
        <w:rPr>
          <w:rFonts w:ascii="Mosawi" w:hAnsi="Mosawi" w:hint="cs"/>
          <w:noProof/>
          <w:rtl/>
        </w:rPr>
        <w:t>جعفر،</w:t>
      </w:r>
      <w:r>
        <w:rPr>
          <w:noProof/>
          <w:rtl/>
        </w:rPr>
        <w:t xml:space="preserve"> </w:t>
      </w:r>
      <w:r>
        <w:rPr>
          <w:noProof/>
        </w:rPr>
        <w:t>83</w:t>
      </w:r>
      <w:r>
        <w:rPr>
          <w:noProof/>
          <w:rtl/>
        </w:rPr>
        <w:t xml:space="preserve">، </w:t>
      </w:r>
      <w:r>
        <w:rPr>
          <w:noProof/>
        </w:rPr>
        <w:t>130</w:t>
      </w:r>
      <w:r>
        <w:rPr>
          <w:noProof/>
          <w:rtl/>
        </w:rPr>
        <w:t xml:space="preserve">، </w:t>
      </w:r>
      <w:r>
        <w:rPr>
          <w:noProof/>
        </w:rPr>
        <w:t>291</w:t>
      </w:r>
    </w:p>
    <w:p w:rsidR="002002F4" w:rsidRDefault="002002F4" w:rsidP="002002F4">
      <w:pPr>
        <w:ind w:firstLine="0"/>
        <w:rPr>
          <w:noProof/>
        </w:rPr>
      </w:pPr>
      <w:r>
        <w:rPr>
          <w:noProof/>
          <w:rtl/>
        </w:rPr>
        <w:t xml:space="preserve">الكار، حامد، </w:t>
      </w:r>
      <w:r>
        <w:rPr>
          <w:noProof/>
        </w:rPr>
        <w:t>239</w:t>
      </w:r>
      <w:r>
        <w:rPr>
          <w:noProof/>
          <w:rtl/>
        </w:rPr>
        <w:t xml:space="preserve">، </w:t>
      </w:r>
      <w:r>
        <w:rPr>
          <w:noProof/>
        </w:rPr>
        <w:t>241</w:t>
      </w:r>
    </w:p>
    <w:p w:rsidR="002002F4" w:rsidRDefault="002002F4" w:rsidP="002002F4">
      <w:pPr>
        <w:ind w:firstLine="0"/>
        <w:rPr>
          <w:noProof/>
        </w:rPr>
      </w:pPr>
      <w:r>
        <w:rPr>
          <w:noProof/>
          <w:rtl/>
        </w:rPr>
        <w:t xml:space="preserve">الكاشاني، كمال الدين عبد الرزاق، </w:t>
      </w:r>
      <w:r>
        <w:rPr>
          <w:noProof/>
        </w:rPr>
        <w:t>46</w:t>
      </w:r>
    </w:p>
    <w:p w:rsidR="002002F4" w:rsidRDefault="002002F4" w:rsidP="002002F4">
      <w:pPr>
        <w:ind w:firstLine="0"/>
        <w:rPr>
          <w:noProof/>
        </w:rPr>
      </w:pPr>
      <w:r>
        <w:rPr>
          <w:noProof/>
          <w:rtl/>
        </w:rPr>
        <w:t>كاشف الغطاء،</w:t>
      </w:r>
      <w:r>
        <w:rPr>
          <w:rFonts w:ascii="Times New Roman" w:hAnsi="Times New Roman" w:cs="Times New Roman" w:hint="cs"/>
          <w:noProof/>
          <w:rtl/>
        </w:rPr>
        <w:t>‌</w:t>
      </w:r>
      <w:r>
        <w:rPr>
          <w:noProof/>
          <w:rtl/>
        </w:rPr>
        <w:t xml:space="preserve"> </w:t>
      </w:r>
      <w:r>
        <w:rPr>
          <w:rFonts w:ascii="Mosawi" w:hAnsi="Mosawi" w:hint="cs"/>
          <w:noProof/>
          <w:rtl/>
        </w:rPr>
        <w:t>الشيخ</w:t>
      </w:r>
      <w:r>
        <w:rPr>
          <w:noProof/>
          <w:rtl/>
        </w:rPr>
        <w:t xml:space="preserve"> </w:t>
      </w:r>
      <w:r>
        <w:rPr>
          <w:rFonts w:ascii="Mosawi" w:hAnsi="Mosawi" w:hint="cs"/>
          <w:noProof/>
          <w:rtl/>
        </w:rPr>
        <w:t>جعفر،</w:t>
      </w:r>
      <w:r>
        <w:rPr>
          <w:noProof/>
          <w:rtl/>
        </w:rPr>
        <w:t xml:space="preserve"> </w:t>
      </w:r>
      <w:r>
        <w:rPr>
          <w:noProof/>
        </w:rPr>
        <w:t>29</w:t>
      </w:r>
      <w:r>
        <w:rPr>
          <w:noProof/>
          <w:rtl/>
        </w:rPr>
        <w:t xml:space="preserve">، </w:t>
      </w:r>
      <w:r>
        <w:rPr>
          <w:noProof/>
        </w:rPr>
        <w:t>83</w:t>
      </w:r>
      <w:r>
        <w:rPr>
          <w:noProof/>
          <w:rtl/>
        </w:rPr>
        <w:t xml:space="preserve">، </w:t>
      </w:r>
      <w:r>
        <w:rPr>
          <w:noProof/>
        </w:rPr>
        <w:t>130</w:t>
      </w:r>
    </w:p>
    <w:p w:rsidR="002002F4" w:rsidRDefault="002002F4" w:rsidP="002002F4">
      <w:pPr>
        <w:ind w:firstLine="0"/>
        <w:rPr>
          <w:noProof/>
        </w:rPr>
      </w:pPr>
      <w:r>
        <w:rPr>
          <w:noProof/>
          <w:rtl/>
        </w:rPr>
        <w:t xml:space="preserve">كديور، محسن، </w:t>
      </w:r>
      <w:r>
        <w:rPr>
          <w:noProof/>
        </w:rPr>
        <w:t>7</w:t>
      </w:r>
      <w:r>
        <w:rPr>
          <w:noProof/>
          <w:rtl/>
        </w:rPr>
        <w:t xml:space="preserve">، </w:t>
      </w:r>
      <w:r>
        <w:rPr>
          <w:noProof/>
        </w:rPr>
        <w:t>15</w:t>
      </w:r>
      <w:r>
        <w:rPr>
          <w:noProof/>
          <w:rtl/>
        </w:rPr>
        <w:t xml:space="preserve">، </w:t>
      </w:r>
      <w:r>
        <w:rPr>
          <w:noProof/>
        </w:rPr>
        <w:t>18</w:t>
      </w:r>
      <w:r>
        <w:rPr>
          <w:noProof/>
          <w:rtl/>
        </w:rPr>
        <w:t xml:space="preserve">، </w:t>
      </w:r>
      <w:r>
        <w:rPr>
          <w:noProof/>
        </w:rPr>
        <w:t>128</w:t>
      </w:r>
      <w:r>
        <w:rPr>
          <w:noProof/>
          <w:rtl/>
        </w:rPr>
        <w:t xml:space="preserve">، </w:t>
      </w:r>
      <w:r>
        <w:rPr>
          <w:noProof/>
        </w:rPr>
        <w:t>266</w:t>
      </w:r>
      <w:r>
        <w:rPr>
          <w:noProof/>
          <w:rtl/>
        </w:rPr>
        <w:t xml:space="preserve">، </w:t>
      </w:r>
      <w:r>
        <w:rPr>
          <w:noProof/>
        </w:rPr>
        <w:t>429</w:t>
      </w:r>
    </w:p>
    <w:p w:rsidR="002002F4" w:rsidRDefault="002002F4" w:rsidP="002002F4">
      <w:pPr>
        <w:ind w:firstLine="0"/>
        <w:rPr>
          <w:noProof/>
        </w:rPr>
      </w:pPr>
      <w:r>
        <w:rPr>
          <w:noProof/>
          <w:rtl/>
        </w:rPr>
        <w:t xml:space="preserve">الكراجكي، محمّد بن علي، </w:t>
      </w:r>
      <w:r>
        <w:rPr>
          <w:noProof/>
        </w:rPr>
        <w:t>117</w:t>
      </w:r>
      <w:r>
        <w:rPr>
          <w:noProof/>
          <w:rtl/>
        </w:rPr>
        <w:t xml:space="preserve">، </w:t>
      </w:r>
      <w:r>
        <w:rPr>
          <w:noProof/>
        </w:rPr>
        <w:t>333</w:t>
      </w:r>
    </w:p>
    <w:p w:rsidR="002002F4" w:rsidRDefault="002002F4" w:rsidP="002002F4">
      <w:pPr>
        <w:ind w:firstLine="0"/>
        <w:rPr>
          <w:noProof/>
        </w:rPr>
      </w:pPr>
      <w:r>
        <w:rPr>
          <w:noProof/>
          <w:rtl/>
        </w:rPr>
        <w:t xml:space="preserve">كرباسي، عفت، </w:t>
      </w:r>
      <w:r>
        <w:rPr>
          <w:noProof/>
        </w:rPr>
        <w:t>46</w:t>
      </w:r>
    </w:p>
    <w:p w:rsidR="002002F4" w:rsidRDefault="002002F4" w:rsidP="002002F4">
      <w:pPr>
        <w:ind w:firstLine="0"/>
        <w:rPr>
          <w:noProof/>
        </w:rPr>
      </w:pPr>
      <w:r>
        <w:rPr>
          <w:noProof/>
          <w:rtl/>
        </w:rPr>
        <w:t xml:space="preserve">الكرمي، </w:t>
      </w:r>
      <w:r>
        <w:rPr>
          <w:noProof/>
        </w:rPr>
        <w:t>232</w:t>
      </w:r>
    </w:p>
    <w:p w:rsidR="002002F4" w:rsidRDefault="002002F4" w:rsidP="002002F4">
      <w:pPr>
        <w:ind w:firstLine="0"/>
        <w:rPr>
          <w:noProof/>
        </w:rPr>
      </w:pPr>
      <w:r>
        <w:rPr>
          <w:noProof/>
          <w:rtl/>
        </w:rPr>
        <w:t xml:space="preserve">الكريمي، </w:t>
      </w:r>
      <w:r>
        <w:rPr>
          <w:rFonts w:ascii="Times New Roman" w:hAnsi="Times New Roman" w:cs="Times New Roman" w:hint="cs"/>
          <w:noProof/>
          <w:rtl/>
        </w:rPr>
        <w:t>‌</w:t>
      </w:r>
      <w:r>
        <w:rPr>
          <w:rFonts w:ascii="Mosawi" w:hAnsi="Mosawi" w:hint="cs"/>
          <w:noProof/>
          <w:rtl/>
        </w:rPr>
        <w:t>فؤاد،</w:t>
      </w:r>
      <w:r>
        <w:rPr>
          <w:noProof/>
          <w:rtl/>
        </w:rPr>
        <w:t xml:space="preserve"> </w:t>
      </w:r>
      <w:r>
        <w:rPr>
          <w:noProof/>
        </w:rPr>
        <w:t>223</w:t>
      </w:r>
    </w:p>
    <w:p w:rsidR="002002F4" w:rsidRDefault="002002F4" w:rsidP="002002F4">
      <w:pPr>
        <w:ind w:firstLine="0"/>
        <w:rPr>
          <w:noProof/>
        </w:rPr>
      </w:pPr>
      <w:r>
        <w:rPr>
          <w:noProof/>
          <w:rtl/>
        </w:rPr>
        <w:t xml:space="preserve">الكشفي الدارابي، السيّد جعفر، </w:t>
      </w:r>
      <w:r>
        <w:rPr>
          <w:noProof/>
        </w:rPr>
        <w:t>29</w:t>
      </w:r>
      <w:r>
        <w:rPr>
          <w:noProof/>
          <w:rtl/>
        </w:rPr>
        <w:t xml:space="preserve">، </w:t>
      </w:r>
      <w:r>
        <w:rPr>
          <w:noProof/>
        </w:rPr>
        <w:t>128</w:t>
      </w:r>
      <w:r>
        <w:rPr>
          <w:noProof/>
          <w:rtl/>
        </w:rPr>
        <w:t xml:space="preserve">، </w:t>
      </w:r>
      <w:r>
        <w:rPr>
          <w:noProof/>
        </w:rPr>
        <w:t>199</w:t>
      </w:r>
    </w:p>
    <w:p w:rsidR="002002F4" w:rsidRDefault="002002F4" w:rsidP="002002F4">
      <w:pPr>
        <w:ind w:firstLine="0"/>
        <w:rPr>
          <w:noProof/>
        </w:rPr>
      </w:pPr>
      <w:r>
        <w:rPr>
          <w:noProof/>
          <w:rtl/>
        </w:rPr>
        <w:t xml:space="preserve">الكشّي، محمّد بن عمر، </w:t>
      </w:r>
      <w:r>
        <w:rPr>
          <w:noProof/>
        </w:rPr>
        <w:t>326</w:t>
      </w:r>
      <w:r>
        <w:rPr>
          <w:noProof/>
          <w:rtl/>
        </w:rPr>
        <w:t xml:space="preserve">، </w:t>
      </w:r>
      <w:r>
        <w:rPr>
          <w:noProof/>
        </w:rPr>
        <w:t>346</w:t>
      </w:r>
      <w:r>
        <w:rPr>
          <w:noProof/>
          <w:rtl/>
        </w:rPr>
        <w:t xml:space="preserve">، </w:t>
      </w:r>
      <w:r>
        <w:rPr>
          <w:noProof/>
        </w:rPr>
        <w:t>364</w:t>
      </w:r>
    </w:p>
    <w:p w:rsidR="002002F4" w:rsidRDefault="002002F4" w:rsidP="002002F4">
      <w:pPr>
        <w:ind w:firstLine="0"/>
        <w:rPr>
          <w:noProof/>
        </w:rPr>
      </w:pPr>
      <w:r>
        <w:rPr>
          <w:noProof/>
          <w:rtl/>
        </w:rPr>
        <w:t xml:space="preserve">الكلينيّ، أبو جعفر محمّد بن يعقوب بن إسحاق الرازي، </w:t>
      </w:r>
      <w:r>
        <w:rPr>
          <w:noProof/>
        </w:rPr>
        <w:t>305</w:t>
      </w:r>
      <w:r>
        <w:rPr>
          <w:noProof/>
          <w:rtl/>
        </w:rPr>
        <w:t xml:space="preserve">، </w:t>
      </w:r>
      <w:r>
        <w:rPr>
          <w:noProof/>
        </w:rPr>
        <w:t>312</w:t>
      </w:r>
      <w:r>
        <w:rPr>
          <w:noProof/>
          <w:rtl/>
        </w:rPr>
        <w:t xml:space="preserve">، </w:t>
      </w:r>
      <w:r>
        <w:rPr>
          <w:noProof/>
        </w:rPr>
        <w:t>316</w:t>
      </w:r>
      <w:r>
        <w:rPr>
          <w:noProof/>
          <w:rtl/>
        </w:rPr>
        <w:t xml:space="preserve">، </w:t>
      </w:r>
      <w:r>
        <w:rPr>
          <w:noProof/>
        </w:rPr>
        <w:t>325</w:t>
      </w:r>
      <w:r>
        <w:rPr>
          <w:noProof/>
          <w:rtl/>
        </w:rPr>
        <w:t xml:space="preserve">، </w:t>
      </w:r>
      <w:r>
        <w:rPr>
          <w:noProof/>
        </w:rPr>
        <w:t>344</w:t>
      </w:r>
      <w:r>
        <w:rPr>
          <w:noProof/>
          <w:rtl/>
        </w:rPr>
        <w:t xml:space="preserve">، </w:t>
      </w:r>
      <w:r>
        <w:rPr>
          <w:noProof/>
        </w:rPr>
        <w:t>347</w:t>
      </w:r>
      <w:r>
        <w:rPr>
          <w:noProof/>
          <w:rtl/>
        </w:rPr>
        <w:t xml:space="preserve">، </w:t>
      </w:r>
      <w:r>
        <w:rPr>
          <w:noProof/>
        </w:rPr>
        <w:t>363</w:t>
      </w:r>
      <w:r>
        <w:rPr>
          <w:noProof/>
          <w:rtl/>
        </w:rPr>
        <w:t xml:space="preserve">، </w:t>
      </w:r>
      <w:r>
        <w:rPr>
          <w:noProof/>
        </w:rPr>
        <w:t>370</w:t>
      </w:r>
      <w:r>
        <w:rPr>
          <w:noProof/>
          <w:rtl/>
        </w:rPr>
        <w:t xml:space="preserve">، </w:t>
      </w:r>
      <w:r>
        <w:rPr>
          <w:noProof/>
        </w:rPr>
        <w:t>375</w:t>
      </w:r>
      <w:r>
        <w:rPr>
          <w:noProof/>
          <w:rtl/>
        </w:rPr>
        <w:t xml:space="preserve">، </w:t>
      </w:r>
      <w:r>
        <w:rPr>
          <w:noProof/>
        </w:rPr>
        <w:t>376</w:t>
      </w:r>
      <w:r>
        <w:rPr>
          <w:noProof/>
          <w:rtl/>
        </w:rPr>
        <w:t xml:space="preserve">، </w:t>
      </w:r>
      <w:r>
        <w:rPr>
          <w:noProof/>
        </w:rPr>
        <w:t>377</w:t>
      </w:r>
      <w:r>
        <w:rPr>
          <w:noProof/>
          <w:rtl/>
        </w:rPr>
        <w:t xml:space="preserve">، </w:t>
      </w:r>
      <w:r>
        <w:rPr>
          <w:noProof/>
        </w:rPr>
        <w:t>378</w:t>
      </w:r>
      <w:r>
        <w:rPr>
          <w:noProof/>
          <w:rtl/>
        </w:rPr>
        <w:t xml:space="preserve">، </w:t>
      </w:r>
      <w:r>
        <w:rPr>
          <w:noProof/>
        </w:rPr>
        <w:t>379</w:t>
      </w:r>
      <w:r>
        <w:rPr>
          <w:noProof/>
          <w:rtl/>
        </w:rPr>
        <w:t xml:space="preserve">، </w:t>
      </w:r>
      <w:r>
        <w:rPr>
          <w:noProof/>
        </w:rPr>
        <w:t>382</w:t>
      </w:r>
      <w:r>
        <w:rPr>
          <w:noProof/>
          <w:rtl/>
        </w:rPr>
        <w:t xml:space="preserve">، </w:t>
      </w:r>
      <w:r>
        <w:rPr>
          <w:noProof/>
        </w:rPr>
        <w:t>383</w:t>
      </w:r>
      <w:r>
        <w:rPr>
          <w:noProof/>
          <w:rtl/>
        </w:rPr>
        <w:t xml:space="preserve">، </w:t>
      </w:r>
      <w:r>
        <w:rPr>
          <w:noProof/>
        </w:rPr>
        <w:t>384</w:t>
      </w:r>
    </w:p>
    <w:p w:rsidR="002002F4" w:rsidRDefault="002002F4" w:rsidP="002002F4">
      <w:pPr>
        <w:ind w:firstLine="0"/>
        <w:rPr>
          <w:noProof/>
        </w:rPr>
      </w:pPr>
      <w:r>
        <w:rPr>
          <w:noProof/>
          <w:rtl/>
        </w:rPr>
        <w:t xml:space="preserve">الكلينيّ، محمّد بن محمّد بن عصام، </w:t>
      </w:r>
      <w:r>
        <w:rPr>
          <w:noProof/>
        </w:rPr>
        <w:t>375</w:t>
      </w:r>
      <w:r>
        <w:rPr>
          <w:noProof/>
          <w:rtl/>
        </w:rPr>
        <w:t xml:space="preserve">، </w:t>
      </w:r>
      <w:r>
        <w:rPr>
          <w:noProof/>
        </w:rPr>
        <w:t>377</w:t>
      </w:r>
    </w:p>
    <w:p w:rsidR="002002F4" w:rsidRDefault="002002F4" w:rsidP="002002F4">
      <w:pPr>
        <w:ind w:firstLine="0"/>
        <w:rPr>
          <w:noProof/>
        </w:rPr>
      </w:pPr>
      <w:r>
        <w:rPr>
          <w:noProof/>
          <w:rtl/>
        </w:rPr>
        <w:t xml:space="preserve">كوربان، هنري، </w:t>
      </w:r>
      <w:r>
        <w:rPr>
          <w:noProof/>
        </w:rPr>
        <w:t>46</w:t>
      </w:r>
    </w:p>
    <w:p w:rsidR="002002F4" w:rsidRDefault="002002F4" w:rsidP="002002F4">
      <w:pPr>
        <w:ind w:firstLine="0"/>
        <w:rPr>
          <w:noProof/>
        </w:rPr>
      </w:pPr>
      <w:r>
        <w:rPr>
          <w:noProof/>
          <w:rtl/>
        </w:rPr>
        <w:t xml:space="preserve">اللاهيجي، شمس الدين محمّد، </w:t>
      </w:r>
      <w:r>
        <w:rPr>
          <w:noProof/>
        </w:rPr>
        <w:t>46</w:t>
      </w:r>
      <w:r>
        <w:rPr>
          <w:noProof/>
          <w:rtl/>
        </w:rPr>
        <w:t xml:space="preserve">، </w:t>
      </w:r>
      <w:r>
        <w:rPr>
          <w:noProof/>
        </w:rPr>
        <w:t>51</w:t>
      </w:r>
    </w:p>
    <w:p w:rsidR="002002F4" w:rsidRDefault="002002F4" w:rsidP="002002F4">
      <w:pPr>
        <w:ind w:firstLine="0"/>
        <w:rPr>
          <w:noProof/>
        </w:rPr>
      </w:pPr>
      <w:r>
        <w:rPr>
          <w:noProof/>
          <w:rtl/>
        </w:rPr>
        <w:t xml:space="preserve">اللاهيجي، عبدالرازق بن علي، </w:t>
      </w:r>
      <w:r>
        <w:rPr>
          <w:noProof/>
        </w:rPr>
        <w:t>63</w:t>
      </w:r>
      <w:r>
        <w:rPr>
          <w:noProof/>
          <w:rtl/>
        </w:rPr>
        <w:t xml:space="preserve">، </w:t>
      </w:r>
      <w:r>
        <w:rPr>
          <w:noProof/>
        </w:rPr>
        <w:t>137</w:t>
      </w:r>
      <w:r>
        <w:rPr>
          <w:noProof/>
          <w:rtl/>
        </w:rPr>
        <w:t xml:space="preserve">، </w:t>
      </w:r>
      <w:r>
        <w:rPr>
          <w:noProof/>
        </w:rPr>
        <w:t>275</w:t>
      </w:r>
      <w:r>
        <w:rPr>
          <w:noProof/>
          <w:rtl/>
        </w:rPr>
        <w:t xml:space="preserve">، </w:t>
      </w:r>
      <w:r>
        <w:rPr>
          <w:noProof/>
        </w:rPr>
        <w:t>277</w:t>
      </w:r>
      <w:r>
        <w:rPr>
          <w:noProof/>
          <w:rtl/>
        </w:rPr>
        <w:t xml:space="preserve">، </w:t>
      </w:r>
      <w:r>
        <w:rPr>
          <w:noProof/>
        </w:rPr>
        <w:t>427</w:t>
      </w:r>
    </w:p>
    <w:p w:rsidR="002002F4" w:rsidRDefault="002002F4" w:rsidP="002002F4">
      <w:pPr>
        <w:ind w:firstLine="0"/>
        <w:rPr>
          <w:noProof/>
        </w:rPr>
      </w:pPr>
      <w:r>
        <w:rPr>
          <w:noProof/>
          <w:rtl/>
        </w:rPr>
        <w:t xml:space="preserve">المازندراني، ملا محمّد صالح، </w:t>
      </w:r>
      <w:r>
        <w:rPr>
          <w:noProof/>
        </w:rPr>
        <w:t>114</w:t>
      </w:r>
    </w:p>
    <w:p w:rsidR="002002F4" w:rsidRDefault="002002F4" w:rsidP="002002F4">
      <w:pPr>
        <w:ind w:firstLine="0"/>
        <w:rPr>
          <w:noProof/>
        </w:rPr>
      </w:pPr>
      <w:r>
        <w:rPr>
          <w:noProof/>
          <w:rtl/>
        </w:rPr>
        <w:t xml:space="preserve">مالك الأشتر، </w:t>
      </w:r>
      <w:r>
        <w:rPr>
          <w:noProof/>
        </w:rPr>
        <w:t>218</w:t>
      </w:r>
    </w:p>
    <w:p w:rsidR="002002F4" w:rsidRDefault="002002F4" w:rsidP="002002F4">
      <w:pPr>
        <w:ind w:firstLine="0"/>
        <w:rPr>
          <w:noProof/>
        </w:rPr>
      </w:pPr>
      <w:r>
        <w:rPr>
          <w:noProof/>
          <w:rtl/>
        </w:rPr>
        <w:t xml:space="preserve">المامقاني، الشيخ عبد الله، </w:t>
      </w:r>
      <w:r>
        <w:rPr>
          <w:noProof/>
        </w:rPr>
        <w:t>157</w:t>
      </w:r>
      <w:r>
        <w:rPr>
          <w:noProof/>
          <w:rtl/>
        </w:rPr>
        <w:t xml:space="preserve">، </w:t>
      </w:r>
      <w:r>
        <w:rPr>
          <w:noProof/>
        </w:rPr>
        <w:t>303</w:t>
      </w:r>
      <w:r>
        <w:rPr>
          <w:noProof/>
          <w:rtl/>
        </w:rPr>
        <w:t xml:space="preserve">، </w:t>
      </w:r>
      <w:r>
        <w:rPr>
          <w:noProof/>
        </w:rPr>
        <w:t>313</w:t>
      </w:r>
      <w:r>
        <w:rPr>
          <w:noProof/>
          <w:rtl/>
        </w:rPr>
        <w:t xml:space="preserve">، </w:t>
      </w:r>
      <w:r>
        <w:rPr>
          <w:noProof/>
        </w:rPr>
        <w:t>347</w:t>
      </w:r>
      <w:r>
        <w:rPr>
          <w:noProof/>
          <w:rtl/>
        </w:rPr>
        <w:t xml:space="preserve">، </w:t>
      </w:r>
      <w:r>
        <w:rPr>
          <w:noProof/>
        </w:rPr>
        <w:t>353</w:t>
      </w:r>
      <w:r>
        <w:rPr>
          <w:noProof/>
          <w:rtl/>
        </w:rPr>
        <w:t xml:space="preserve">، </w:t>
      </w:r>
      <w:r>
        <w:rPr>
          <w:noProof/>
        </w:rPr>
        <w:t>377</w:t>
      </w:r>
      <w:r>
        <w:rPr>
          <w:noProof/>
          <w:rtl/>
        </w:rPr>
        <w:t xml:space="preserve">، </w:t>
      </w:r>
      <w:r>
        <w:rPr>
          <w:noProof/>
        </w:rPr>
        <w:t>419</w:t>
      </w:r>
      <w:r>
        <w:rPr>
          <w:noProof/>
          <w:rtl/>
        </w:rPr>
        <w:t xml:space="preserve">، </w:t>
      </w:r>
      <w:r>
        <w:rPr>
          <w:noProof/>
        </w:rPr>
        <w:t>436</w:t>
      </w:r>
      <w:r>
        <w:rPr>
          <w:noProof/>
          <w:rtl/>
        </w:rPr>
        <w:t xml:space="preserve">، </w:t>
      </w:r>
      <w:r>
        <w:rPr>
          <w:noProof/>
        </w:rPr>
        <w:t>437</w:t>
      </w:r>
    </w:p>
    <w:p w:rsidR="002002F4" w:rsidRDefault="002002F4" w:rsidP="002002F4">
      <w:pPr>
        <w:ind w:firstLine="0"/>
        <w:rPr>
          <w:noProof/>
        </w:rPr>
      </w:pPr>
      <w:r>
        <w:rPr>
          <w:noProof/>
          <w:rtl/>
        </w:rPr>
        <w:t xml:space="preserve">المامقاني، الشيخ محمّد حسن، </w:t>
      </w:r>
      <w:r>
        <w:rPr>
          <w:noProof/>
        </w:rPr>
        <w:t>377</w:t>
      </w:r>
    </w:p>
    <w:p w:rsidR="002002F4" w:rsidRDefault="002002F4" w:rsidP="002002F4">
      <w:pPr>
        <w:ind w:firstLine="0"/>
        <w:rPr>
          <w:noProof/>
        </w:rPr>
      </w:pPr>
      <w:r>
        <w:rPr>
          <w:noProof/>
          <w:rtl/>
        </w:rPr>
        <w:t xml:space="preserve">المجاهد، السيّد محمّد، </w:t>
      </w:r>
      <w:r>
        <w:rPr>
          <w:noProof/>
        </w:rPr>
        <w:t>130</w:t>
      </w:r>
      <w:r>
        <w:rPr>
          <w:noProof/>
          <w:rtl/>
        </w:rPr>
        <w:t xml:space="preserve">، </w:t>
      </w:r>
      <w:r>
        <w:rPr>
          <w:noProof/>
        </w:rPr>
        <w:t>170</w:t>
      </w:r>
    </w:p>
    <w:p w:rsidR="002002F4" w:rsidRDefault="002002F4" w:rsidP="002002F4">
      <w:pPr>
        <w:ind w:firstLine="0"/>
        <w:rPr>
          <w:noProof/>
        </w:rPr>
      </w:pPr>
      <w:r>
        <w:rPr>
          <w:noProof/>
          <w:rtl/>
        </w:rPr>
        <w:t xml:space="preserve">المجلسي، محمّد باقر، </w:t>
      </w:r>
      <w:r>
        <w:rPr>
          <w:noProof/>
        </w:rPr>
        <w:t>114</w:t>
      </w:r>
      <w:r>
        <w:rPr>
          <w:noProof/>
          <w:rtl/>
        </w:rPr>
        <w:t xml:space="preserve">، </w:t>
      </w:r>
      <w:r>
        <w:rPr>
          <w:noProof/>
        </w:rPr>
        <w:t>128</w:t>
      </w:r>
      <w:r>
        <w:rPr>
          <w:noProof/>
          <w:rtl/>
        </w:rPr>
        <w:t xml:space="preserve">، </w:t>
      </w:r>
      <w:r>
        <w:rPr>
          <w:noProof/>
        </w:rPr>
        <w:t>199</w:t>
      </w:r>
    </w:p>
    <w:p w:rsidR="002002F4" w:rsidRDefault="002002F4" w:rsidP="002002F4">
      <w:pPr>
        <w:ind w:firstLine="0"/>
        <w:rPr>
          <w:noProof/>
        </w:rPr>
      </w:pPr>
      <w:r>
        <w:rPr>
          <w:noProof/>
          <w:rtl/>
        </w:rPr>
        <w:t xml:space="preserve">المحدّث النوري، حسين، </w:t>
      </w:r>
      <w:r>
        <w:rPr>
          <w:noProof/>
        </w:rPr>
        <w:t>61</w:t>
      </w:r>
      <w:r>
        <w:rPr>
          <w:noProof/>
          <w:rtl/>
        </w:rPr>
        <w:t xml:space="preserve">، </w:t>
      </w:r>
      <w:r>
        <w:rPr>
          <w:noProof/>
        </w:rPr>
        <w:t>312</w:t>
      </w:r>
    </w:p>
    <w:p w:rsidR="002002F4" w:rsidRDefault="002002F4" w:rsidP="002002F4">
      <w:pPr>
        <w:ind w:firstLine="0"/>
        <w:rPr>
          <w:noProof/>
        </w:rPr>
      </w:pPr>
      <w:r>
        <w:rPr>
          <w:noProof/>
          <w:rtl/>
        </w:rPr>
        <w:t xml:space="preserve">المحقق الأردبيلي، أحمد، </w:t>
      </w:r>
      <w:r>
        <w:rPr>
          <w:noProof/>
        </w:rPr>
        <w:t>29</w:t>
      </w:r>
    </w:p>
    <w:p w:rsidR="002002F4" w:rsidRDefault="002002F4" w:rsidP="002002F4">
      <w:pPr>
        <w:ind w:firstLine="0"/>
        <w:rPr>
          <w:noProof/>
        </w:rPr>
      </w:pPr>
      <w:r>
        <w:rPr>
          <w:noProof/>
          <w:rtl/>
        </w:rPr>
        <w:t xml:space="preserve">المحقِّق الإصفهاني الكمپاني </w:t>
      </w:r>
      <w:r>
        <w:rPr>
          <w:noProof/>
        </w:rPr>
        <w:t>=</w:t>
      </w:r>
      <w:r>
        <w:rPr>
          <w:noProof/>
          <w:rtl/>
        </w:rPr>
        <w:t xml:space="preserve"> </w:t>
      </w:r>
      <w:r>
        <w:rPr>
          <w:rFonts w:hint="cs"/>
          <w:noProof/>
          <w:rtl/>
        </w:rPr>
        <w:t>غرويّ الإصفهاني، محمّد حسين</w:t>
      </w:r>
    </w:p>
    <w:p w:rsidR="002002F4" w:rsidRDefault="002002F4" w:rsidP="002002F4">
      <w:pPr>
        <w:ind w:firstLine="0"/>
        <w:rPr>
          <w:noProof/>
        </w:rPr>
      </w:pPr>
      <w:r>
        <w:rPr>
          <w:noProof/>
          <w:rtl/>
        </w:rPr>
        <w:t xml:space="preserve">المحقق الإيرواني </w:t>
      </w:r>
      <w:r>
        <w:rPr>
          <w:noProof/>
        </w:rPr>
        <w:t>=</w:t>
      </w:r>
      <w:r>
        <w:rPr>
          <w:noProof/>
          <w:rtl/>
        </w:rPr>
        <w:t xml:space="preserve"> </w:t>
      </w:r>
      <w:r>
        <w:rPr>
          <w:rFonts w:hint="cs"/>
          <w:noProof/>
          <w:rtl/>
        </w:rPr>
        <w:t>الإيرواني النجفي، ميرزا علي</w:t>
      </w:r>
    </w:p>
    <w:p w:rsidR="002002F4" w:rsidRDefault="002002F4" w:rsidP="002002F4">
      <w:pPr>
        <w:ind w:firstLine="0"/>
        <w:rPr>
          <w:noProof/>
        </w:rPr>
      </w:pPr>
      <w:r>
        <w:rPr>
          <w:noProof/>
          <w:rtl/>
        </w:rPr>
        <w:t>المحقِّق الحلّي</w:t>
      </w:r>
      <w:r>
        <w:rPr>
          <w:noProof/>
          <w:color w:val="252525"/>
          <w:shd w:val="clear" w:color="auto" w:fill="FFFFFF"/>
          <w:rtl/>
        </w:rPr>
        <w:t>، ابوالقاسم نجم</w:t>
      </w:r>
      <w:r>
        <w:rPr>
          <w:noProof/>
          <w:color w:val="252525"/>
          <w:shd w:val="clear" w:color="auto" w:fill="FFFFFF"/>
        </w:rPr>
        <w:t>‌</w:t>
      </w:r>
      <w:r>
        <w:rPr>
          <w:noProof/>
          <w:color w:val="252525"/>
          <w:shd w:val="clear" w:color="auto" w:fill="FFFFFF"/>
          <w:rtl/>
        </w:rPr>
        <w:t>الدين جعفر بن حسن</w:t>
      </w:r>
      <w:r>
        <w:rPr>
          <w:noProof/>
          <w:rtl/>
        </w:rPr>
        <w:t xml:space="preserve">، </w:t>
      </w:r>
      <w:r>
        <w:rPr>
          <w:noProof/>
        </w:rPr>
        <w:t>28</w:t>
      </w:r>
      <w:r>
        <w:rPr>
          <w:noProof/>
          <w:rtl/>
        </w:rPr>
        <w:t xml:space="preserve">، </w:t>
      </w:r>
      <w:r>
        <w:rPr>
          <w:noProof/>
        </w:rPr>
        <w:t>67</w:t>
      </w:r>
      <w:r>
        <w:rPr>
          <w:noProof/>
          <w:rtl/>
        </w:rPr>
        <w:t xml:space="preserve">، </w:t>
      </w:r>
      <w:r>
        <w:rPr>
          <w:noProof/>
        </w:rPr>
        <w:t>119</w:t>
      </w:r>
      <w:r>
        <w:rPr>
          <w:noProof/>
          <w:rtl/>
        </w:rPr>
        <w:t xml:space="preserve">، </w:t>
      </w:r>
      <w:r>
        <w:rPr>
          <w:noProof/>
        </w:rPr>
        <w:t>126</w:t>
      </w:r>
      <w:r>
        <w:rPr>
          <w:noProof/>
          <w:rtl/>
        </w:rPr>
        <w:t xml:space="preserve">، </w:t>
      </w:r>
      <w:r>
        <w:rPr>
          <w:noProof/>
        </w:rPr>
        <w:t>277</w:t>
      </w:r>
    </w:p>
    <w:p w:rsidR="002002F4" w:rsidRDefault="002002F4" w:rsidP="002002F4">
      <w:pPr>
        <w:ind w:firstLine="0"/>
        <w:rPr>
          <w:noProof/>
        </w:rPr>
      </w:pPr>
      <w:r>
        <w:rPr>
          <w:noProof/>
          <w:rtl/>
        </w:rPr>
        <w:t xml:space="preserve">محقّق الكركيّ، علي بن عبدالعالي، </w:t>
      </w:r>
      <w:r>
        <w:rPr>
          <w:noProof/>
        </w:rPr>
        <w:t>29</w:t>
      </w:r>
      <w:r>
        <w:rPr>
          <w:noProof/>
          <w:rtl/>
        </w:rPr>
        <w:t xml:space="preserve">، </w:t>
      </w:r>
      <w:r>
        <w:rPr>
          <w:noProof/>
        </w:rPr>
        <w:t>128</w:t>
      </w:r>
      <w:r>
        <w:rPr>
          <w:noProof/>
          <w:rtl/>
        </w:rPr>
        <w:t xml:space="preserve">، </w:t>
      </w:r>
      <w:r>
        <w:rPr>
          <w:noProof/>
        </w:rPr>
        <w:t>129</w:t>
      </w:r>
      <w:r>
        <w:rPr>
          <w:noProof/>
          <w:rtl/>
        </w:rPr>
        <w:t xml:space="preserve">، </w:t>
      </w:r>
      <w:r>
        <w:rPr>
          <w:noProof/>
        </w:rPr>
        <w:t>156</w:t>
      </w:r>
      <w:r>
        <w:rPr>
          <w:noProof/>
          <w:rtl/>
        </w:rPr>
        <w:t xml:space="preserve">، </w:t>
      </w:r>
      <w:r>
        <w:rPr>
          <w:noProof/>
        </w:rPr>
        <w:t>157</w:t>
      </w:r>
      <w:r>
        <w:rPr>
          <w:noProof/>
          <w:rtl/>
        </w:rPr>
        <w:t xml:space="preserve">، </w:t>
      </w:r>
      <w:r>
        <w:rPr>
          <w:noProof/>
        </w:rPr>
        <w:t>345</w:t>
      </w:r>
      <w:r>
        <w:rPr>
          <w:noProof/>
          <w:rtl/>
        </w:rPr>
        <w:t xml:space="preserve">، </w:t>
      </w:r>
      <w:r>
        <w:rPr>
          <w:noProof/>
        </w:rPr>
        <w:t>356</w:t>
      </w:r>
      <w:r>
        <w:rPr>
          <w:noProof/>
          <w:rtl/>
        </w:rPr>
        <w:t xml:space="preserve">، </w:t>
      </w:r>
      <w:r>
        <w:rPr>
          <w:noProof/>
        </w:rPr>
        <w:t>415</w:t>
      </w:r>
      <w:r>
        <w:rPr>
          <w:noProof/>
          <w:rtl/>
        </w:rPr>
        <w:t xml:space="preserve">، </w:t>
      </w:r>
      <w:r>
        <w:rPr>
          <w:noProof/>
        </w:rPr>
        <w:t>428</w:t>
      </w:r>
    </w:p>
    <w:p w:rsidR="002002F4" w:rsidRDefault="002002F4" w:rsidP="002002F4">
      <w:pPr>
        <w:ind w:firstLine="0"/>
        <w:rPr>
          <w:noProof/>
        </w:rPr>
      </w:pPr>
      <w:r>
        <w:rPr>
          <w:noProof/>
          <w:rtl/>
        </w:rPr>
        <w:t xml:space="preserve">المحقق النائيني </w:t>
      </w:r>
      <w:r>
        <w:rPr>
          <w:noProof/>
        </w:rPr>
        <w:t>=</w:t>
      </w:r>
      <w:r>
        <w:rPr>
          <w:noProof/>
          <w:rtl/>
        </w:rPr>
        <w:t xml:space="preserve"> </w:t>
      </w:r>
      <w:r>
        <w:rPr>
          <w:rFonts w:hint="cs"/>
          <w:noProof/>
          <w:rtl/>
        </w:rPr>
        <w:t>الميرزا النائيني، الشيخ محمّدحسين</w:t>
      </w:r>
    </w:p>
    <w:p w:rsidR="002002F4" w:rsidRDefault="002002F4" w:rsidP="002002F4">
      <w:pPr>
        <w:ind w:firstLine="0"/>
        <w:rPr>
          <w:noProof/>
        </w:rPr>
      </w:pPr>
      <w:r>
        <w:rPr>
          <w:noProof/>
          <w:rtl/>
        </w:rPr>
        <w:t xml:space="preserve">المحقِّق الهمداني </w:t>
      </w:r>
      <w:r>
        <w:rPr>
          <w:noProof/>
        </w:rPr>
        <w:t>=</w:t>
      </w:r>
      <w:r>
        <w:rPr>
          <w:noProof/>
          <w:rtl/>
        </w:rPr>
        <w:t xml:space="preserve"> </w:t>
      </w:r>
      <w:r>
        <w:rPr>
          <w:rFonts w:hint="cs"/>
          <w:noProof/>
          <w:rtl/>
        </w:rPr>
        <w:t>الهمداني، رضا بن محمّد</w:t>
      </w:r>
    </w:p>
    <w:p w:rsidR="002002F4" w:rsidRDefault="002002F4" w:rsidP="002002F4">
      <w:pPr>
        <w:ind w:firstLine="0"/>
        <w:rPr>
          <w:noProof/>
        </w:rPr>
      </w:pPr>
      <w:r>
        <w:rPr>
          <w:noProof/>
          <w:rtl/>
        </w:rPr>
        <w:t xml:space="preserve">المحلاتي، إسماعيل، </w:t>
      </w:r>
      <w:r>
        <w:rPr>
          <w:noProof/>
        </w:rPr>
        <w:t>29</w:t>
      </w:r>
    </w:p>
    <w:p w:rsidR="002002F4" w:rsidRDefault="002002F4" w:rsidP="002002F4">
      <w:pPr>
        <w:ind w:firstLine="0"/>
        <w:rPr>
          <w:noProof/>
        </w:rPr>
      </w:pPr>
      <w:r>
        <w:rPr>
          <w:noProof/>
          <w:rtl/>
        </w:rPr>
        <w:t xml:space="preserve">محمّد بن الحسن الصفّار، </w:t>
      </w:r>
      <w:r>
        <w:rPr>
          <w:noProof/>
        </w:rPr>
        <w:t>320</w:t>
      </w:r>
    </w:p>
    <w:p w:rsidR="002002F4" w:rsidRDefault="002002F4" w:rsidP="002002F4">
      <w:pPr>
        <w:ind w:firstLine="0"/>
        <w:rPr>
          <w:noProof/>
        </w:rPr>
      </w:pPr>
      <w:r>
        <w:rPr>
          <w:noProof/>
          <w:rtl/>
        </w:rPr>
        <w:t xml:space="preserve">محمّد بن الحسن بن أحمد، </w:t>
      </w:r>
      <w:r>
        <w:rPr>
          <w:noProof/>
        </w:rPr>
        <w:t>320</w:t>
      </w:r>
    </w:p>
    <w:p w:rsidR="002002F4" w:rsidRDefault="002002F4" w:rsidP="002002F4">
      <w:pPr>
        <w:ind w:firstLine="0"/>
        <w:rPr>
          <w:noProof/>
        </w:rPr>
      </w:pPr>
      <w:r>
        <w:rPr>
          <w:noProof/>
          <w:rtl/>
        </w:rPr>
        <w:t xml:space="preserve">محمّد بن الحسن بن شمون، </w:t>
      </w:r>
      <w:r>
        <w:rPr>
          <w:noProof/>
        </w:rPr>
        <w:t>345</w:t>
      </w:r>
    </w:p>
    <w:p w:rsidR="002002F4" w:rsidRDefault="002002F4" w:rsidP="002002F4">
      <w:pPr>
        <w:ind w:firstLine="0"/>
        <w:rPr>
          <w:noProof/>
        </w:rPr>
      </w:pPr>
      <w:r>
        <w:rPr>
          <w:noProof/>
          <w:rtl/>
        </w:rPr>
        <w:t xml:space="preserve">محمّد بن الحسين، </w:t>
      </w:r>
      <w:r>
        <w:rPr>
          <w:noProof/>
        </w:rPr>
        <w:t>344</w:t>
      </w:r>
    </w:p>
    <w:p w:rsidR="002002F4" w:rsidRDefault="002002F4" w:rsidP="002002F4">
      <w:pPr>
        <w:ind w:firstLine="0"/>
        <w:rPr>
          <w:noProof/>
        </w:rPr>
      </w:pPr>
      <w:r>
        <w:rPr>
          <w:noProof/>
          <w:rtl/>
        </w:rPr>
        <w:t xml:space="preserve">محمّد بن شاذان، </w:t>
      </w:r>
      <w:r>
        <w:rPr>
          <w:noProof/>
        </w:rPr>
        <w:t>386</w:t>
      </w:r>
    </w:p>
    <w:p w:rsidR="002002F4" w:rsidRDefault="002002F4" w:rsidP="002002F4">
      <w:pPr>
        <w:ind w:firstLine="0"/>
        <w:rPr>
          <w:noProof/>
        </w:rPr>
      </w:pPr>
      <w:r>
        <w:rPr>
          <w:noProof/>
          <w:rtl/>
        </w:rPr>
        <w:t xml:space="preserve">محمّد بن عدي، </w:t>
      </w:r>
      <w:r>
        <w:rPr>
          <w:noProof/>
        </w:rPr>
        <w:t>348</w:t>
      </w:r>
      <w:r>
        <w:rPr>
          <w:noProof/>
          <w:rtl/>
        </w:rPr>
        <w:t xml:space="preserve">، </w:t>
      </w:r>
      <w:r>
        <w:rPr>
          <w:noProof/>
        </w:rPr>
        <w:t>353</w:t>
      </w:r>
    </w:p>
    <w:p w:rsidR="002002F4" w:rsidRDefault="002002F4" w:rsidP="002002F4">
      <w:pPr>
        <w:ind w:firstLine="0"/>
        <w:rPr>
          <w:noProof/>
        </w:rPr>
      </w:pPr>
      <w:r>
        <w:rPr>
          <w:noProof/>
          <w:rtl/>
        </w:rPr>
        <w:t xml:space="preserve">محمّد بن علي بن الحسين، </w:t>
      </w:r>
      <w:r>
        <w:rPr>
          <w:noProof/>
        </w:rPr>
        <w:t>363</w:t>
      </w:r>
    </w:p>
    <w:p w:rsidR="002002F4" w:rsidRDefault="002002F4" w:rsidP="002002F4">
      <w:pPr>
        <w:ind w:firstLine="0"/>
        <w:rPr>
          <w:noProof/>
        </w:rPr>
      </w:pPr>
      <w:r>
        <w:rPr>
          <w:noProof/>
          <w:rtl/>
        </w:rPr>
        <w:t xml:space="preserve">محمّد بن علي بن محبوب، </w:t>
      </w:r>
      <w:r>
        <w:rPr>
          <w:noProof/>
        </w:rPr>
        <w:t>345</w:t>
      </w:r>
      <w:r>
        <w:rPr>
          <w:noProof/>
          <w:rtl/>
        </w:rPr>
        <w:t xml:space="preserve">، </w:t>
      </w:r>
      <w:r>
        <w:rPr>
          <w:noProof/>
        </w:rPr>
        <w:t>363</w:t>
      </w:r>
    </w:p>
    <w:p w:rsidR="002002F4" w:rsidRDefault="002002F4" w:rsidP="002002F4">
      <w:pPr>
        <w:ind w:firstLine="0"/>
        <w:rPr>
          <w:noProof/>
        </w:rPr>
      </w:pPr>
      <w:r>
        <w:rPr>
          <w:noProof/>
          <w:rtl/>
        </w:rPr>
        <w:t xml:space="preserve">محمّد بن عليّ بن مهزيار الأهوازيّ، </w:t>
      </w:r>
      <w:r>
        <w:rPr>
          <w:noProof/>
        </w:rPr>
        <w:t>386</w:t>
      </w:r>
    </w:p>
    <w:p w:rsidR="002002F4" w:rsidRDefault="002002F4" w:rsidP="002002F4">
      <w:pPr>
        <w:ind w:firstLine="0"/>
        <w:rPr>
          <w:noProof/>
        </w:rPr>
      </w:pPr>
      <w:r>
        <w:rPr>
          <w:noProof/>
          <w:rtl/>
        </w:rPr>
        <w:t xml:space="preserve">محمّد بن عيسى بن عبيد اليقطيني، </w:t>
      </w:r>
      <w:r>
        <w:rPr>
          <w:noProof/>
        </w:rPr>
        <w:t>344</w:t>
      </w:r>
      <w:r>
        <w:rPr>
          <w:noProof/>
          <w:rtl/>
        </w:rPr>
        <w:t xml:space="preserve">، </w:t>
      </w:r>
      <w:r>
        <w:rPr>
          <w:noProof/>
        </w:rPr>
        <w:t>345</w:t>
      </w:r>
      <w:r>
        <w:rPr>
          <w:noProof/>
          <w:rtl/>
        </w:rPr>
        <w:t xml:space="preserve">، </w:t>
      </w:r>
      <w:r>
        <w:rPr>
          <w:noProof/>
        </w:rPr>
        <w:t>346</w:t>
      </w:r>
      <w:r>
        <w:rPr>
          <w:noProof/>
          <w:rtl/>
        </w:rPr>
        <w:t xml:space="preserve">، </w:t>
      </w:r>
      <w:r>
        <w:rPr>
          <w:noProof/>
        </w:rPr>
        <w:t>347</w:t>
      </w:r>
      <w:r>
        <w:rPr>
          <w:noProof/>
          <w:rtl/>
        </w:rPr>
        <w:t xml:space="preserve">، </w:t>
      </w:r>
      <w:r>
        <w:rPr>
          <w:noProof/>
        </w:rPr>
        <w:t>353</w:t>
      </w:r>
    </w:p>
    <w:p w:rsidR="002002F4" w:rsidRDefault="002002F4" w:rsidP="002002F4">
      <w:pPr>
        <w:ind w:firstLine="0"/>
        <w:rPr>
          <w:noProof/>
        </w:rPr>
      </w:pPr>
      <w:r>
        <w:rPr>
          <w:noProof/>
          <w:rtl/>
        </w:rPr>
        <w:t xml:space="preserve">محمّد بن مسلم، </w:t>
      </w:r>
      <w:r>
        <w:rPr>
          <w:noProof/>
        </w:rPr>
        <w:t>373</w:t>
      </w:r>
      <w:r>
        <w:rPr>
          <w:noProof/>
          <w:rtl/>
        </w:rPr>
        <w:t xml:space="preserve">، </w:t>
      </w:r>
      <w:r>
        <w:rPr>
          <w:noProof/>
        </w:rPr>
        <w:t>442</w:t>
      </w:r>
    </w:p>
    <w:p w:rsidR="002002F4" w:rsidRDefault="002002F4" w:rsidP="002002F4">
      <w:pPr>
        <w:ind w:firstLine="0"/>
        <w:rPr>
          <w:noProof/>
        </w:rPr>
      </w:pPr>
      <w:r>
        <w:rPr>
          <w:noProof/>
          <w:rtl/>
        </w:rPr>
        <w:t xml:space="preserve">محمّد بن يحيى، </w:t>
      </w:r>
      <w:r>
        <w:rPr>
          <w:noProof/>
        </w:rPr>
        <w:t>344</w:t>
      </w:r>
      <w:r>
        <w:rPr>
          <w:noProof/>
          <w:rtl/>
        </w:rPr>
        <w:t xml:space="preserve">، </w:t>
      </w:r>
      <w:r>
        <w:rPr>
          <w:noProof/>
        </w:rPr>
        <w:t>369</w:t>
      </w:r>
    </w:p>
    <w:p w:rsidR="002002F4" w:rsidRDefault="002002F4" w:rsidP="002002F4">
      <w:pPr>
        <w:ind w:firstLine="0"/>
        <w:rPr>
          <w:noProof/>
        </w:rPr>
      </w:pPr>
      <w:r>
        <w:rPr>
          <w:noProof/>
          <w:rtl/>
        </w:rPr>
        <w:t xml:space="preserve">محمّد بن يعقوب، </w:t>
      </w:r>
      <w:r>
        <w:rPr>
          <w:noProof/>
        </w:rPr>
        <w:t>376</w:t>
      </w:r>
      <w:r>
        <w:rPr>
          <w:noProof/>
          <w:rtl/>
        </w:rPr>
        <w:t xml:space="preserve">، </w:t>
      </w:r>
      <w:r>
        <w:rPr>
          <w:noProof/>
        </w:rPr>
        <w:t>384</w:t>
      </w:r>
    </w:p>
    <w:p w:rsidR="002002F4" w:rsidRDefault="002002F4" w:rsidP="002002F4">
      <w:pPr>
        <w:ind w:firstLine="0"/>
        <w:rPr>
          <w:noProof/>
        </w:rPr>
      </w:pPr>
      <w:r>
        <w:rPr>
          <w:noProof/>
          <w:rtl/>
        </w:rPr>
        <w:t xml:space="preserve">محمّد رسول الله(ص)، </w:t>
      </w:r>
      <w:r>
        <w:rPr>
          <w:noProof/>
        </w:rPr>
        <w:t>13</w:t>
      </w:r>
      <w:r>
        <w:rPr>
          <w:noProof/>
          <w:rtl/>
        </w:rPr>
        <w:t xml:space="preserve">، </w:t>
      </w:r>
      <w:r>
        <w:rPr>
          <w:noProof/>
        </w:rPr>
        <w:t>50</w:t>
      </w:r>
      <w:r>
        <w:rPr>
          <w:noProof/>
          <w:rtl/>
        </w:rPr>
        <w:t xml:space="preserve">، </w:t>
      </w:r>
      <w:r>
        <w:rPr>
          <w:noProof/>
        </w:rPr>
        <w:t>58</w:t>
      </w:r>
      <w:r>
        <w:rPr>
          <w:noProof/>
          <w:rtl/>
        </w:rPr>
        <w:t xml:space="preserve">، </w:t>
      </w:r>
      <w:r>
        <w:rPr>
          <w:noProof/>
        </w:rPr>
        <w:t>59</w:t>
      </w:r>
      <w:r>
        <w:rPr>
          <w:noProof/>
          <w:rtl/>
        </w:rPr>
        <w:t xml:space="preserve">، </w:t>
      </w:r>
      <w:r>
        <w:rPr>
          <w:noProof/>
        </w:rPr>
        <w:t>60</w:t>
      </w:r>
      <w:r>
        <w:rPr>
          <w:noProof/>
          <w:rtl/>
        </w:rPr>
        <w:t xml:space="preserve">، </w:t>
      </w:r>
      <w:r>
        <w:rPr>
          <w:noProof/>
        </w:rPr>
        <w:t>62</w:t>
      </w:r>
      <w:r>
        <w:rPr>
          <w:noProof/>
          <w:rtl/>
        </w:rPr>
        <w:t xml:space="preserve">، </w:t>
      </w:r>
      <w:r>
        <w:rPr>
          <w:noProof/>
        </w:rPr>
        <w:t>63</w:t>
      </w:r>
      <w:r>
        <w:rPr>
          <w:noProof/>
          <w:rtl/>
        </w:rPr>
        <w:t xml:space="preserve">، </w:t>
      </w:r>
      <w:r>
        <w:rPr>
          <w:noProof/>
        </w:rPr>
        <w:t>64</w:t>
      </w:r>
      <w:r>
        <w:rPr>
          <w:noProof/>
          <w:rtl/>
        </w:rPr>
        <w:t xml:space="preserve">، </w:t>
      </w:r>
      <w:r>
        <w:rPr>
          <w:noProof/>
        </w:rPr>
        <w:t>65</w:t>
      </w:r>
      <w:r>
        <w:rPr>
          <w:noProof/>
          <w:rtl/>
        </w:rPr>
        <w:t xml:space="preserve">، </w:t>
      </w:r>
      <w:r>
        <w:rPr>
          <w:noProof/>
        </w:rPr>
        <w:t>91</w:t>
      </w:r>
      <w:r>
        <w:rPr>
          <w:noProof/>
          <w:rtl/>
        </w:rPr>
        <w:t xml:space="preserve">، </w:t>
      </w:r>
      <w:r>
        <w:rPr>
          <w:noProof/>
        </w:rPr>
        <w:t>92</w:t>
      </w:r>
      <w:r>
        <w:rPr>
          <w:noProof/>
          <w:rtl/>
        </w:rPr>
        <w:t xml:space="preserve">، </w:t>
      </w:r>
      <w:r>
        <w:rPr>
          <w:noProof/>
        </w:rPr>
        <w:t>93</w:t>
      </w:r>
      <w:r>
        <w:rPr>
          <w:noProof/>
          <w:rtl/>
        </w:rPr>
        <w:t xml:space="preserve">، </w:t>
      </w:r>
      <w:r>
        <w:rPr>
          <w:noProof/>
        </w:rPr>
        <w:t>94</w:t>
      </w:r>
      <w:r>
        <w:rPr>
          <w:noProof/>
          <w:rtl/>
        </w:rPr>
        <w:t xml:space="preserve">، </w:t>
      </w:r>
      <w:r>
        <w:rPr>
          <w:noProof/>
        </w:rPr>
        <w:t>95</w:t>
      </w:r>
      <w:r>
        <w:rPr>
          <w:noProof/>
          <w:rtl/>
        </w:rPr>
        <w:t xml:space="preserve">، </w:t>
      </w:r>
      <w:r>
        <w:rPr>
          <w:noProof/>
        </w:rPr>
        <w:t>96</w:t>
      </w:r>
      <w:r>
        <w:rPr>
          <w:noProof/>
          <w:rtl/>
        </w:rPr>
        <w:t xml:space="preserve">، </w:t>
      </w:r>
      <w:r>
        <w:rPr>
          <w:noProof/>
        </w:rPr>
        <w:t>99</w:t>
      </w:r>
      <w:r>
        <w:rPr>
          <w:noProof/>
          <w:rtl/>
        </w:rPr>
        <w:t xml:space="preserve">، </w:t>
      </w:r>
      <w:r>
        <w:rPr>
          <w:noProof/>
        </w:rPr>
        <w:t>101</w:t>
      </w:r>
      <w:r>
        <w:rPr>
          <w:noProof/>
          <w:rtl/>
        </w:rPr>
        <w:t xml:space="preserve">، </w:t>
      </w:r>
      <w:r>
        <w:rPr>
          <w:noProof/>
        </w:rPr>
        <w:t>105</w:t>
      </w:r>
      <w:r>
        <w:rPr>
          <w:noProof/>
          <w:rtl/>
        </w:rPr>
        <w:t xml:space="preserve">، </w:t>
      </w:r>
      <w:r>
        <w:rPr>
          <w:noProof/>
        </w:rPr>
        <w:t>107</w:t>
      </w:r>
      <w:r>
        <w:rPr>
          <w:noProof/>
          <w:rtl/>
        </w:rPr>
        <w:t xml:space="preserve">، </w:t>
      </w:r>
      <w:r>
        <w:rPr>
          <w:noProof/>
        </w:rPr>
        <w:t>108</w:t>
      </w:r>
      <w:r>
        <w:rPr>
          <w:noProof/>
          <w:rtl/>
        </w:rPr>
        <w:t xml:space="preserve">، </w:t>
      </w:r>
      <w:r>
        <w:rPr>
          <w:noProof/>
        </w:rPr>
        <w:t>111</w:t>
      </w:r>
      <w:r>
        <w:rPr>
          <w:noProof/>
          <w:rtl/>
        </w:rPr>
        <w:t xml:space="preserve">، </w:t>
      </w:r>
      <w:r>
        <w:rPr>
          <w:noProof/>
        </w:rPr>
        <w:t>112</w:t>
      </w:r>
      <w:r>
        <w:rPr>
          <w:noProof/>
          <w:rtl/>
        </w:rPr>
        <w:t xml:space="preserve">، </w:t>
      </w:r>
      <w:r>
        <w:rPr>
          <w:noProof/>
        </w:rPr>
        <w:t>113</w:t>
      </w:r>
      <w:r>
        <w:rPr>
          <w:noProof/>
          <w:rtl/>
        </w:rPr>
        <w:t xml:space="preserve">، </w:t>
      </w:r>
      <w:r>
        <w:rPr>
          <w:noProof/>
        </w:rPr>
        <w:t>115</w:t>
      </w:r>
      <w:r>
        <w:rPr>
          <w:noProof/>
          <w:rtl/>
        </w:rPr>
        <w:t xml:space="preserve">، </w:t>
      </w:r>
      <w:r>
        <w:rPr>
          <w:noProof/>
        </w:rPr>
        <w:t>123</w:t>
      </w:r>
      <w:r>
        <w:rPr>
          <w:noProof/>
          <w:rtl/>
        </w:rPr>
        <w:t xml:space="preserve">، </w:t>
      </w:r>
      <w:r>
        <w:rPr>
          <w:noProof/>
        </w:rPr>
        <w:t>209</w:t>
      </w:r>
      <w:r>
        <w:rPr>
          <w:noProof/>
          <w:rtl/>
        </w:rPr>
        <w:t xml:space="preserve">، </w:t>
      </w:r>
      <w:r>
        <w:rPr>
          <w:noProof/>
        </w:rPr>
        <w:t>236</w:t>
      </w:r>
      <w:r>
        <w:rPr>
          <w:noProof/>
          <w:rtl/>
        </w:rPr>
        <w:t xml:space="preserve">، </w:t>
      </w:r>
      <w:r>
        <w:rPr>
          <w:noProof/>
        </w:rPr>
        <w:t>254</w:t>
      </w:r>
      <w:r>
        <w:rPr>
          <w:noProof/>
          <w:rtl/>
        </w:rPr>
        <w:t xml:space="preserve">، </w:t>
      </w:r>
      <w:r>
        <w:rPr>
          <w:noProof/>
        </w:rPr>
        <w:t>281</w:t>
      </w:r>
      <w:r>
        <w:rPr>
          <w:noProof/>
          <w:rtl/>
        </w:rPr>
        <w:t xml:space="preserve">، </w:t>
      </w:r>
      <w:r>
        <w:rPr>
          <w:noProof/>
        </w:rPr>
        <w:t>293</w:t>
      </w:r>
      <w:r>
        <w:rPr>
          <w:noProof/>
          <w:rtl/>
        </w:rPr>
        <w:t xml:space="preserve">، </w:t>
      </w:r>
      <w:r>
        <w:rPr>
          <w:noProof/>
        </w:rPr>
        <w:t>294</w:t>
      </w:r>
      <w:r>
        <w:rPr>
          <w:noProof/>
          <w:rtl/>
        </w:rPr>
        <w:t xml:space="preserve">، </w:t>
      </w:r>
      <w:r>
        <w:rPr>
          <w:noProof/>
        </w:rPr>
        <w:t>302</w:t>
      </w:r>
      <w:r>
        <w:rPr>
          <w:noProof/>
          <w:rtl/>
        </w:rPr>
        <w:t xml:space="preserve">، </w:t>
      </w:r>
      <w:r>
        <w:rPr>
          <w:noProof/>
        </w:rPr>
        <w:t>303</w:t>
      </w:r>
      <w:r>
        <w:rPr>
          <w:noProof/>
          <w:rtl/>
        </w:rPr>
        <w:t xml:space="preserve">، </w:t>
      </w:r>
      <w:r>
        <w:rPr>
          <w:noProof/>
        </w:rPr>
        <w:t>304</w:t>
      </w:r>
      <w:r>
        <w:rPr>
          <w:noProof/>
          <w:rtl/>
        </w:rPr>
        <w:t xml:space="preserve">، </w:t>
      </w:r>
      <w:r>
        <w:rPr>
          <w:noProof/>
        </w:rPr>
        <w:t>305</w:t>
      </w:r>
      <w:r>
        <w:rPr>
          <w:noProof/>
          <w:rtl/>
        </w:rPr>
        <w:t xml:space="preserve">، </w:t>
      </w:r>
      <w:r>
        <w:rPr>
          <w:noProof/>
        </w:rPr>
        <w:t>306</w:t>
      </w:r>
      <w:r>
        <w:rPr>
          <w:noProof/>
          <w:rtl/>
        </w:rPr>
        <w:t xml:space="preserve">، </w:t>
      </w:r>
      <w:r>
        <w:rPr>
          <w:noProof/>
        </w:rPr>
        <w:t>308</w:t>
      </w:r>
      <w:r>
        <w:rPr>
          <w:noProof/>
          <w:rtl/>
        </w:rPr>
        <w:t xml:space="preserve">، </w:t>
      </w:r>
      <w:r>
        <w:rPr>
          <w:noProof/>
        </w:rPr>
        <w:t>309</w:t>
      </w:r>
      <w:r>
        <w:rPr>
          <w:noProof/>
          <w:rtl/>
        </w:rPr>
        <w:t xml:space="preserve">، </w:t>
      </w:r>
      <w:r>
        <w:rPr>
          <w:noProof/>
        </w:rPr>
        <w:t>312</w:t>
      </w:r>
      <w:r>
        <w:rPr>
          <w:noProof/>
          <w:rtl/>
        </w:rPr>
        <w:t xml:space="preserve">، </w:t>
      </w:r>
      <w:r>
        <w:rPr>
          <w:noProof/>
        </w:rPr>
        <w:t>314</w:t>
      </w:r>
      <w:r>
        <w:rPr>
          <w:noProof/>
          <w:rtl/>
        </w:rPr>
        <w:t xml:space="preserve">، </w:t>
      </w:r>
      <w:r>
        <w:rPr>
          <w:noProof/>
        </w:rPr>
        <w:t>316</w:t>
      </w:r>
      <w:r>
        <w:rPr>
          <w:noProof/>
          <w:rtl/>
        </w:rPr>
        <w:t xml:space="preserve">، </w:t>
      </w:r>
      <w:r>
        <w:rPr>
          <w:noProof/>
        </w:rPr>
        <w:t>319</w:t>
      </w:r>
      <w:r>
        <w:rPr>
          <w:noProof/>
          <w:rtl/>
        </w:rPr>
        <w:t xml:space="preserve">، </w:t>
      </w:r>
      <w:r>
        <w:rPr>
          <w:noProof/>
        </w:rPr>
        <w:t>321</w:t>
      </w:r>
      <w:r>
        <w:rPr>
          <w:noProof/>
          <w:rtl/>
        </w:rPr>
        <w:t xml:space="preserve">، </w:t>
      </w:r>
      <w:r>
        <w:rPr>
          <w:noProof/>
        </w:rPr>
        <w:t>322</w:t>
      </w:r>
      <w:r>
        <w:rPr>
          <w:noProof/>
          <w:rtl/>
        </w:rPr>
        <w:t xml:space="preserve">، </w:t>
      </w:r>
      <w:r>
        <w:rPr>
          <w:noProof/>
        </w:rPr>
        <w:t>323</w:t>
      </w:r>
      <w:r>
        <w:rPr>
          <w:noProof/>
          <w:rtl/>
        </w:rPr>
        <w:t xml:space="preserve">، </w:t>
      </w:r>
      <w:r>
        <w:rPr>
          <w:noProof/>
        </w:rPr>
        <w:t>324</w:t>
      </w:r>
      <w:r>
        <w:rPr>
          <w:noProof/>
          <w:rtl/>
        </w:rPr>
        <w:t xml:space="preserve">، </w:t>
      </w:r>
      <w:r>
        <w:rPr>
          <w:noProof/>
        </w:rPr>
        <w:t>333</w:t>
      </w:r>
      <w:r>
        <w:rPr>
          <w:noProof/>
          <w:rtl/>
        </w:rPr>
        <w:t xml:space="preserve">، </w:t>
      </w:r>
      <w:r>
        <w:rPr>
          <w:noProof/>
        </w:rPr>
        <w:t>344</w:t>
      </w:r>
      <w:r>
        <w:rPr>
          <w:noProof/>
          <w:rtl/>
        </w:rPr>
        <w:t xml:space="preserve">، </w:t>
      </w:r>
      <w:r>
        <w:rPr>
          <w:noProof/>
        </w:rPr>
        <w:t>371</w:t>
      </w:r>
      <w:r>
        <w:rPr>
          <w:noProof/>
          <w:rtl/>
        </w:rPr>
        <w:t xml:space="preserve">، </w:t>
      </w:r>
      <w:r>
        <w:rPr>
          <w:noProof/>
        </w:rPr>
        <w:t>397</w:t>
      </w:r>
      <w:r>
        <w:rPr>
          <w:noProof/>
          <w:rtl/>
        </w:rPr>
        <w:t xml:space="preserve">، </w:t>
      </w:r>
      <w:r>
        <w:rPr>
          <w:noProof/>
        </w:rPr>
        <w:t>403</w:t>
      </w:r>
      <w:r>
        <w:rPr>
          <w:noProof/>
          <w:rtl/>
        </w:rPr>
        <w:t xml:space="preserve">، </w:t>
      </w:r>
      <w:r>
        <w:rPr>
          <w:noProof/>
        </w:rPr>
        <w:t>405</w:t>
      </w:r>
      <w:r>
        <w:rPr>
          <w:noProof/>
          <w:rtl/>
        </w:rPr>
        <w:t xml:space="preserve">، </w:t>
      </w:r>
      <w:r>
        <w:rPr>
          <w:noProof/>
        </w:rPr>
        <w:t>406</w:t>
      </w:r>
      <w:r>
        <w:rPr>
          <w:noProof/>
          <w:rtl/>
        </w:rPr>
        <w:t xml:space="preserve">، </w:t>
      </w:r>
      <w:r>
        <w:rPr>
          <w:noProof/>
        </w:rPr>
        <w:t>408</w:t>
      </w:r>
      <w:r>
        <w:rPr>
          <w:noProof/>
          <w:rtl/>
        </w:rPr>
        <w:t xml:space="preserve">، </w:t>
      </w:r>
      <w:r>
        <w:rPr>
          <w:noProof/>
        </w:rPr>
        <w:t>431</w:t>
      </w:r>
      <w:r>
        <w:rPr>
          <w:noProof/>
          <w:rtl/>
        </w:rPr>
        <w:t xml:space="preserve">، </w:t>
      </w:r>
      <w:r>
        <w:rPr>
          <w:noProof/>
        </w:rPr>
        <w:t>432</w:t>
      </w:r>
      <w:r>
        <w:rPr>
          <w:noProof/>
          <w:rtl/>
        </w:rPr>
        <w:t xml:space="preserve">، </w:t>
      </w:r>
      <w:r>
        <w:rPr>
          <w:noProof/>
        </w:rPr>
        <w:t>446</w:t>
      </w:r>
      <w:r>
        <w:rPr>
          <w:noProof/>
          <w:rtl/>
        </w:rPr>
        <w:t xml:space="preserve">، </w:t>
      </w:r>
      <w:r>
        <w:rPr>
          <w:noProof/>
        </w:rPr>
        <w:t>453</w:t>
      </w:r>
      <w:r>
        <w:rPr>
          <w:noProof/>
          <w:rtl/>
        </w:rPr>
        <w:t xml:space="preserve">، </w:t>
      </w:r>
      <w:r>
        <w:rPr>
          <w:noProof/>
        </w:rPr>
        <w:t>457</w:t>
      </w:r>
    </w:p>
    <w:p w:rsidR="002002F4" w:rsidRDefault="002002F4" w:rsidP="002002F4">
      <w:pPr>
        <w:ind w:firstLine="0"/>
        <w:rPr>
          <w:noProof/>
        </w:rPr>
      </w:pPr>
      <w:r>
        <w:rPr>
          <w:noProof/>
          <w:rtl/>
        </w:rPr>
        <w:t>المرعشي النجفيّ، السيّد شهاب</w:t>
      </w:r>
      <w:r>
        <w:rPr>
          <w:rFonts w:ascii="Times New Roman" w:hAnsi="Times New Roman" w:cs="Times New Roman" w:hint="cs"/>
          <w:noProof/>
          <w:rtl/>
        </w:rPr>
        <w:t>‌</w:t>
      </w:r>
      <w:r>
        <w:rPr>
          <w:rFonts w:ascii="Mosawi" w:hAnsi="Mosawi" w:hint="cs"/>
          <w:noProof/>
          <w:rtl/>
        </w:rPr>
        <w:t>الدين،</w:t>
      </w:r>
      <w:r>
        <w:rPr>
          <w:noProof/>
          <w:rtl/>
        </w:rPr>
        <w:t xml:space="preserve"> </w:t>
      </w:r>
      <w:r>
        <w:rPr>
          <w:noProof/>
        </w:rPr>
        <w:t>224</w:t>
      </w:r>
    </w:p>
    <w:p w:rsidR="002002F4" w:rsidRDefault="002002F4" w:rsidP="002002F4">
      <w:pPr>
        <w:ind w:firstLine="0"/>
        <w:rPr>
          <w:noProof/>
        </w:rPr>
      </w:pPr>
      <w:r>
        <w:rPr>
          <w:noProof/>
          <w:rtl/>
        </w:rPr>
        <w:t xml:space="preserve">مصباح اليزدي، محمّد تقي، </w:t>
      </w:r>
      <w:r>
        <w:rPr>
          <w:noProof/>
        </w:rPr>
        <w:t>56</w:t>
      </w:r>
      <w:r>
        <w:rPr>
          <w:noProof/>
          <w:rtl/>
        </w:rPr>
        <w:t xml:space="preserve">، </w:t>
      </w:r>
      <w:r>
        <w:rPr>
          <w:noProof/>
        </w:rPr>
        <w:t>58</w:t>
      </w:r>
      <w:r>
        <w:rPr>
          <w:noProof/>
          <w:rtl/>
        </w:rPr>
        <w:t xml:space="preserve">، </w:t>
      </w:r>
      <w:r>
        <w:rPr>
          <w:noProof/>
        </w:rPr>
        <w:t>64</w:t>
      </w:r>
      <w:r>
        <w:rPr>
          <w:noProof/>
          <w:rtl/>
        </w:rPr>
        <w:t xml:space="preserve">، </w:t>
      </w:r>
      <w:r>
        <w:rPr>
          <w:noProof/>
        </w:rPr>
        <w:t>256</w:t>
      </w:r>
      <w:r>
        <w:rPr>
          <w:noProof/>
          <w:rtl/>
        </w:rPr>
        <w:t xml:space="preserve">، </w:t>
      </w:r>
      <w:r>
        <w:rPr>
          <w:noProof/>
        </w:rPr>
        <w:t>259</w:t>
      </w:r>
      <w:r>
        <w:rPr>
          <w:noProof/>
          <w:rtl/>
        </w:rPr>
        <w:t xml:space="preserve">، </w:t>
      </w:r>
      <w:r>
        <w:rPr>
          <w:noProof/>
        </w:rPr>
        <w:t>260</w:t>
      </w:r>
      <w:r>
        <w:rPr>
          <w:noProof/>
          <w:rtl/>
        </w:rPr>
        <w:t xml:space="preserve">، </w:t>
      </w:r>
      <w:r>
        <w:rPr>
          <w:noProof/>
        </w:rPr>
        <w:t>423</w:t>
      </w:r>
      <w:r>
        <w:rPr>
          <w:noProof/>
          <w:rtl/>
        </w:rPr>
        <w:t xml:space="preserve">، </w:t>
      </w:r>
      <w:r>
        <w:rPr>
          <w:noProof/>
        </w:rPr>
        <w:t>428</w:t>
      </w:r>
      <w:r>
        <w:rPr>
          <w:noProof/>
          <w:rtl/>
        </w:rPr>
        <w:t xml:space="preserve">، </w:t>
      </w:r>
      <w:r>
        <w:rPr>
          <w:noProof/>
        </w:rPr>
        <w:t>452</w:t>
      </w:r>
      <w:r>
        <w:rPr>
          <w:noProof/>
          <w:rtl/>
        </w:rPr>
        <w:t xml:space="preserve">، </w:t>
      </w:r>
      <w:r>
        <w:rPr>
          <w:noProof/>
        </w:rPr>
        <w:t>454</w:t>
      </w:r>
    </w:p>
    <w:p w:rsidR="002002F4" w:rsidRDefault="002002F4" w:rsidP="002002F4">
      <w:pPr>
        <w:ind w:firstLine="0"/>
        <w:rPr>
          <w:noProof/>
        </w:rPr>
      </w:pPr>
      <w:r>
        <w:rPr>
          <w:noProof/>
          <w:rtl/>
        </w:rPr>
        <w:t xml:space="preserve">مصدق، محمّد، </w:t>
      </w:r>
      <w:r>
        <w:rPr>
          <w:noProof/>
        </w:rPr>
        <w:t>200</w:t>
      </w:r>
    </w:p>
    <w:p w:rsidR="002002F4" w:rsidRDefault="002002F4" w:rsidP="002002F4">
      <w:pPr>
        <w:ind w:firstLine="0"/>
        <w:rPr>
          <w:noProof/>
        </w:rPr>
      </w:pPr>
      <w:r>
        <w:rPr>
          <w:noProof/>
          <w:rtl/>
        </w:rPr>
        <w:t xml:space="preserve">مطبعجي الإصفهاني، مصطفي، </w:t>
      </w:r>
      <w:r>
        <w:rPr>
          <w:noProof/>
        </w:rPr>
        <w:t>14</w:t>
      </w:r>
    </w:p>
    <w:p w:rsidR="002002F4" w:rsidRDefault="002002F4" w:rsidP="002002F4">
      <w:pPr>
        <w:ind w:firstLine="0"/>
        <w:rPr>
          <w:noProof/>
        </w:rPr>
      </w:pPr>
      <w:r>
        <w:rPr>
          <w:noProof/>
          <w:rtl/>
        </w:rPr>
        <w:t xml:space="preserve">المطهري، مرتضى، </w:t>
      </w:r>
      <w:r>
        <w:rPr>
          <w:noProof/>
        </w:rPr>
        <w:t>29</w:t>
      </w:r>
      <w:r>
        <w:rPr>
          <w:noProof/>
          <w:rtl/>
        </w:rPr>
        <w:t xml:space="preserve">، </w:t>
      </w:r>
      <w:r>
        <w:rPr>
          <w:noProof/>
        </w:rPr>
        <w:t>46</w:t>
      </w:r>
      <w:r>
        <w:rPr>
          <w:noProof/>
          <w:rtl/>
        </w:rPr>
        <w:t xml:space="preserve">، </w:t>
      </w:r>
      <w:r>
        <w:rPr>
          <w:noProof/>
        </w:rPr>
        <w:t>55</w:t>
      </w:r>
      <w:r>
        <w:rPr>
          <w:noProof/>
          <w:rtl/>
        </w:rPr>
        <w:t xml:space="preserve">، </w:t>
      </w:r>
      <w:r>
        <w:rPr>
          <w:noProof/>
        </w:rPr>
        <w:t>56</w:t>
      </w:r>
      <w:r>
        <w:rPr>
          <w:noProof/>
          <w:rtl/>
        </w:rPr>
        <w:t xml:space="preserve">، </w:t>
      </w:r>
      <w:r>
        <w:rPr>
          <w:noProof/>
        </w:rPr>
        <w:t>57</w:t>
      </w:r>
      <w:r>
        <w:rPr>
          <w:noProof/>
          <w:rtl/>
        </w:rPr>
        <w:t xml:space="preserve">، </w:t>
      </w:r>
      <w:r>
        <w:rPr>
          <w:noProof/>
        </w:rPr>
        <w:t>59</w:t>
      </w:r>
      <w:r>
        <w:rPr>
          <w:noProof/>
          <w:rtl/>
        </w:rPr>
        <w:t xml:space="preserve">، </w:t>
      </w:r>
      <w:r>
        <w:rPr>
          <w:noProof/>
        </w:rPr>
        <w:t>63</w:t>
      </w:r>
      <w:r>
        <w:rPr>
          <w:noProof/>
          <w:rtl/>
        </w:rPr>
        <w:t xml:space="preserve">، </w:t>
      </w:r>
      <w:r>
        <w:rPr>
          <w:noProof/>
        </w:rPr>
        <w:t>64</w:t>
      </w:r>
      <w:r>
        <w:rPr>
          <w:noProof/>
          <w:rtl/>
        </w:rPr>
        <w:t xml:space="preserve">، </w:t>
      </w:r>
      <w:r>
        <w:rPr>
          <w:noProof/>
        </w:rPr>
        <w:t>65</w:t>
      </w:r>
      <w:r>
        <w:rPr>
          <w:noProof/>
          <w:rtl/>
        </w:rPr>
        <w:t xml:space="preserve">، </w:t>
      </w:r>
      <w:r>
        <w:rPr>
          <w:noProof/>
        </w:rPr>
        <w:t>113</w:t>
      </w:r>
      <w:r>
        <w:rPr>
          <w:noProof/>
          <w:rtl/>
        </w:rPr>
        <w:t xml:space="preserve">، </w:t>
      </w:r>
      <w:r>
        <w:rPr>
          <w:noProof/>
        </w:rPr>
        <w:t>142</w:t>
      </w:r>
      <w:r>
        <w:rPr>
          <w:noProof/>
          <w:rtl/>
        </w:rPr>
        <w:t xml:space="preserve">، </w:t>
      </w:r>
      <w:r>
        <w:rPr>
          <w:noProof/>
        </w:rPr>
        <w:t>143</w:t>
      </w:r>
      <w:r>
        <w:rPr>
          <w:noProof/>
          <w:rtl/>
        </w:rPr>
        <w:t xml:space="preserve">، </w:t>
      </w:r>
      <w:r>
        <w:rPr>
          <w:noProof/>
        </w:rPr>
        <w:t>177</w:t>
      </w:r>
      <w:r>
        <w:rPr>
          <w:noProof/>
          <w:rtl/>
        </w:rPr>
        <w:t xml:space="preserve">، </w:t>
      </w:r>
      <w:r>
        <w:rPr>
          <w:noProof/>
        </w:rPr>
        <w:t>178</w:t>
      </w:r>
      <w:r>
        <w:rPr>
          <w:noProof/>
          <w:rtl/>
        </w:rPr>
        <w:t xml:space="preserve">، </w:t>
      </w:r>
      <w:r>
        <w:rPr>
          <w:noProof/>
        </w:rPr>
        <w:t>179</w:t>
      </w:r>
      <w:r>
        <w:rPr>
          <w:noProof/>
          <w:rtl/>
        </w:rPr>
        <w:t xml:space="preserve">، </w:t>
      </w:r>
      <w:r>
        <w:rPr>
          <w:noProof/>
        </w:rPr>
        <w:t>219</w:t>
      </w:r>
      <w:r>
        <w:rPr>
          <w:noProof/>
          <w:rtl/>
        </w:rPr>
        <w:t xml:space="preserve">، </w:t>
      </w:r>
      <w:r>
        <w:rPr>
          <w:noProof/>
        </w:rPr>
        <w:t>220</w:t>
      </w:r>
      <w:r>
        <w:rPr>
          <w:noProof/>
          <w:rtl/>
        </w:rPr>
        <w:t xml:space="preserve">، </w:t>
      </w:r>
      <w:r>
        <w:rPr>
          <w:noProof/>
        </w:rPr>
        <w:t>252</w:t>
      </w:r>
    </w:p>
    <w:p w:rsidR="002002F4" w:rsidRDefault="002002F4" w:rsidP="002002F4">
      <w:pPr>
        <w:ind w:firstLine="0"/>
        <w:rPr>
          <w:noProof/>
        </w:rPr>
      </w:pPr>
      <w:r>
        <w:rPr>
          <w:noProof/>
          <w:rtl/>
        </w:rPr>
        <w:t xml:space="preserve">المُظفّر، محمّد رضا، </w:t>
      </w:r>
      <w:r>
        <w:rPr>
          <w:noProof/>
        </w:rPr>
        <w:t>64</w:t>
      </w:r>
      <w:r>
        <w:rPr>
          <w:noProof/>
          <w:rtl/>
        </w:rPr>
        <w:t xml:space="preserve">، </w:t>
      </w:r>
      <w:r>
        <w:rPr>
          <w:noProof/>
        </w:rPr>
        <w:t>427</w:t>
      </w:r>
    </w:p>
    <w:p w:rsidR="002002F4" w:rsidRDefault="002002F4" w:rsidP="002002F4">
      <w:pPr>
        <w:ind w:firstLine="0"/>
        <w:rPr>
          <w:noProof/>
        </w:rPr>
      </w:pPr>
      <w:r>
        <w:rPr>
          <w:noProof/>
          <w:rtl/>
        </w:rPr>
        <w:t xml:space="preserve">المعصومي لاري، محمّد مسعود، </w:t>
      </w:r>
      <w:r>
        <w:rPr>
          <w:noProof/>
        </w:rPr>
        <w:t>18</w:t>
      </w:r>
    </w:p>
    <w:p w:rsidR="002002F4" w:rsidRDefault="002002F4" w:rsidP="002002F4">
      <w:pPr>
        <w:ind w:firstLine="0"/>
        <w:rPr>
          <w:noProof/>
        </w:rPr>
      </w:pPr>
      <w:r>
        <w:rPr>
          <w:noProof/>
          <w:rtl/>
        </w:rPr>
        <w:t xml:space="preserve">معلى بن محمّد، </w:t>
      </w:r>
      <w:r>
        <w:rPr>
          <w:noProof/>
        </w:rPr>
        <w:t>363</w:t>
      </w:r>
    </w:p>
    <w:p w:rsidR="002002F4" w:rsidRDefault="002002F4" w:rsidP="002002F4">
      <w:pPr>
        <w:ind w:firstLine="0"/>
        <w:rPr>
          <w:noProof/>
        </w:rPr>
      </w:pPr>
      <w:r>
        <w:rPr>
          <w:noProof/>
          <w:rtl/>
        </w:rPr>
        <w:t xml:space="preserve">مكارم الشيرازي، ناصر، </w:t>
      </w:r>
      <w:r>
        <w:rPr>
          <w:noProof/>
        </w:rPr>
        <w:t>132</w:t>
      </w:r>
      <w:r>
        <w:rPr>
          <w:noProof/>
          <w:rtl/>
        </w:rPr>
        <w:t xml:space="preserve">، </w:t>
      </w:r>
      <w:r>
        <w:rPr>
          <w:noProof/>
        </w:rPr>
        <w:t>234</w:t>
      </w:r>
      <w:r>
        <w:rPr>
          <w:noProof/>
          <w:rtl/>
        </w:rPr>
        <w:t xml:space="preserve">، </w:t>
      </w:r>
      <w:r>
        <w:rPr>
          <w:noProof/>
        </w:rPr>
        <w:t>298</w:t>
      </w:r>
      <w:r>
        <w:rPr>
          <w:noProof/>
          <w:rtl/>
        </w:rPr>
        <w:t xml:space="preserve">، </w:t>
      </w:r>
      <w:r>
        <w:rPr>
          <w:noProof/>
        </w:rPr>
        <w:t>310</w:t>
      </w:r>
      <w:r>
        <w:rPr>
          <w:noProof/>
          <w:rtl/>
        </w:rPr>
        <w:t xml:space="preserve">، </w:t>
      </w:r>
      <w:r>
        <w:rPr>
          <w:noProof/>
        </w:rPr>
        <w:t>325</w:t>
      </w:r>
      <w:r>
        <w:rPr>
          <w:noProof/>
          <w:rtl/>
        </w:rPr>
        <w:t xml:space="preserve">، </w:t>
      </w:r>
      <w:r>
        <w:rPr>
          <w:noProof/>
        </w:rPr>
        <w:t>330</w:t>
      </w:r>
      <w:r>
        <w:rPr>
          <w:noProof/>
          <w:rtl/>
        </w:rPr>
        <w:t xml:space="preserve">، </w:t>
      </w:r>
      <w:r>
        <w:rPr>
          <w:noProof/>
        </w:rPr>
        <w:t>367</w:t>
      </w:r>
    </w:p>
    <w:p w:rsidR="002002F4" w:rsidRDefault="002002F4" w:rsidP="002002F4">
      <w:pPr>
        <w:ind w:firstLine="0"/>
        <w:rPr>
          <w:noProof/>
        </w:rPr>
      </w:pPr>
      <w:r>
        <w:rPr>
          <w:noProof/>
          <w:rtl/>
        </w:rPr>
        <w:t xml:space="preserve">مكي العاملي، حسن محمّد، </w:t>
      </w:r>
      <w:r>
        <w:rPr>
          <w:noProof/>
        </w:rPr>
        <w:t>427</w:t>
      </w:r>
    </w:p>
    <w:p w:rsidR="002002F4" w:rsidRDefault="002002F4" w:rsidP="002002F4">
      <w:pPr>
        <w:ind w:firstLine="0"/>
        <w:rPr>
          <w:noProof/>
        </w:rPr>
      </w:pPr>
      <w:r>
        <w:rPr>
          <w:noProof/>
          <w:rtl/>
        </w:rPr>
        <w:t xml:space="preserve">المنتظري، الشيخ حسينعلي، </w:t>
      </w:r>
      <w:r>
        <w:rPr>
          <w:noProof/>
        </w:rPr>
        <w:t>118</w:t>
      </w:r>
      <w:r>
        <w:rPr>
          <w:noProof/>
          <w:rtl/>
        </w:rPr>
        <w:t xml:space="preserve">، </w:t>
      </w:r>
      <w:r>
        <w:rPr>
          <w:noProof/>
        </w:rPr>
        <w:t>132</w:t>
      </w:r>
      <w:r>
        <w:rPr>
          <w:noProof/>
          <w:rtl/>
        </w:rPr>
        <w:t xml:space="preserve">، </w:t>
      </w:r>
      <w:r>
        <w:rPr>
          <w:noProof/>
        </w:rPr>
        <w:t>179</w:t>
      </w:r>
      <w:r>
        <w:rPr>
          <w:noProof/>
          <w:rtl/>
        </w:rPr>
        <w:t xml:space="preserve">، </w:t>
      </w:r>
      <w:r>
        <w:rPr>
          <w:noProof/>
        </w:rPr>
        <w:t>180</w:t>
      </w:r>
      <w:r>
        <w:rPr>
          <w:noProof/>
          <w:rtl/>
        </w:rPr>
        <w:t xml:space="preserve">، </w:t>
      </w:r>
      <w:r>
        <w:rPr>
          <w:noProof/>
        </w:rPr>
        <w:t>184</w:t>
      </w:r>
      <w:r>
        <w:rPr>
          <w:noProof/>
          <w:rtl/>
        </w:rPr>
        <w:t xml:space="preserve">، </w:t>
      </w:r>
      <w:r>
        <w:rPr>
          <w:noProof/>
        </w:rPr>
        <w:t>223</w:t>
      </w:r>
      <w:r>
        <w:rPr>
          <w:noProof/>
          <w:rtl/>
        </w:rPr>
        <w:t xml:space="preserve">، </w:t>
      </w:r>
      <w:r>
        <w:rPr>
          <w:noProof/>
        </w:rPr>
        <w:t>224</w:t>
      </w:r>
      <w:r>
        <w:rPr>
          <w:noProof/>
          <w:rtl/>
        </w:rPr>
        <w:t xml:space="preserve">، </w:t>
      </w:r>
      <w:r>
        <w:rPr>
          <w:noProof/>
        </w:rPr>
        <w:t>228</w:t>
      </w:r>
      <w:r>
        <w:rPr>
          <w:noProof/>
          <w:rtl/>
        </w:rPr>
        <w:t xml:space="preserve">، </w:t>
      </w:r>
      <w:r>
        <w:rPr>
          <w:noProof/>
        </w:rPr>
        <w:t>253</w:t>
      </w:r>
      <w:r>
        <w:rPr>
          <w:noProof/>
          <w:rtl/>
        </w:rPr>
        <w:t xml:space="preserve">، </w:t>
      </w:r>
      <w:r>
        <w:rPr>
          <w:noProof/>
        </w:rPr>
        <w:t>297</w:t>
      </w:r>
      <w:r>
        <w:rPr>
          <w:noProof/>
          <w:rtl/>
        </w:rPr>
        <w:t xml:space="preserve">، </w:t>
      </w:r>
      <w:r>
        <w:rPr>
          <w:noProof/>
        </w:rPr>
        <w:t>306</w:t>
      </w:r>
      <w:r>
        <w:rPr>
          <w:noProof/>
          <w:rtl/>
        </w:rPr>
        <w:t xml:space="preserve">، </w:t>
      </w:r>
      <w:r>
        <w:rPr>
          <w:noProof/>
        </w:rPr>
        <w:t>310</w:t>
      </w:r>
      <w:r>
        <w:rPr>
          <w:noProof/>
          <w:rtl/>
        </w:rPr>
        <w:t xml:space="preserve">، </w:t>
      </w:r>
      <w:r>
        <w:rPr>
          <w:noProof/>
        </w:rPr>
        <w:t>316</w:t>
      </w:r>
      <w:r>
        <w:rPr>
          <w:noProof/>
          <w:rtl/>
        </w:rPr>
        <w:t xml:space="preserve">، </w:t>
      </w:r>
      <w:r>
        <w:rPr>
          <w:noProof/>
        </w:rPr>
        <w:t>317</w:t>
      </w:r>
      <w:r>
        <w:rPr>
          <w:noProof/>
          <w:rtl/>
        </w:rPr>
        <w:t xml:space="preserve">، </w:t>
      </w:r>
      <w:r>
        <w:rPr>
          <w:noProof/>
        </w:rPr>
        <w:t>318</w:t>
      </w:r>
      <w:r>
        <w:rPr>
          <w:noProof/>
          <w:rtl/>
        </w:rPr>
        <w:t xml:space="preserve">، </w:t>
      </w:r>
      <w:r>
        <w:rPr>
          <w:noProof/>
        </w:rPr>
        <w:t>325</w:t>
      </w:r>
      <w:r>
        <w:rPr>
          <w:noProof/>
          <w:rtl/>
        </w:rPr>
        <w:t xml:space="preserve">، </w:t>
      </w:r>
      <w:r>
        <w:rPr>
          <w:noProof/>
        </w:rPr>
        <w:t>328</w:t>
      </w:r>
      <w:r>
        <w:rPr>
          <w:noProof/>
          <w:rtl/>
        </w:rPr>
        <w:t xml:space="preserve">، </w:t>
      </w:r>
      <w:r>
        <w:rPr>
          <w:noProof/>
        </w:rPr>
        <w:t>330</w:t>
      </w:r>
      <w:r>
        <w:rPr>
          <w:noProof/>
          <w:rtl/>
        </w:rPr>
        <w:t xml:space="preserve">، </w:t>
      </w:r>
      <w:r>
        <w:rPr>
          <w:noProof/>
        </w:rPr>
        <w:t>336</w:t>
      </w:r>
      <w:r>
        <w:rPr>
          <w:noProof/>
          <w:rtl/>
        </w:rPr>
        <w:t xml:space="preserve">، </w:t>
      </w:r>
      <w:r>
        <w:rPr>
          <w:noProof/>
        </w:rPr>
        <w:t>360</w:t>
      </w:r>
      <w:r>
        <w:rPr>
          <w:noProof/>
          <w:rtl/>
        </w:rPr>
        <w:t xml:space="preserve">، </w:t>
      </w:r>
      <w:r>
        <w:rPr>
          <w:noProof/>
        </w:rPr>
        <w:t>367</w:t>
      </w:r>
      <w:r>
        <w:rPr>
          <w:noProof/>
          <w:rtl/>
        </w:rPr>
        <w:t xml:space="preserve">، </w:t>
      </w:r>
      <w:r>
        <w:rPr>
          <w:noProof/>
        </w:rPr>
        <w:t>373</w:t>
      </w:r>
      <w:r>
        <w:rPr>
          <w:noProof/>
          <w:rtl/>
        </w:rPr>
        <w:t xml:space="preserve">، </w:t>
      </w:r>
      <w:r>
        <w:rPr>
          <w:noProof/>
        </w:rPr>
        <w:t>382</w:t>
      </w:r>
      <w:r>
        <w:rPr>
          <w:noProof/>
          <w:rtl/>
        </w:rPr>
        <w:t xml:space="preserve">، </w:t>
      </w:r>
      <w:r>
        <w:rPr>
          <w:noProof/>
        </w:rPr>
        <w:t>388</w:t>
      </w:r>
      <w:r>
        <w:rPr>
          <w:noProof/>
          <w:rtl/>
        </w:rPr>
        <w:t xml:space="preserve">، </w:t>
      </w:r>
      <w:r>
        <w:rPr>
          <w:noProof/>
        </w:rPr>
        <w:t>390</w:t>
      </w:r>
      <w:r>
        <w:rPr>
          <w:noProof/>
          <w:rtl/>
        </w:rPr>
        <w:t xml:space="preserve">، </w:t>
      </w:r>
      <w:r>
        <w:rPr>
          <w:noProof/>
        </w:rPr>
        <w:t>443</w:t>
      </w:r>
      <w:r>
        <w:rPr>
          <w:noProof/>
          <w:rtl/>
        </w:rPr>
        <w:t xml:space="preserve">، </w:t>
      </w:r>
      <w:r>
        <w:rPr>
          <w:noProof/>
        </w:rPr>
        <w:t>444</w:t>
      </w:r>
      <w:r>
        <w:rPr>
          <w:noProof/>
          <w:rtl/>
        </w:rPr>
        <w:t xml:space="preserve">، </w:t>
      </w:r>
      <w:r>
        <w:rPr>
          <w:noProof/>
        </w:rPr>
        <w:t>445</w:t>
      </w:r>
    </w:p>
    <w:p w:rsidR="002002F4" w:rsidRDefault="002002F4" w:rsidP="002002F4">
      <w:pPr>
        <w:ind w:firstLine="0"/>
        <w:rPr>
          <w:noProof/>
        </w:rPr>
      </w:pPr>
      <w:r>
        <w:rPr>
          <w:noProof/>
          <w:rtl/>
        </w:rPr>
        <w:t xml:space="preserve">الموسوي أردبيلي، السيّد عبدالكريم، </w:t>
      </w:r>
      <w:r>
        <w:rPr>
          <w:noProof/>
        </w:rPr>
        <w:t>220</w:t>
      </w:r>
    </w:p>
    <w:p w:rsidR="002002F4" w:rsidRDefault="002002F4" w:rsidP="002002F4">
      <w:pPr>
        <w:ind w:firstLine="0"/>
        <w:rPr>
          <w:noProof/>
        </w:rPr>
      </w:pPr>
      <w:r>
        <w:rPr>
          <w:noProof/>
          <w:rtl/>
        </w:rPr>
        <w:t xml:space="preserve">الموسوي التبريزي، السيّد أبو الفضل، </w:t>
      </w:r>
      <w:r>
        <w:rPr>
          <w:noProof/>
        </w:rPr>
        <w:t>232</w:t>
      </w:r>
    </w:p>
    <w:p w:rsidR="002002F4" w:rsidRDefault="002002F4" w:rsidP="002002F4">
      <w:pPr>
        <w:ind w:firstLine="0"/>
        <w:rPr>
          <w:noProof/>
        </w:rPr>
      </w:pPr>
      <w:r>
        <w:rPr>
          <w:noProof/>
          <w:rtl/>
        </w:rPr>
        <w:t xml:space="preserve">موله، ماري جان، </w:t>
      </w:r>
      <w:r>
        <w:rPr>
          <w:noProof/>
        </w:rPr>
        <w:t>52</w:t>
      </w:r>
    </w:p>
    <w:p w:rsidR="002002F4" w:rsidRDefault="002002F4" w:rsidP="002002F4">
      <w:pPr>
        <w:ind w:firstLine="0"/>
        <w:rPr>
          <w:noProof/>
        </w:rPr>
      </w:pPr>
      <w:r>
        <w:rPr>
          <w:noProof/>
          <w:rtl/>
        </w:rPr>
        <w:t xml:space="preserve">مؤمن القمي، محمّد، </w:t>
      </w:r>
      <w:r>
        <w:rPr>
          <w:noProof/>
        </w:rPr>
        <w:t>56</w:t>
      </w:r>
      <w:r>
        <w:rPr>
          <w:noProof/>
          <w:rtl/>
        </w:rPr>
        <w:t xml:space="preserve">، </w:t>
      </w:r>
      <w:r>
        <w:rPr>
          <w:noProof/>
        </w:rPr>
        <w:t>62</w:t>
      </w:r>
      <w:r>
        <w:rPr>
          <w:noProof/>
          <w:rtl/>
        </w:rPr>
        <w:t xml:space="preserve">، </w:t>
      </w:r>
      <w:r>
        <w:rPr>
          <w:noProof/>
        </w:rPr>
        <w:t>73</w:t>
      </w:r>
      <w:r>
        <w:rPr>
          <w:noProof/>
          <w:rtl/>
        </w:rPr>
        <w:t xml:space="preserve">، </w:t>
      </w:r>
      <w:r>
        <w:rPr>
          <w:noProof/>
        </w:rPr>
        <w:t>119</w:t>
      </w:r>
      <w:r>
        <w:rPr>
          <w:noProof/>
          <w:rtl/>
        </w:rPr>
        <w:t xml:space="preserve">، </w:t>
      </w:r>
      <w:r>
        <w:rPr>
          <w:noProof/>
        </w:rPr>
        <w:t>143</w:t>
      </w:r>
      <w:r>
        <w:rPr>
          <w:noProof/>
          <w:rtl/>
        </w:rPr>
        <w:t xml:space="preserve">، </w:t>
      </w:r>
      <w:r>
        <w:rPr>
          <w:noProof/>
        </w:rPr>
        <w:t>144</w:t>
      </w:r>
      <w:r>
        <w:rPr>
          <w:noProof/>
          <w:rtl/>
        </w:rPr>
        <w:t xml:space="preserve">، </w:t>
      </w:r>
      <w:r>
        <w:rPr>
          <w:noProof/>
        </w:rPr>
        <w:t>145</w:t>
      </w:r>
    </w:p>
    <w:p w:rsidR="002002F4" w:rsidRDefault="002002F4" w:rsidP="002002F4">
      <w:pPr>
        <w:ind w:firstLine="0"/>
        <w:rPr>
          <w:noProof/>
        </w:rPr>
      </w:pPr>
      <w:r>
        <w:rPr>
          <w:noProof/>
          <w:rtl/>
        </w:rPr>
        <w:t xml:space="preserve">الميرزا القمّي </w:t>
      </w:r>
      <w:r>
        <w:rPr>
          <w:noProof/>
        </w:rPr>
        <w:t>=</w:t>
      </w:r>
      <w:r>
        <w:rPr>
          <w:noProof/>
          <w:rtl/>
        </w:rPr>
        <w:t xml:space="preserve"> </w:t>
      </w:r>
      <w:r>
        <w:rPr>
          <w:rFonts w:hint="cs"/>
          <w:noProof/>
          <w:rtl/>
        </w:rPr>
        <w:t>الجيلاني، ميرزا أبوالقاسم</w:t>
      </w:r>
    </w:p>
    <w:p w:rsidR="002002F4" w:rsidRDefault="002002F4" w:rsidP="002002F4">
      <w:pPr>
        <w:ind w:firstLine="0"/>
        <w:rPr>
          <w:noProof/>
        </w:rPr>
      </w:pPr>
      <w:r>
        <w:rPr>
          <w:noProof/>
          <w:rtl/>
        </w:rPr>
        <w:t xml:space="preserve">الميرزا النائيني، الشيخ محمّدحسين، </w:t>
      </w:r>
      <w:r>
        <w:rPr>
          <w:noProof/>
        </w:rPr>
        <w:t>29</w:t>
      </w:r>
      <w:r>
        <w:rPr>
          <w:noProof/>
          <w:rtl/>
        </w:rPr>
        <w:t xml:space="preserve">، </w:t>
      </w:r>
      <w:r>
        <w:rPr>
          <w:noProof/>
        </w:rPr>
        <w:t>131</w:t>
      </w:r>
      <w:r>
        <w:rPr>
          <w:noProof/>
          <w:rtl/>
        </w:rPr>
        <w:t xml:space="preserve">، </w:t>
      </w:r>
      <w:r>
        <w:rPr>
          <w:noProof/>
        </w:rPr>
        <w:t>157</w:t>
      </w:r>
      <w:r>
        <w:rPr>
          <w:noProof/>
          <w:rtl/>
        </w:rPr>
        <w:t xml:space="preserve">، </w:t>
      </w:r>
      <w:r>
        <w:rPr>
          <w:noProof/>
        </w:rPr>
        <w:t>160</w:t>
      </w:r>
      <w:r>
        <w:rPr>
          <w:noProof/>
          <w:rtl/>
        </w:rPr>
        <w:t xml:space="preserve">، </w:t>
      </w:r>
      <w:r>
        <w:rPr>
          <w:noProof/>
        </w:rPr>
        <w:t>171</w:t>
      </w:r>
      <w:r>
        <w:rPr>
          <w:noProof/>
          <w:rtl/>
        </w:rPr>
        <w:t xml:space="preserve">، </w:t>
      </w:r>
      <w:r>
        <w:rPr>
          <w:noProof/>
        </w:rPr>
        <w:t>172</w:t>
      </w:r>
      <w:r>
        <w:rPr>
          <w:noProof/>
          <w:rtl/>
        </w:rPr>
        <w:t xml:space="preserve">، </w:t>
      </w:r>
      <w:r>
        <w:rPr>
          <w:noProof/>
        </w:rPr>
        <w:t>214</w:t>
      </w:r>
      <w:r>
        <w:rPr>
          <w:noProof/>
          <w:rtl/>
        </w:rPr>
        <w:t xml:space="preserve">، </w:t>
      </w:r>
      <w:r>
        <w:rPr>
          <w:noProof/>
        </w:rPr>
        <w:t>297</w:t>
      </w:r>
      <w:r>
        <w:rPr>
          <w:noProof/>
          <w:rtl/>
        </w:rPr>
        <w:t xml:space="preserve">، </w:t>
      </w:r>
      <w:r>
        <w:rPr>
          <w:noProof/>
        </w:rPr>
        <w:t>300</w:t>
      </w:r>
      <w:r>
        <w:rPr>
          <w:noProof/>
          <w:rtl/>
        </w:rPr>
        <w:t xml:space="preserve">، </w:t>
      </w:r>
      <w:r>
        <w:rPr>
          <w:noProof/>
        </w:rPr>
        <w:t>309</w:t>
      </w:r>
      <w:r>
        <w:rPr>
          <w:noProof/>
          <w:rtl/>
        </w:rPr>
        <w:t xml:space="preserve">، </w:t>
      </w:r>
      <w:r>
        <w:rPr>
          <w:noProof/>
        </w:rPr>
        <w:t>316</w:t>
      </w:r>
      <w:r>
        <w:rPr>
          <w:noProof/>
          <w:rtl/>
        </w:rPr>
        <w:t xml:space="preserve">، </w:t>
      </w:r>
      <w:r>
        <w:rPr>
          <w:noProof/>
        </w:rPr>
        <w:t>317</w:t>
      </w:r>
      <w:r>
        <w:rPr>
          <w:noProof/>
          <w:rtl/>
        </w:rPr>
        <w:t xml:space="preserve">، </w:t>
      </w:r>
      <w:r>
        <w:rPr>
          <w:noProof/>
        </w:rPr>
        <w:t>325</w:t>
      </w:r>
      <w:r>
        <w:rPr>
          <w:noProof/>
          <w:rtl/>
        </w:rPr>
        <w:t xml:space="preserve">، </w:t>
      </w:r>
      <w:r>
        <w:rPr>
          <w:noProof/>
        </w:rPr>
        <w:t>328</w:t>
      </w:r>
      <w:r>
        <w:rPr>
          <w:noProof/>
          <w:rtl/>
        </w:rPr>
        <w:t xml:space="preserve">، </w:t>
      </w:r>
      <w:r>
        <w:rPr>
          <w:noProof/>
        </w:rPr>
        <w:t>330</w:t>
      </w:r>
      <w:r>
        <w:rPr>
          <w:noProof/>
          <w:rtl/>
        </w:rPr>
        <w:t xml:space="preserve">، </w:t>
      </w:r>
      <w:r>
        <w:rPr>
          <w:noProof/>
        </w:rPr>
        <w:t>346</w:t>
      </w:r>
      <w:r>
        <w:rPr>
          <w:noProof/>
          <w:rtl/>
        </w:rPr>
        <w:t xml:space="preserve">، </w:t>
      </w:r>
      <w:r>
        <w:rPr>
          <w:noProof/>
        </w:rPr>
        <w:t>366</w:t>
      </w:r>
      <w:r>
        <w:rPr>
          <w:noProof/>
          <w:rtl/>
        </w:rPr>
        <w:t xml:space="preserve">، </w:t>
      </w:r>
      <w:r>
        <w:rPr>
          <w:noProof/>
        </w:rPr>
        <w:t>381</w:t>
      </w:r>
      <w:r>
        <w:rPr>
          <w:noProof/>
          <w:rtl/>
        </w:rPr>
        <w:t xml:space="preserve">، </w:t>
      </w:r>
      <w:r>
        <w:rPr>
          <w:noProof/>
        </w:rPr>
        <w:t>382</w:t>
      </w:r>
    </w:p>
    <w:p w:rsidR="002002F4" w:rsidRDefault="002002F4" w:rsidP="002002F4">
      <w:pPr>
        <w:ind w:firstLine="0"/>
        <w:rPr>
          <w:noProof/>
        </w:rPr>
      </w:pPr>
      <w:r>
        <w:rPr>
          <w:noProof/>
          <w:rtl/>
        </w:rPr>
        <w:t xml:space="preserve">الميلاني، السيّد محمّد هادي، </w:t>
      </w:r>
      <w:r>
        <w:rPr>
          <w:noProof/>
        </w:rPr>
        <w:t>308</w:t>
      </w:r>
      <w:r>
        <w:rPr>
          <w:noProof/>
          <w:rtl/>
        </w:rPr>
        <w:t xml:space="preserve">، </w:t>
      </w:r>
      <w:r>
        <w:rPr>
          <w:noProof/>
        </w:rPr>
        <w:t>310</w:t>
      </w:r>
      <w:r>
        <w:rPr>
          <w:noProof/>
          <w:rtl/>
        </w:rPr>
        <w:t xml:space="preserve">، </w:t>
      </w:r>
      <w:r>
        <w:rPr>
          <w:noProof/>
        </w:rPr>
        <w:t>317</w:t>
      </w:r>
      <w:r>
        <w:rPr>
          <w:noProof/>
          <w:rtl/>
        </w:rPr>
        <w:t xml:space="preserve">، </w:t>
      </w:r>
      <w:r>
        <w:rPr>
          <w:noProof/>
        </w:rPr>
        <w:t>325</w:t>
      </w:r>
      <w:r>
        <w:rPr>
          <w:noProof/>
          <w:rtl/>
        </w:rPr>
        <w:t xml:space="preserve">، </w:t>
      </w:r>
      <w:r>
        <w:rPr>
          <w:noProof/>
        </w:rPr>
        <w:t>327</w:t>
      </w:r>
      <w:r>
        <w:rPr>
          <w:noProof/>
          <w:rtl/>
        </w:rPr>
        <w:t xml:space="preserve">، </w:t>
      </w:r>
      <w:r>
        <w:rPr>
          <w:noProof/>
        </w:rPr>
        <w:t>339</w:t>
      </w:r>
      <w:r>
        <w:rPr>
          <w:noProof/>
          <w:rtl/>
        </w:rPr>
        <w:t xml:space="preserve">، </w:t>
      </w:r>
      <w:r>
        <w:rPr>
          <w:noProof/>
        </w:rPr>
        <w:t>353</w:t>
      </w:r>
      <w:r>
        <w:rPr>
          <w:noProof/>
          <w:rtl/>
        </w:rPr>
        <w:t xml:space="preserve">، </w:t>
      </w:r>
      <w:r>
        <w:rPr>
          <w:noProof/>
        </w:rPr>
        <w:t>377</w:t>
      </w:r>
    </w:p>
    <w:p w:rsidR="002002F4" w:rsidRDefault="002002F4" w:rsidP="002002F4">
      <w:pPr>
        <w:ind w:firstLine="0"/>
        <w:rPr>
          <w:noProof/>
        </w:rPr>
      </w:pPr>
      <w:r>
        <w:rPr>
          <w:noProof/>
          <w:rtl/>
        </w:rPr>
        <w:t xml:space="preserve">النبي إبراهيم(ع) ، </w:t>
      </w:r>
      <w:r>
        <w:rPr>
          <w:noProof/>
        </w:rPr>
        <w:t>49</w:t>
      </w:r>
      <w:r>
        <w:rPr>
          <w:noProof/>
          <w:rtl/>
        </w:rPr>
        <w:t xml:space="preserve">، </w:t>
      </w:r>
      <w:r>
        <w:rPr>
          <w:noProof/>
        </w:rPr>
        <w:t>93</w:t>
      </w:r>
      <w:r>
        <w:rPr>
          <w:noProof/>
          <w:rtl/>
        </w:rPr>
        <w:t xml:space="preserve">، </w:t>
      </w:r>
      <w:r>
        <w:rPr>
          <w:noProof/>
        </w:rPr>
        <w:t>316</w:t>
      </w:r>
      <w:r>
        <w:rPr>
          <w:noProof/>
          <w:rtl/>
        </w:rPr>
        <w:t xml:space="preserve">، </w:t>
      </w:r>
      <w:r>
        <w:rPr>
          <w:noProof/>
        </w:rPr>
        <w:t>372</w:t>
      </w:r>
      <w:r>
        <w:rPr>
          <w:noProof/>
          <w:rtl/>
        </w:rPr>
        <w:t xml:space="preserve">، </w:t>
      </w:r>
      <w:r>
        <w:rPr>
          <w:noProof/>
        </w:rPr>
        <w:t>409</w:t>
      </w:r>
    </w:p>
    <w:p w:rsidR="002002F4" w:rsidRDefault="002002F4" w:rsidP="002002F4">
      <w:pPr>
        <w:ind w:firstLine="0"/>
        <w:rPr>
          <w:noProof/>
        </w:rPr>
      </w:pPr>
      <w:r>
        <w:rPr>
          <w:noProof/>
          <w:rtl/>
        </w:rPr>
        <w:t xml:space="preserve">النبي الأكرم </w:t>
      </w:r>
      <w:r>
        <w:rPr>
          <w:noProof/>
        </w:rPr>
        <w:t>=</w:t>
      </w:r>
      <w:r>
        <w:rPr>
          <w:noProof/>
          <w:rtl/>
        </w:rPr>
        <w:t xml:space="preserve"> </w:t>
      </w:r>
      <w:r>
        <w:rPr>
          <w:rFonts w:hint="cs"/>
          <w:noProof/>
          <w:rtl/>
        </w:rPr>
        <w:t>محمّد رسول الله(ص)</w:t>
      </w:r>
    </w:p>
    <w:p w:rsidR="002002F4" w:rsidRDefault="002002F4" w:rsidP="002002F4">
      <w:pPr>
        <w:ind w:firstLine="0"/>
        <w:rPr>
          <w:noProof/>
        </w:rPr>
      </w:pPr>
      <w:r>
        <w:rPr>
          <w:noProof/>
          <w:rtl/>
        </w:rPr>
        <w:t xml:space="preserve">النبي المسيح(ع) ، </w:t>
      </w:r>
      <w:r>
        <w:rPr>
          <w:noProof/>
        </w:rPr>
        <w:t>51</w:t>
      </w:r>
      <w:r>
        <w:rPr>
          <w:noProof/>
          <w:rtl/>
        </w:rPr>
        <w:t xml:space="preserve">، </w:t>
      </w:r>
      <w:r>
        <w:rPr>
          <w:noProof/>
        </w:rPr>
        <w:t>317</w:t>
      </w:r>
      <w:r>
        <w:rPr>
          <w:noProof/>
          <w:rtl/>
        </w:rPr>
        <w:t xml:space="preserve">، </w:t>
      </w:r>
      <w:r>
        <w:rPr>
          <w:noProof/>
        </w:rPr>
        <w:t>323</w:t>
      </w:r>
    </w:p>
    <w:p w:rsidR="002002F4" w:rsidRDefault="002002F4" w:rsidP="002002F4">
      <w:pPr>
        <w:ind w:firstLine="0"/>
        <w:rPr>
          <w:noProof/>
        </w:rPr>
      </w:pPr>
      <w:r>
        <w:rPr>
          <w:noProof/>
          <w:rtl/>
        </w:rPr>
        <w:t xml:space="preserve">النبي داوود(ع)، </w:t>
      </w:r>
      <w:r>
        <w:rPr>
          <w:noProof/>
        </w:rPr>
        <w:t>94</w:t>
      </w:r>
      <w:r>
        <w:rPr>
          <w:noProof/>
          <w:rtl/>
        </w:rPr>
        <w:t xml:space="preserve">، </w:t>
      </w:r>
      <w:r>
        <w:rPr>
          <w:noProof/>
        </w:rPr>
        <w:t>316</w:t>
      </w:r>
      <w:r>
        <w:rPr>
          <w:noProof/>
          <w:rtl/>
        </w:rPr>
        <w:t xml:space="preserve">، </w:t>
      </w:r>
      <w:r>
        <w:rPr>
          <w:noProof/>
        </w:rPr>
        <w:t>409</w:t>
      </w:r>
      <w:r>
        <w:rPr>
          <w:noProof/>
          <w:rtl/>
        </w:rPr>
        <w:t xml:space="preserve">، </w:t>
      </w:r>
      <w:r>
        <w:rPr>
          <w:noProof/>
        </w:rPr>
        <w:t>411</w:t>
      </w:r>
    </w:p>
    <w:p w:rsidR="002002F4" w:rsidRDefault="002002F4" w:rsidP="002002F4">
      <w:pPr>
        <w:ind w:firstLine="0"/>
        <w:rPr>
          <w:noProof/>
        </w:rPr>
      </w:pPr>
      <w:r>
        <w:rPr>
          <w:noProof/>
          <w:rtl/>
        </w:rPr>
        <w:t xml:space="preserve">النبي زكريا(ع)، </w:t>
      </w:r>
      <w:r>
        <w:rPr>
          <w:noProof/>
        </w:rPr>
        <w:t>98</w:t>
      </w:r>
    </w:p>
    <w:p w:rsidR="002002F4" w:rsidRDefault="002002F4" w:rsidP="002002F4">
      <w:pPr>
        <w:ind w:firstLine="0"/>
        <w:rPr>
          <w:noProof/>
        </w:rPr>
      </w:pPr>
      <w:r>
        <w:rPr>
          <w:noProof/>
          <w:rtl/>
        </w:rPr>
        <w:t xml:space="preserve">النبي سليمان(ع)، </w:t>
      </w:r>
      <w:r>
        <w:rPr>
          <w:noProof/>
        </w:rPr>
        <w:t>94</w:t>
      </w:r>
      <w:r>
        <w:rPr>
          <w:noProof/>
          <w:rtl/>
        </w:rPr>
        <w:t xml:space="preserve">، </w:t>
      </w:r>
      <w:r>
        <w:rPr>
          <w:noProof/>
        </w:rPr>
        <w:t>316</w:t>
      </w:r>
    </w:p>
    <w:p w:rsidR="002002F4" w:rsidRDefault="002002F4" w:rsidP="002002F4">
      <w:pPr>
        <w:ind w:firstLine="0"/>
        <w:rPr>
          <w:noProof/>
        </w:rPr>
      </w:pPr>
      <w:r>
        <w:rPr>
          <w:noProof/>
          <w:rtl/>
        </w:rPr>
        <w:t xml:space="preserve">النبي موسى(ع)، </w:t>
      </w:r>
      <w:r>
        <w:rPr>
          <w:noProof/>
        </w:rPr>
        <w:t>323</w:t>
      </w:r>
    </w:p>
    <w:p w:rsidR="002002F4" w:rsidRDefault="002002F4" w:rsidP="002002F4">
      <w:pPr>
        <w:ind w:firstLine="0"/>
        <w:rPr>
          <w:noProof/>
        </w:rPr>
      </w:pPr>
      <w:r>
        <w:rPr>
          <w:noProof/>
          <w:rtl/>
        </w:rPr>
        <w:t xml:space="preserve">النبي هارون(ع)، </w:t>
      </w:r>
      <w:r>
        <w:rPr>
          <w:noProof/>
        </w:rPr>
        <w:t>316</w:t>
      </w:r>
    </w:p>
    <w:p w:rsidR="002002F4" w:rsidRDefault="002002F4" w:rsidP="002002F4">
      <w:pPr>
        <w:ind w:firstLine="0"/>
        <w:rPr>
          <w:noProof/>
        </w:rPr>
      </w:pPr>
      <w:r>
        <w:rPr>
          <w:noProof/>
          <w:rtl/>
        </w:rPr>
        <w:t xml:space="preserve">النبي يوسف(ع)، </w:t>
      </w:r>
      <w:r>
        <w:rPr>
          <w:noProof/>
        </w:rPr>
        <w:t>94</w:t>
      </w:r>
      <w:r>
        <w:rPr>
          <w:noProof/>
          <w:rtl/>
        </w:rPr>
        <w:t xml:space="preserve">، </w:t>
      </w:r>
      <w:r>
        <w:rPr>
          <w:noProof/>
        </w:rPr>
        <w:t>316</w:t>
      </w:r>
    </w:p>
    <w:p w:rsidR="002002F4" w:rsidRDefault="002002F4" w:rsidP="002002F4">
      <w:pPr>
        <w:ind w:firstLine="0"/>
        <w:rPr>
          <w:noProof/>
        </w:rPr>
      </w:pPr>
      <w:r>
        <w:rPr>
          <w:noProof/>
          <w:rtl/>
        </w:rPr>
        <w:t xml:space="preserve">النجاشي، أبو العبّاس أحمد بن علي، </w:t>
      </w:r>
      <w:r>
        <w:rPr>
          <w:noProof/>
        </w:rPr>
        <w:t>325</w:t>
      </w:r>
      <w:r>
        <w:rPr>
          <w:noProof/>
          <w:rtl/>
        </w:rPr>
        <w:t xml:space="preserve">، </w:t>
      </w:r>
      <w:r>
        <w:rPr>
          <w:noProof/>
        </w:rPr>
        <w:t>346</w:t>
      </w:r>
      <w:r>
        <w:rPr>
          <w:noProof/>
          <w:rtl/>
        </w:rPr>
        <w:t xml:space="preserve">، </w:t>
      </w:r>
      <w:r>
        <w:rPr>
          <w:noProof/>
        </w:rPr>
        <w:t>347</w:t>
      </w:r>
      <w:r>
        <w:rPr>
          <w:noProof/>
          <w:rtl/>
        </w:rPr>
        <w:t xml:space="preserve">، </w:t>
      </w:r>
      <w:r>
        <w:rPr>
          <w:noProof/>
        </w:rPr>
        <w:t>364</w:t>
      </w:r>
      <w:r>
        <w:rPr>
          <w:noProof/>
          <w:rtl/>
        </w:rPr>
        <w:t xml:space="preserve">، </w:t>
      </w:r>
      <w:r>
        <w:rPr>
          <w:noProof/>
        </w:rPr>
        <w:t>372</w:t>
      </w:r>
    </w:p>
    <w:p w:rsidR="002002F4" w:rsidRDefault="002002F4" w:rsidP="002002F4">
      <w:pPr>
        <w:ind w:firstLine="0"/>
        <w:rPr>
          <w:noProof/>
        </w:rPr>
      </w:pPr>
      <w:r>
        <w:rPr>
          <w:noProof/>
          <w:rtl/>
        </w:rPr>
        <w:t xml:space="preserve">النجفي الخوانساري، الشيخ موسي، </w:t>
      </w:r>
      <w:r>
        <w:rPr>
          <w:noProof/>
        </w:rPr>
        <w:t>131</w:t>
      </w:r>
      <w:r>
        <w:rPr>
          <w:noProof/>
          <w:rtl/>
        </w:rPr>
        <w:t xml:space="preserve">، </w:t>
      </w:r>
      <w:r>
        <w:rPr>
          <w:noProof/>
        </w:rPr>
        <w:t>300</w:t>
      </w:r>
      <w:r>
        <w:rPr>
          <w:noProof/>
          <w:rtl/>
        </w:rPr>
        <w:t xml:space="preserve">، </w:t>
      </w:r>
      <w:r>
        <w:rPr>
          <w:noProof/>
        </w:rPr>
        <w:t>328</w:t>
      </w:r>
      <w:r>
        <w:rPr>
          <w:noProof/>
          <w:rtl/>
        </w:rPr>
        <w:t xml:space="preserve">، </w:t>
      </w:r>
      <w:r>
        <w:rPr>
          <w:noProof/>
        </w:rPr>
        <w:t>346</w:t>
      </w:r>
    </w:p>
    <w:p w:rsidR="002002F4" w:rsidRDefault="002002F4" w:rsidP="002002F4">
      <w:pPr>
        <w:ind w:firstLine="0"/>
        <w:rPr>
          <w:noProof/>
        </w:rPr>
      </w:pPr>
      <w:r>
        <w:rPr>
          <w:noProof/>
          <w:rtl/>
        </w:rPr>
        <w:t xml:space="preserve">النجفي، السيّد علي بن عبد الكريم، </w:t>
      </w:r>
      <w:r>
        <w:rPr>
          <w:noProof/>
        </w:rPr>
        <w:t>376</w:t>
      </w:r>
    </w:p>
    <w:p w:rsidR="002002F4" w:rsidRDefault="002002F4" w:rsidP="002002F4">
      <w:pPr>
        <w:ind w:firstLine="0"/>
        <w:rPr>
          <w:noProof/>
        </w:rPr>
      </w:pPr>
      <w:r>
        <w:rPr>
          <w:noProof/>
          <w:rtl/>
        </w:rPr>
        <w:t xml:space="preserve">النجفي، الشيخ محمّد تقي، </w:t>
      </w:r>
      <w:r>
        <w:rPr>
          <w:noProof/>
        </w:rPr>
        <w:t>157</w:t>
      </w:r>
      <w:r>
        <w:rPr>
          <w:noProof/>
          <w:rtl/>
        </w:rPr>
        <w:t xml:space="preserve">، </w:t>
      </w:r>
      <w:r>
        <w:rPr>
          <w:noProof/>
        </w:rPr>
        <w:t>313</w:t>
      </w:r>
      <w:r>
        <w:rPr>
          <w:noProof/>
          <w:rtl/>
        </w:rPr>
        <w:t xml:space="preserve">، </w:t>
      </w:r>
      <w:r>
        <w:rPr>
          <w:noProof/>
        </w:rPr>
        <w:t>325</w:t>
      </w:r>
      <w:r>
        <w:rPr>
          <w:noProof/>
          <w:rtl/>
        </w:rPr>
        <w:t xml:space="preserve">، </w:t>
      </w:r>
      <w:r>
        <w:rPr>
          <w:noProof/>
        </w:rPr>
        <w:t>330</w:t>
      </w:r>
      <w:r>
        <w:rPr>
          <w:noProof/>
          <w:rtl/>
        </w:rPr>
        <w:t xml:space="preserve">، </w:t>
      </w:r>
      <w:r>
        <w:rPr>
          <w:noProof/>
        </w:rPr>
        <w:t>336</w:t>
      </w:r>
      <w:r>
        <w:rPr>
          <w:noProof/>
          <w:rtl/>
        </w:rPr>
        <w:t xml:space="preserve">، </w:t>
      </w:r>
      <w:r>
        <w:rPr>
          <w:noProof/>
        </w:rPr>
        <w:t>339</w:t>
      </w:r>
    </w:p>
    <w:p w:rsidR="002002F4" w:rsidRDefault="002002F4" w:rsidP="002002F4">
      <w:pPr>
        <w:ind w:firstLine="0"/>
        <w:rPr>
          <w:noProof/>
        </w:rPr>
      </w:pPr>
      <w:r>
        <w:rPr>
          <w:noProof/>
          <w:rtl/>
        </w:rPr>
        <w:t xml:space="preserve">النجفي، الشيخ محمّد حسن، </w:t>
      </w:r>
      <w:r>
        <w:rPr>
          <w:noProof/>
        </w:rPr>
        <w:t>132</w:t>
      </w:r>
      <w:r>
        <w:rPr>
          <w:noProof/>
          <w:rtl/>
        </w:rPr>
        <w:t xml:space="preserve">، </w:t>
      </w:r>
      <w:r>
        <w:rPr>
          <w:noProof/>
        </w:rPr>
        <w:t>157</w:t>
      </w:r>
      <w:r>
        <w:rPr>
          <w:noProof/>
          <w:rtl/>
        </w:rPr>
        <w:t xml:space="preserve">، </w:t>
      </w:r>
      <w:r>
        <w:rPr>
          <w:noProof/>
        </w:rPr>
        <w:t>278</w:t>
      </w:r>
      <w:r>
        <w:rPr>
          <w:noProof/>
          <w:rtl/>
        </w:rPr>
        <w:t xml:space="preserve">، </w:t>
      </w:r>
      <w:r>
        <w:rPr>
          <w:noProof/>
        </w:rPr>
        <w:t>280</w:t>
      </w:r>
      <w:r>
        <w:rPr>
          <w:noProof/>
          <w:rtl/>
        </w:rPr>
        <w:t xml:space="preserve">، </w:t>
      </w:r>
      <w:r>
        <w:rPr>
          <w:noProof/>
        </w:rPr>
        <w:t>295</w:t>
      </w:r>
      <w:r>
        <w:rPr>
          <w:noProof/>
          <w:rtl/>
        </w:rPr>
        <w:t xml:space="preserve">، </w:t>
      </w:r>
      <w:r>
        <w:rPr>
          <w:noProof/>
        </w:rPr>
        <w:t>303</w:t>
      </w:r>
      <w:r>
        <w:rPr>
          <w:noProof/>
          <w:rtl/>
        </w:rPr>
        <w:t xml:space="preserve">، </w:t>
      </w:r>
      <w:r>
        <w:rPr>
          <w:noProof/>
        </w:rPr>
        <w:t>346</w:t>
      </w:r>
      <w:r>
        <w:rPr>
          <w:noProof/>
          <w:rtl/>
        </w:rPr>
        <w:t xml:space="preserve">، </w:t>
      </w:r>
      <w:r>
        <w:rPr>
          <w:noProof/>
        </w:rPr>
        <w:t>363</w:t>
      </w:r>
      <w:r>
        <w:rPr>
          <w:noProof/>
          <w:rtl/>
        </w:rPr>
        <w:t xml:space="preserve">، </w:t>
      </w:r>
      <w:r>
        <w:rPr>
          <w:noProof/>
        </w:rPr>
        <w:t>434</w:t>
      </w:r>
    </w:p>
    <w:p w:rsidR="002002F4" w:rsidRDefault="002002F4" w:rsidP="002002F4">
      <w:pPr>
        <w:spacing w:line="192" w:lineRule="auto"/>
        <w:ind w:firstLine="0"/>
        <w:rPr>
          <w:noProof/>
        </w:rPr>
      </w:pPr>
      <w:r>
        <w:rPr>
          <w:noProof/>
          <w:rtl/>
        </w:rPr>
        <w:t xml:space="preserve">النجفيّ، آقا محمّد تقي، </w:t>
      </w:r>
      <w:r>
        <w:rPr>
          <w:noProof/>
        </w:rPr>
        <w:t>416</w:t>
      </w:r>
    </w:p>
    <w:p w:rsidR="002002F4" w:rsidRDefault="002002F4" w:rsidP="002002F4">
      <w:pPr>
        <w:spacing w:line="192" w:lineRule="auto"/>
        <w:ind w:firstLine="0"/>
        <w:rPr>
          <w:noProof/>
        </w:rPr>
      </w:pPr>
      <w:r>
        <w:rPr>
          <w:noProof/>
          <w:rtl/>
        </w:rPr>
        <w:t xml:space="preserve">النراقي، ملاّ أحمد، </w:t>
      </w:r>
      <w:r>
        <w:rPr>
          <w:noProof/>
        </w:rPr>
        <w:t>29</w:t>
      </w:r>
      <w:r>
        <w:rPr>
          <w:noProof/>
          <w:rtl/>
        </w:rPr>
        <w:t xml:space="preserve">، </w:t>
      </w:r>
      <w:r>
        <w:rPr>
          <w:noProof/>
        </w:rPr>
        <w:t>117</w:t>
      </w:r>
      <w:r>
        <w:rPr>
          <w:noProof/>
          <w:rtl/>
        </w:rPr>
        <w:t xml:space="preserve">، </w:t>
      </w:r>
      <w:r>
        <w:rPr>
          <w:noProof/>
        </w:rPr>
        <w:t>130</w:t>
      </w:r>
      <w:r>
        <w:rPr>
          <w:noProof/>
          <w:rtl/>
        </w:rPr>
        <w:t xml:space="preserve">، </w:t>
      </w:r>
      <w:r>
        <w:rPr>
          <w:noProof/>
        </w:rPr>
        <w:t>131</w:t>
      </w:r>
      <w:r>
        <w:rPr>
          <w:noProof/>
          <w:rtl/>
        </w:rPr>
        <w:t xml:space="preserve">، </w:t>
      </w:r>
      <w:r>
        <w:rPr>
          <w:noProof/>
        </w:rPr>
        <w:t>132</w:t>
      </w:r>
      <w:r>
        <w:rPr>
          <w:noProof/>
          <w:rtl/>
        </w:rPr>
        <w:t xml:space="preserve">، </w:t>
      </w:r>
      <w:r>
        <w:rPr>
          <w:noProof/>
        </w:rPr>
        <w:t>135</w:t>
      </w:r>
      <w:r>
        <w:rPr>
          <w:noProof/>
          <w:rtl/>
        </w:rPr>
        <w:t xml:space="preserve">، </w:t>
      </w:r>
      <w:r>
        <w:rPr>
          <w:noProof/>
        </w:rPr>
        <w:t>141</w:t>
      </w:r>
      <w:r>
        <w:rPr>
          <w:noProof/>
          <w:rtl/>
        </w:rPr>
        <w:t xml:space="preserve">، </w:t>
      </w:r>
      <w:r>
        <w:rPr>
          <w:noProof/>
        </w:rPr>
        <w:t>156</w:t>
      </w:r>
      <w:r>
        <w:rPr>
          <w:noProof/>
          <w:rtl/>
        </w:rPr>
        <w:t xml:space="preserve">، </w:t>
      </w:r>
      <w:r>
        <w:rPr>
          <w:noProof/>
        </w:rPr>
        <w:t>293</w:t>
      </w:r>
      <w:r>
        <w:rPr>
          <w:noProof/>
          <w:rtl/>
        </w:rPr>
        <w:t xml:space="preserve">، </w:t>
      </w:r>
      <w:r>
        <w:rPr>
          <w:noProof/>
        </w:rPr>
        <w:t>295</w:t>
      </w:r>
      <w:r>
        <w:rPr>
          <w:noProof/>
          <w:rtl/>
        </w:rPr>
        <w:t xml:space="preserve">، </w:t>
      </w:r>
      <w:r>
        <w:rPr>
          <w:noProof/>
        </w:rPr>
        <w:t>303</w:t>
      </w:r>
      <w:r>
        <w:rPr>
          <w:noProof/>
          <w:rtl/>
        </w:rPr>
        <w:t xml:space="preserve">، </w:t>
      </w:r>
      <w:r>
        <w:rPr>
          <w:noProof/>
        </w:rPr>
        <w:t>313</w:t>
      </w:r>
      <w:r>
        <w:rPr>
          <w:noProof/>
          <w:rtl/>
        </w:rPr>
        <w:t xml:space="preserve">، </w:t>
      </w:r>
      <w:r>
        <w:rPr>
          <w:noProof/>
        </w:rPr>
        <w:t>321</w:t>
      </w:r>
      <w:r>
        <w:rPr>
          <w:noProof/>
          <w:rtl/>
        </w:rPr>
        <w:t xml:space="preserve">، </w:t>
      </w:r>
      <w:r>
        <w:rPr>
          <w:noProof/>
        </w:rPr>
        <w:t>326</w:t>
      </w:r>
      <w:r>
        <w:rPr>
          <w:noProof/>
          <w:rtl/>
        </w:rPr>
        <w:t xml:space="preserve">، </w:t>
      </w:r>
      <w:r>
        <w:rPr>
          <w:noProof/>
        </w:rPr>
        <w:t>334</w:t>
      </w:r>
      <w:r>
        <w:rPr>
          <w:noProof/>
          <w:rtl/>
        </w:rPr>
        <w:t xml:space="preserve">، </w:t>
      </w:r>
      <w:r>
        <w:rPr>
          <w:noProof/>
        </w:rPr>
        <w:t>339</w:t>
      </w:r>
      <w:r>
        <w:rPr>
          <w:noProof/>
          <w:rtl/>
        </w:rPr>
        <w:t xml:space="preserve">، </w:t>
      </w:r>
      <w:r>
        <w:rPr>
          <w:noProof/>
        </w:rPr>
        <w:t>345</w:t>
      </w:r>
      <w:r>
        <w:rPr>
          <w:noProof/>
          <w:rtl/>
        </w:rPr>
        <w:t xml:space="preserve">، </w:t>
      </w:r>
      <w:r>
        <w:rPr>
          <w:noProof/>
        </w:rPr>
        <w:t>369</w:t>
      </w:r>
      <w:r>
        <w:rPr>
          <w:noProof/>
          <w:rtl/>
        </w:rPr>
        <w:t xml:space="preserve">، </w:t>
      </w:r>
      <w:r>
        <w:rPr>
          <w:noProof/>
        </w:rPr>
        <w:t>377</w:t>
      </w:r>
      <w:r>
        <w:rPr>
          <w:noProof/>
          <w:rtl/>
        </w:rPr>
        <w:t xml:space="preserve">، </w:t>
      </w:r>
      <w:r>
        <w:rPr>
          <w:noProof/>
        </w:rPr>
        <w:t>395</w:t>
      </w:r>
      <w:r>
        <w:rPr>
          <w:noProof/>
          <w:rtl/>
        </w:rPr>
        <w:t xml:space="preserve">، </w:t>
      </w:r>
      <w:r>
        <w:rPr>
          <w:noProof/>
        </w:rPr>
        <w:t>415</w:t>
      </w:r>
      <w:r>
        <w:rPr>
          <w:noProof/>
          <w:rtl/>
        </w:rPr>
        <w:t xml:space="preserve">، </w:t>
      </w:r>
      <w:r>
        <w:rPr>
          <w:noProof/>
        </w:rPr>
        <w:t>419</w:t>
      </w:r>
      <w:r>
        <w:rPr>
          <w:noProof/>
          <w:rtl/>
        </w:rPr>
        <w:t xml:space="preserve">، </w:t>
      </w:r>
      <w:r>
        <w:rPr>
          <w:noProof/>
        </w:rPr>
        <w:t>433</w:t>
      </w:r>
      <w:r>
        <w:rPr>
          <w:noProof/>
          <w:rtl/>
        </w:rPr>
        <w:t xml:space="preserve">، </w:t>
      </w:r>
      <w:r>
        <w:rPr>
          <w:noProof/>
        </w:rPr>
        <w:t>434</w:t>
      </w:r>
      <w:r>
        <w:rPr>
          <w:noProof/>
          <w:rtl/>
        </w:rPr>
        <w:t xml:space="preserve">، </w:t>
      </w:r>
      <w:r>
        <w:rPr>
          <w:noProof/>
        </w:rPr>
        <w:t>435</w:t>
      </w:r>
      <w:r>
        <w:rPr>
          <w:noProof/>
          <w:rtl/>
        </w:rPr>
        <w:t xml:space="preserve">، </w:t>
      </w:r>
      <w:r>
        <w:rPr>
          <w:noProof/>
        </w:rPr>
        <w:t>436</w:t>
      </w:r>
    </w:p>
    <w:p w:rsidR="002002F4" w:rsidRDefault="002002F4" w:rsidP="002002F4">
      <w:pPr>
        <w:spacing w:line="192" w:lineRule="auto"/>
        <w:ind w:firstLine="0"/>
        <w:rPr>
          <w:noProof/>
        </w:rPr>
      </w:pPr>
      <w:r>
        <w:rPr>
          <w:noProof/>
          <w:rtl/>
        </w:rPr>
        <w:t xml:space="preserve">النسائي، أحمد بن شعيب، </w:t>
      </w:r>
      <w:r>
        <w:rPr>
          <w:noProof/>
        </w:rPr>
        <w:t>95</w:t>
      </w:r>
    </w:p>
    <w:p w:rsidR="002002F4" w:rsidRDefault="002002F4" w:rsidP="002002F4">
      <w:pPr>
        <w:spacing w:line="192" w:lineRule="auto"/>
        <w:ind w:firstLine="0"/>
        <w:rPr>
          <w:noProof/>
        </w:rPr>
      </w:pPr>
      <w:r>
        <w:rPr>
          <w:noProof/>
          <w:rtl/>
        </w:rPr>
        <w:t xml:space="preserve">النسفي، عزيز الدين، </w:t>
      </w:r>
      <w:r>
        <w:rPr>
          <w:noProof/>
        </w:rPr>
        <w:t>52</w:t>
      </w:r>
    </w:p>
    <w:p w:rsidR="002002F4" w:rsidRDefault="002002F4" w:rsidP="002002F4">
      <w:pPr>
        <w:spacing w:line="192" w:lineRule="auto"/>
        <w:ind w:firstLine="0"/>
        <w:rPr>
          <w:noProof/>
        </w:rPr>
      </w:pPr>
      <w:r>
        <w:rPr>
          <w:noProof/>
          <w:rtl/>
        </w:rPr>
        <w:t xml:space="preserve">النوري، الشيخ فضل الله، </w:t>
      </w:r>
      <w:r>
        <w:rPr>
          <w:noProof/>
        </w:rPr>
        <w:t>29</w:t>
      </w:r>
      <w:r>
        <w:rPr>
          <w:noProof/>
          <w:rtl/>
        </w:rPr>
        <w:t xml:space="preserve">، </w:t>
      </w:r>
      <w:r>
        <w:rPr>
          <w:noProof/>
        </w:rPr>
        <w:t>128</w:t>
      </w:r>
      <w:r>
        <w:rPr>
          <w:noProof/>
          <w:rtl/>
        </w:rPr>
        <w:t xml:space="preserve">، </w:t>
      </w:r>
      <w:r>
        <w:rPr>
          <w:noProof/>
        </w:rPr>
        <w:t>171</w:t>
      </w:r>
      <w:r>
        <w:rPr>
          <w:noProof/>
          <w:rtl/>
        </w:rPr>
        <w:t xml:space="preserve">، </w:t>
      </w:r>
      <w:r>
        <w:rPr>
          <w:noProof/>
        </w:rPr>
        <w:t>199</w:t>
      </w:r>
    </w:p>
    <w:p w:rsidR="002002F4" w:rsidRDefault="002002F4" w:rsidP="002002F4">
      <w:pPr>
        <w:spacing w:line="192" w:lineRule="auto"/>
        <w:ind w:firstLine="0"/>
        <w:rPr>
          <w:noProof/>
        </w:rPr>
      </w:pPr>
      <w:r>
        <w:rPr>
          <w:noProof/>
          <w:rtl/>
        </w:rPr>
        <w:t xml:space="preserve">النوفليّ، الحسين بن يزيد، </w:t>
      </w:r>
      <w:r>
        <w:rPr>
          <w:noProof/>
        </w:rPr>
        <w:t>312</w:t>
      </w:r>
      <w:r>
        <w:rPr>
          <w:noProof/>
          <w:rtl/>
        </w:rPr>
        <w:t xml:space="preserve">، </w:t>
      </w:r>
      <w:r>
        <w:rPr>
          <w:noProof/>
        </w:rPr>
        <w:t>315</w:t>
      </w:r>
    </w:p>
    <w:p w:rsidR="002002F4" w:rsidRDefault="002002F4" w:rsidP="002002F4">
      <w:pPr>
        <w:spacing w:line="192" w:lineRule="auto"/>
        <w:ind w:firstLine="0"/>
        <w:rPr>
          <w:noProof/>
        </w:rPr>
      </w:pPr>
      <w:r>
        <w:rPr>
          <w:noProof/>
          <w:rtl/>
        </w:rPr>
        <w:t>وليّ العصر(عج)</w:t>
      </w:r>
      <w:r>
        <w:rPr>
          <w:noProof/>
        </w:rPr>
        <w:t xml:space="preserve"> =</w:t>
      </w:r>
      <w:r>
        <w:rPr>
          <w:noProof/>
          <w:rtl/>
        </w:rPr>
        <w:t xml:space="preserve"> </w:t>
      </w:r>
      <w:r>
        <w:rPr>
          <w:rFonts w:hint="cs"/>
          <w:noProof/>
          <w:rtl/>
        </w:rPr>
        <w:t>الإمام المهديّ(عج)</w:t>
      </w:r>
    </w:p>
    <w:p w:rsidR="002002F4" w:rsidRDefault="002002F4" w:rsidP="002002F4">
      <w:pPr>
        <w:spacing w:line="192" w:lineRule="auto"/>
        <w:ind w:firstLine="0"/>
        <w:rPr>
          <w:noProof/>
        </w:rPr>
      </w:pPr>
      <w:r>
        <w:rPr>
          <w:noProof/>
          <w:rtl/>
        </w:rPr>
        <w:t xml:space="preserve">الهاشمي، السيّد محمّد، </w:t>
      </w:r>
      <w:r>
        <w:rPr>
          <w:noProof/>
        </w:rPr>
        <w:t>247</w:t>
      </w:r>
    </w:p>
    <w:p w:rsidR="002002F4" w:rsidRDefault="002002F4" w:rsidP="002002F4">
      <w:pPr>
        <w:ind w:firstLine="0"/>
        <w:rPr>
          <w:noProof/>
        </w:rPr>
      </w:pPr>
      <w:r>
        <w:rPr>
          <w:noProof/>
          <w:rtl/>
        </w:rPr>
        <w:t xml:space="preserve">الهاشمي، داوود بن علي، </w:t>
      </w:r>
      <w:r>
        <w:rPr>
          <w:noProof/>
        </w:rPr>
        <w:t>307</w:t>
      </w:r>
    </w:p>
    <w:p w:rsidR="002002F4" w:rsidRDefault="002002F4" w:rsidP="002002F4">
      <w:pPr>
        <w:ind w:firstLine="0"/>
        <w:rPr>
          <w:noProof/>
          <w:rtl/>
        </w:rPr>
      </w:pPr>
      <w:r>
        <w:rPr>
          <w:noProof/>
          <w:rtl/>
        </w:rPr>
        <w:t xml:space="preserve">الهمداني، رضا بن محمّد، </w:t>
      </w:r>
      <w:r>
        <w:rPr>
          <w:noProof/>
        </w:rPr>
        <w:t>157</w:t>
      </w:r>
      <w:r>
        <w:rPr>
          <w:noProof/>
          <w:rtl/>
        </w:rPr>
        <w:t xml:space="preserve">، </w:t>
      </w:r>
      <w:r>
        <w:rPr>
          <w:noProof/>
        </w:rPr>
        <w:t>376</w:t>
      </w:r>
      <w:r>
        <w:rPr>
          <w:noProof/>
          <w:rtl/>
        </w:rPr>
        <w:t xml:space="preserve">، </w:t>
      </w:r>
      <w:r>
        <w:rPr>
          <w:noProof/>
        </w:rPr>
        <w:t>377</w:t>
      </w:r>
      <w:r>
        <w:rPr>
          <w:noProof/>
          <w:rtl/>
        </w:rPr>
        <w:t xml:space="preserve">، </w:t>
      </w:r>
      <w:r>
        <w:rPr>
          <w:noProof/>
        </w:rPr>
        <w:t>416</w:t>
      </w:r>
    </w:p>
    <w:p w:rsidR="002002F4" w:rsidRDefault="002002F4" w:rsidP="002002F4">
      <w:pPr>
        <w:ind w:firstLine="0"/>
        <w:rPr>
          <w:noProof/>
        </w:rPr>
      </w:pPr>
      <w:r>
        <w:rPr>
          <w:noProof/>
          <w:rtl/>
        </w:rPr>
        <w:t xml:space="preserve">الهندي، مير حامد حسين، </w:t>
      </w:r>
      <w:r>
        <w:rPr>
          <w:noProof/>
        </w:rPr>
        <w:t>113</w:t>
      </w:r>
    </w:p>
    <w:p w:rsidR="002002F4" w:rsidRDefault="002002F4" w:rsidP="002002F4">
      <w:pPr>
        <w:ind w:firstLine="0"/>
        <w:rPr>
          <w:noProof/>
        </w:rPr>
      </w:pPr>
      <w:r>
        <w:rPr>
          <w:noProof/>
          <w:rtl/>
        </w:rPr>
        <w:t xml:space="preserve">يحيي، عثمان إسماعيل، </w:t>
      </w:r>
      <w:r>
        <w:rPr>
          <w:noProof/>
        </w:rPr>
        <w:t>46</w:t>
      </w:r>
    </w:p>
    <w:p w:rsidR="002002F4" w:rsidRDefault="002002F4" w:rsidP="002002F4">
      <w:pPr>
        <w:ind w:firstLine="0"/>
        <w:rPr>
          <w:noProof/>
        </w:rPr>
      </w:pPr>
      <w:r>
        <w:rPr>
          <w:noProof/>
          <w:rtl/>
        </w:rPr>
        <w:t xml:space="preserve">يزيد بن خليفة، </w:t>
      </w:r>
      <w:r>
        <w:rPr>
          <w:noProof/>
        </w:rPr>
        <w:t>347</w:t>
      </w:r>
      <w:r>
        <w:rPr>
          <w:noProof/>
          <w:rtl/>
        </w:rPr>
        <w:t xml:space="preserve">، </w:t>
      </w:r>
      <w:r>
        <w:rPr>
          <w:noProof/>
        </w:rPr>
        <w:t>354</w:t>
      </w:r>
    </w:p>
    <w:p w:rsidR="002002F4" w:rsidRDefault="002002F4" w:rsidP="002002F4">
      <w:pPr>
        <w:ind w:firstLine="0"/>
        <w:rPr>
          <w:noProof/>
        </w:rPr>
      </w:pPr>
      <w:r>
        <w:rPr>
          <w:noProof/>
          <w:rtl/>
        </w:rPr>
        <w:t xml:space="preserve">يونس بن ظبيان، </w:t>
      </w:r>
      <w:r>
        <w:rPr>
          <w:noProof/>
        </w:rPr>
        <w:t>347</w:t>
      </w:r>
    </w:p>
    <w:p w:rsidR="002002F4" w:rsidRDefault="002002F4" w:rsidP="002002F4">
      <w:pPr>
        <w:ind w:firstLine="0"/>
        <w:rPr>
          <w:noProof/>
          <w:rtl/>
        </w:rPr>
      </w:pPr>
      <w:r>
        <w:rPr>
          <w:noProof/>
        </w:rPr>
        <w:t>Dudung Jumantarisawan</w:t>
      </w:r>
      <w:r>
        <w:rPr>
          <w:noProof/>
          <w:rtl/>
        </w:rPr>
        <w:t>،</w:t>
      </w:r>
      <w:r>
        <w:rPr>
          <w:noProof/>
        </w:rPr>
        <w:t xml:space="preserve"> 17</w:t>
      </w:r>
    </w:p>
    <w:p w:rsidR="00810B7A" w:rsidRDefault="002002F4" w:rsidP="005E2A7F">
      <w:pPr>
        <w:ind w:firstLine="0"/>
        <w:rPr>
          <w:rtl/>
          <w:lang w:bidi="fa-IR"/>
        </w:rPr>
      </w:pPr>
      <w:r>
        <w:rPr>
          <w:noProof/>
        </w:rPr>
        <w:t>Roy Parviz Mottahedeh</w:t>
      </w:r>
      <w:r>
        <w:rPr>
          <w:noProof/>
          <w:rtl/>
        </w:rPr>
        <w:t>،</w:t>
      </w:r>
      <w:r>
        <w:rPr>
          <w:noProof/>
        </w:rPr>
        <w:t xml:space="preserve"> 17</w:t>
      </w:r>
      <w:r>
        <w:rPr>
          <w:rtl/>
          <w:lang w:bidi="fa-IR"/>
        </w:rPr>
        <w:br w:type="page"/>
      </w:r>
    </w:p>
    <w:p w:rsidR="00810B7A" w:rsidRDefault="00810B7A" w:rsidP="00810B7A">
      <w:pPr>
        <w:rPr>
          <w:rtl/>
          <w:lang w:bidi="fa-IR"/>
        </w:rPr>
        <w:sectPr w:rsidR="00810B7A" w:rsidSect="00EA09EB">
          <w:footnotePr>
            <w:numRestart w:val="eachPage"/>
          </w:footnotePr>
          <w:type w:val="oddPage"/>
          <w:pgSz w:w="11907" w:h="16840" w:code="9"/>
          <w:pgMar w:top="2835" w:right="2552" w:bottom="3232" w:left="2552" w:header="2268" w:footer="1106" w:gutter="0"/>
          <w:cols w:space="720"/>
          <w:titlePg/>
          <w:docGrid w:linePitch="360"/>
        </w:sectPr>
      </w:pPr>
    </w:p>
    <w:p w:rsidR="002002F4" w:rsidRDefault="002002F4" w:rsidP="002002F4">
      <w:pPr>
        <w:pStyle w:val="Heading2"/>
        <w:jc w:val="center"/>
        <w:rPr>
          <w:rFonts w:cs="Mosawi"/>
          <w:szCs w:val="30"/>
          <w:rtl/>
          <w:lang w:bidi="fa-IR"/>
        </w:rPr>
      </w:pPr>
      <w:bookmarkStart w:id="70" w:name="_Toc413658852"/>
      <w:r>
        <w:rPr>
          <w:rtl/>
          <w:lang w:bidi="fa-IR"/>
        </w:rPr>
        <w:t xml:space="preserve">فهرس </w:t>
      </w:r>
      <w:r>
        <w:rPr>
          <w:rFonts w:hint="cs"/>
          <w:rtl/>
        </w:rPr>
        <w:t>الكتب</w:t>
      </w:r>
      <w:bookmarkEnd w:id="70"/>
    </w:p>
    <w:p w:rsidR="002002F4" w:rsidRDefault="002002F4" w:rsidP="00074DA4">
      <w:pPr>
        <w:spacing w:line="192" w:lineRule="auto"/>
        <w:ind w:firstLine="0"/>
        <w:rPr>
          <w:noProof/>
          <w:rtl/>
          <w:lang w:bidi="fa-IR"/>
        </w:rPr>
      </w:pPr>
      <w:r>
        <w:rPr>
          <w:noProof/>
          <w:rtl/>
        </w:rPr>
        <w:t xml:space="preserve">آفتاب (مجلة)، </w:t>
      </w:r>
      <w:r>
        <w:rPr>
          <w:noProof/>
        </w:rPr>
        <w:t>31</w:t>
      </w:r>
      <w:r>
        <w:rPr>
          <w:noProof/>
          <w:rtl/>
        </w:rPr>
        <w:t xml:space="preserve">، </w:t>
      </w:r>
      <w:r>
        <w:rPr>
          <w:noProof/>
        </w:rPr>
        <w:t>266</w:t>
      </w:r>
    </w:p>
    <w:p w:rsidR="002002F4" w:rsidRDefault="002002F4" w:rsidP="00074DA4">
      <w:pPr>
        <w:spacing w:line="192" w:lineRule="auto"/>
        <w:ind w:firstLine="0"/>
        <w:rPr>
          <w:noProof/>
        </w:rPr>
      </w:pPr>
      <w:r>
        <w:rPr>
          <w:noProof/>
          <w:rtl/>
        </w:rPr>
        <w:t xml:space="preserve">ابتغاء الفضيلة في شرح الوسيلة، </w:t>
      </w:r>
      <w:r>
        <w:rPr>
          <w:noProof/>
        </w:rPr>
        <w:t>191</w:t>
      </w:r>
      <w:r>
        <w:rPr>
          <w:noProof/>
          <w:rtl/>
        </w:rPr>
        <w:t xml:space="preserve">، </w:t>
      </w:r>
      <w:r>
        <w:rPr>
          <w:noProof/>
        </w:rPr>
        <w:t>298</w:t>
      </w:r>
      <w:r>
        <w:rPr>
          <w:noProof/>
          <w:rtl/>
        </w:rPr>
        <w:t xml:space="preserve">، </w:t>
      </w:r>
      <w:r>
        <w:rPr>
          <w:noProof/>
        </w:rPr>
        <w:t>309</w:t>
      </w:r>
      <w:r>
        <w:rPr>
          <w:noProof/>
          <w:rtl/>
        </w:rPr>
        <w:t xml:space="preserve">، </w:t>
      </w:r>
      <w:r>
        <w:rPr>
          <w:noProof/>
        </w:rPr>
        <w:t>317</w:t>
      </w:r>
      <w:r>
        <w:rPr>
          <w:noProof/>
          <w:rtl/>
        </w:rPr>
        <w:t xml:space="preserve">، </w:t>
      </w:r>
      <w:r>
        <w:rPr>
          <w:noProof/>
        </w:rPr>
        <w:t>327</w:t>
      </w:r>
      <w:r>
        <w:rPr>
          <w:noProof/>
          <w:rtl/>
        </w:rPr>
        <w:t xml:space="preserve">، </w:t>
      </w:r>
      <w:r>
        <w:rPr>
          <w:noProof/>
        </w:rPr>
        <w:t>336</w:t>
      </w:r>
      <w:r>
        <w:rPr>
          <w:noProof/>
          <w:rtl/>
        </w:rPr>
        <w:t xml:space="preserve">، </w:t>
      </w:r>
      <w:r>
        <w:rPr>
          <w:noProof/>
        </w:rPr>
        <w:t>340</w:t>
      </w:r>
      <w:r>
        <w:rPr>
          <w:noProof/>
          <w:rtl/>
        </w:rPr>
        <w:t xml:space="preserve">، </w:t>
      </w:r>
      <w:r>
        <w:rPr>
          <w:noProof/>
        </w:rPr>
        <w:t>353</w:t>
      </w:r>
      <w:r>
        <w:rPr>
          <w:noProof/>
          <w:rtl/>
        </w:rPr>
        <w:t xml:space="preserve">، </w:t>
      </w:r>
      <w:r>
        <w:rPr>
          <w:noProof/>
        </w:rPr>
        <w:t>371</w:t>
      </w:r>
      <w:r>
        <w:rPr>
          <w:noProof/>
          <w:rtl/>
        </w:rPr>
        <w:t xml:space="preserve">، </w:t>
      </w:r>
      <w:r>
        <w:rPr>
          <w:noProof/>
        </w:rPr>
        <w:t>373</w:t>
      </w:r>
      <w:r>
        <w:rPr>
          <w:noProof/>
          <w:rtl/>
        </w:rPr>
        <w:t xml:space="preserve">، </w:t>
      </w:r>
      <w:r>
        <w:rPr>
          <w:noProof/>
        </w:rPr>
        <w:t>382</w:t>
      </w:r>
    </w:p>
    <w:p w:rsidR="002002F4" w:rsidRDefault="002002F4" w:rsidP="00074DA4">
      <w:pPr>
        <w:spacing w:line="192" w:lineRule="auto"/>
        <w:ind w:firstLine="0"/>
        <w:rPr>
          <w:noProof/>
        </w:rPr>
      </w:pPr>
      <w:r>
        <w:rPr>
          <w:noProof/>
          <w:rtl/>
        </w:rPr>
        <w:t xml:space="preserve">أبرار (صحيفة)، </w:t>
      </w:r>
      <w:r>
        <w:rPr>
          <w:noProof/>
        </w:rPr>
        <w:t>258</w:t>
      </w:r>
    </w:p>
    <w:p w:rsidR="002002F4" w:rsidRDefault="002002F4" w:rsidP="00074DA4">
      <w:pPr>
        <w:spacing w:line="192" w:lineRule="auto"/>
        <w:ind w:firstLine="0"/>
        <w:rPr>
          <w:noProof/>
        </w:rPr>
      </w:pPr>
      <w:r>
        <w:rPr>
          <w:noProof/>
          <w:rtl/>
        </w:rPr>
        <w:t xml:space="preserve">الاجتهاد والتجديد (مجلة)، </w:t>
      </w:r>
      <w:r>
        <w:rPr>
          <w:noProof/>
        </w:rPr>
        <w:t>7</w:t>
      </w:r>
    </w:p>
    <w:p w:rsidR="002002F4" w:rsidRDefault="002002F4" w:rsidP="00074DA4">
      <w:pPr>
        <w:spacing w:line="192" w:lineRule="auto"/>
        <w:ind w:firstLine="0"/>
        <w:rPr>
          <w:noProof/>
        </w:rPr>
      </w:pPr>
      <w:r>
        <w:rPr>
          <w:noProof/>
          <w:rtl/>
        </w:rPr>
        <w:t xml:space="preserve">الاحتجاج، </w:t>
      </w:r>
      <w:r>
        <w:rPr>
          <w:noProof/>
        </w:rPr>
        <w:t>123</w:t>
      </w:r>
      <w:r>
        <w:rPr>
          <w:noProof/>
          <w:rtl/>
        </w:rPr>
        <w:t xml:space="preserve">، </w:t>
      </w:r>
      <w:r>
        <w:rPr>
          <w:noProof/>
        </w:rPr>
        <w:t>376</w:t>
      </w:r>
    </w:p>
    <w:p w:rsidR="002002F4" w:rsidRDefault="002002F4" w:rsidP="00074DA4">
      <w:pPr>
        <w:spacing w:line="192" w:lineRule="auto"/>
        <w:ind w:firstLine="0"/>
        <w:rPr>
          <w:noProof/>
        </w:rPr>
      </w:pPr>
      <w:r>
        <w:rPr>
          <w:noProof/>
          <w:rtl/>
        </w:rPr>
        <w:t xml:space="preserve">احكام مرتد أز ديدگاه إسلام وحقوق بشر، </w:t>
      </w:r>
      <w:r>
        <w:rPr>
          <w:noProof/>
        </w:rPr>
        <w:t>277</w:t>
      </w:r>
    </w:p>
    <w:p w:rsidR="002002F4" w:rsidRDefault="002002F4" w:rsidP="00074DA4">
      <w:pPr>
        <w:spacing w:line="192" w:lineRule="auto"/>
        <w:ind w:firstLine="0"/>
        <w:rPr>
          <w:noProof/>
        </w:rPr>
      </w:pPr>
      <w:r>
        <w:rPr>
          <w:noProof/>
          <w:rtl/>
        </w:rPr>
        <w:t xml:space="preserve">إحياء علوم الدين، </w:t>
      </w:r>
      <w:r>
        <w:rPr>
          <w:noProof/>
        </w:rPr>
        <w:t>327</w:t>
      </w:r>
    </w:p>
    <w:p w:rsidR="002002F4" w:rsidRDefault="002002F4" w:rsidP="00074DA4">
      <w:pPr>
        <w:spacing w:line="192" w:lineRule="auto"/>
        <w:ind w:firstLine="0"/>
        <w:rPr>
          <w:noProof/>
        </w:rPr>
      </w:pPr>
      <w:r>
        <w:rPr>
          <w:noProof/>
          <w:rtl/>
        </w:rPr>
        <w:t xml:space="preserve">الاختصاص، </w:t>
      </w:r>
      <w:r>
        <w:rPr>
          <w:noProof/>
        </w:rPr>
        <w:t>320</w:t>
      </w:r>
    </w:p>
    <w:p w:rsidR="002002F4" w:rsidRDefault="002002F4" w:rsidP="00074DA4">
      <w:pPr>
        <w:spacing w:line="192" w:lineRule="auto"/>
        <w:ind w:firstLine="0"/>
        <w:rPr>
          <w:noProof/>
        </w:rPr>
      </w:pPr>
      <w:r>
        <w:rPr>
          <w:noProof/>
          <w:rtl/>
        </w:rPr>
        <w:t xml:space="preserve">اختيار معرفة الرجال (رجال الكشي)، </w:t>
      </w:r>
      <w:r>
        <w:rPr>
          <w:noProof/>
        </w:rPr>
        <w:t>346</w:t>
      </w:r>
      <w:r>
        <w:rPr>
          <w:noProof/>
          <w:rtl/>
        </w:rPr>
        <w:t xml:space="preserve">، </w:t>
      </w:r>
      <w:r>
        <w:rPr>
          <w:noProof/>
        </w:rPr>
        <w:t>364</w:t>
      </w:r>
      <w:r>
        <w:rPr>
          <w:noProof/>
          <w:rtl/>
        </w:rPr>
        <w:t xml:space="preserve">، </w:t>
      </w:r>
      <w:r>
        <w:rPr>
          <w:noProof/>
        </w:rPr>
        <w:t>369</w:t>
      </w:r>
    </w:p>
    <w:p w:rsidR="002002F4" w:rsidRDefault="002002F4" w:rsidP="00074DA4">
      <w:pPr>
        <w:spacing w:line="192" w:lineRule="auto"/>
        <w:ind w:firstLine="0"/>
        <w:rPr>
          <w:noProof/>
        </w:rPr>
      </w:pPr>
      <w:r>
        <w:rPr>
          <w:noProof/>
          <w:rtl/>
        </w:rPr>
        <w:t xml:space="preserve">إرشاد الطالب في التعليق على المكاسب، </w:t>
      </w:r>
      <w:r>
        <w:rPr>
          <w:noProof/>
        </w:rPr>
        <w:t>137</w:t>
      </w:r>
      <w:r>
        <w:rPr>
          <w:noProof/>
          <w:rtl/>
        </w:rPr>
        <w:t xml:space="preserve">، </w:t>
      </w:r>
      <w:r>
        <w:rPr>
          <w:noProof/>
        </w:rPr>
        <w:t>160</w:t>
      </w:r>
      <w:r>
        <w:rPr>
          <w:noProof/>
          <w:rtl/>
        </w:rPr>
        <w:t xml:space="preserve">، </w:t>
      </w:r>
      <w:r>
        <w:rPr>
          <w:noProof/>
        </w:rPr>
        <w:t>161</w:t>
      </w:r>
      <w:r>
        <w:rPr>
          <w:noProof/>
          <w:rtl/>
        </w:rPr>
        <w:t xml:space="preserve">، </w:t>
      </w:r>
      <w:r>
        <w:rPr>
          <w:noProof/>
        </w:rPr>
        <w:t>307</w:t>
      </w:r>
      <w:r>
        <w:rPr>
          <w:noProof/>
          <w:rtl/>
        </w:rPr>
        <w:t xml:space="preserve">، </w:t>
      </w:r>
      <w:r>
        <w:rPr>
          <w:noProof/>
        </w:rPr>
        <w:t>308</w:t>
      </w:r>
      <w:r>
        <w:rPr>
          <w:noProof/>
          <w:rtl/>
        </w:rPr>
        <w:t xml:space="preserve">، </w:t>
      </w:r>
      <w:r>
        <w:rPr>
          <w:noProof/>
        </w:rPr>
        <w:t>310</w:t>
      </w:r>
      <w:r>
        <w:rPr>
          <w:noProof/>
          <w:rtl/>
        </w:rPr>
        <w:t xml:space="preserve">، </w:t>
      </w:r>
      <w:r>
        <w:rPr>
          <w:noProof/>
        </w:rPr>
        <w:t>316</w:t>
      </w:r>
      <w:r>
        <w:rPr>
          <w:noProof/>
          <w:rtl/>
        </w:rPr>
        <w:t xml:space="preserve">، </w:t>
      </w:r>
      <w:r>
        <w:rPr>
          <w:noProof/>
        </w:rPr>
        <w:t>317</w:t>
      </w:r>
      <w:r>
        <w:rPr>
          <w:noProof/>
          <w:rtl/>
        </w:rPr>
        <w:t xml:space="preserve">، </w:t>
      </w:r>
      <w:r>
        <w:rPr>
          <w:noProof/>
        </w:rPr>
        <w:t>318</w:t>
      </w:r>
      <w:r>
        <w:rPr>
          <w:noProof/>
          <w:rtl/>
        </w:rPr>
        <w:t xml:space="preserve">، </w:t>
      </w:r>
      <w:r>
        <w:rPr>
          <w:noProof/>
        </w:rPr>
        <w:t>329</w:t>
      </w:r>
      <w:r>
        <w:rPr>
          <w:noProof/>
          <w:rtl/>
        </w:rPr>
        <w:t xml:space="preserve">، </w:t>
      </w:r>
      <w:r>
        <w:rPr>
          <w:noProof/>
        </w:rPr>
        <w:t>330</w:t>
      </w:r>
      <w:r>
        <w:rPr>
          <w:noProof/>
          <w:rtl/>
        </w:rPr>
        <w:t xml:space="preserve">، </w:t>
      </w:r>
      <w:r>
        <w:rPr>
          <w:noProof/>
        </w:rPr>
        <w:t>340</w:t>
      </w:r>
      <w:r>
        <w:rPr>
          <w:noProof/>
          <w:rtl/>
        </w:rPr>
        <w:t xml:space="preserve">، </w:t>
      </w:r>
      <w:r>
        <w:rPr>
          <w:noProof/>
        </w:rPr>
        <w:t>353</w:t>
      </w:r>
      <w:r>
        <w:rPr>
          <w:noProof/>
          <w:rtl/>
        </w:rPr>
        <w:t xml:space="preserve">، </w:t>
      </w:r>
      <w:r>
        <w:rPr>
          <w:noProof/>
        </w:rPr>
        <w:t>371</w:t>
      </w:r>
      <w:r>
        <w:rPr>
          <w:noProof/>
          <w:rtl/>
        </w:rPr>
        <w:t xml:space="preserve">، </w:t>
      </w:r>
      <w:r>
        <w:rPr>
          <w:noProof/>
        </w:rPr>
        <w:t>372</w:t>
      </w:r>
      <w:r>
        <w:rPr>
          <w:noProof/>
          <w:rtl/>
        </w:rPr>
        <w:t xml:space="preserve">، </w:t>
      </w:r>
      <w:r>
        <w:rPr>
          <w:noProof/>
        </w:rPr>
        <w:t>382</w:t>
      </w:r>
      <w:r>
        <w:rPr>
          <w:noProof/>
          <w:rtl/>
        </w:rPr>
        <w:t xml:space="preserve">، </w:t>
      </w:r>
      <w:r>
        <w:rPr>
          <w:noProof/>
        </w:rPr>
        <w:t>385</w:t>
      </w:r>
    </w:p>
    <w:p w:rsidR="002002F4" w:rsidRDefault="002002F4" w:rsidP="00074DA4">
      <w:pPr>
        <w:spacing w:line="192" w:lineRule="auto"/>
        <w:ind w:firstLine="0"/>
        <w:rPr>
          <w:noProof/>
        </w:rPr>
      </w:pPr>
      <w:r>
        <w:rPr>
          <w:noProof/>
          <w:rtl/>
        </w:rPr>
        <w:t xml:space="preserve">إرشاد نامه، </w:t>
      </w:r>
      <w:r>
        <w:rPr>
          <w:noProof/>
        </w:rPr>
        <w:t>130</w:t>
      </w:r>
    </w:p>
    <w:p w:rsidR="002002F4" w:rsidRDefault="002002F4" w:rsidP="00074DA4">
      <w:pPr>
        <w:spacing w:line="192" w:lineRule="auto"/>
        <w:ind w:firstLine="0"/>
        <w:rPr>
          <w:noProof/>
        </w:rPr>
      </w:pPr>
      <w:r>
        <w:rPr>
          <w:noProof/>
          <w:rtl/>
        </w:rPr>
        <w:t xml:space="preserve">أساس البلاغة، </w:t>
      </w:r>
      <w:r>
        <w:rPr>
          <w:noProof/>
        </w:rPr>
        <w:t>40</w:t>
      </w:r>
    </w:p>
    <w:p w:rsidR="002002F4" w:rsidRDefault="002002F4" w:rsidP="00074DA4">
      <w:pPr>
        <w:spacing w:line="192" w:lineRule="auto"/>
        <w:ind w:firstLine="0"/>
        <w:rPr>
          <w:noProof/>
        </w:rPr>
      </w:pPr>
      <w:r>
        <w:rPr>
          <w:noProof/>
          <w:rtl/>
        </w:rPr>
        <w:t xml:space="preserve">أساس الحكومة الإسلامية، </w:t>
      </w:r>
      <w:r>
        <w:rPr>
          <w:noProof/>
        </w:rPr>
        <w:t>72</w:t>
      </w:r>
      <w:r>
        <w:rPr>
          <w:noProof/>
          <w:rtl/>
        </w:rPr>
        <w:t xml:space="preserve">، </w:t>
      </w:r>
      <w:r>
        <w:rPr>
          <w:noProof/>
        </w:rPr>
        <w:t>143</w:t>
      </w:r>
      <w:r>
        <w:rPr>
          <w:noProof/>
          <w:rtl/>
        </w:rPr>
        <w:t xml:space="preserve">، </w:t>
      </w:r>
      <w:r>
        <w:rPr>
          <w:noProof/>
        </w:rPr>
        <w:t>310</w:t>
      </w:r>
      <w:r>
        <w:rPr>
          <w:noProof/>
          <w:rtl/>
        </w:rPr>
        <w:t xml:space="preserve">، </w:t>
      </w:r>
      <w:r>
        <w:rPr>
          <w:noProof/>
        </w:rPr>
        <w:t>330</w:t>
      </w:r>
      <w:r>
        <w:rPr>
          <w:noProof/>
          <w:rtl/>
        </w:rPr>
        <w:t xml:space="preserve">، </w:t>
      </w:r>
      <w:r>
        <w:rPr>
          <w:noProof/>
        </w:rPr>
        <w:t>336</w:t>
      </w:r>
      <w:r>
        <w:rPr>
          <w:noProof/>
          <w:rtl/>
        </w:rPr>
        <w:t xml:space="preserve">، </w:t>
      </w:r>
      <w:r>
        <w:rPr>
          <w:noProof/>
        </w:rPr>
        <w:t>353</w:t>
      </w:r>
      <w:r>
        <w:rPr>
          <w:noProof/>
          <w:rtl/>
        </w:rPr>
        <w:t xml:space="preserve">، </w:t>
      </w:r>
      <w:r>
        <w:rPr>
          <w:noProof/>
        </w:rPr>
        <w:t>377</w:t>
      </w:r>
    </w:p>
    <w:p w:rsidR="002002F4" w:rsidRDefault="002002F4" w:rsidP="00074DA4">
      <w:pPr>
        <w:spacing w:line="192" w:lineRule="auto"/>
        <w:ind w:firstLine="0"/>
        <w:rPr>
          <w:noProof/>
        </w:rPr>
      </w:pPr>
      <w:r>
        <w:rPr>
          <w:noProof/>
          <w:rtl/>
        </w:rPr>
        <w:t xml:space="preserve">الاستبصار، </w:t>
      </w:r>
      <w:r>
        <w:rPr>
          <w:noProof/>
        </w:rPr>
        <w:t>109</w:t>
      </w:r>
      <w:r>
        <w:rPr>
          <w:noProof/>
          <w:rtl/>
        </w:rPr>
        <w:t xml:space="preserve">، </w:t>
      </w:r>
      <w:r>
        <w:rPr>
          <w:noProof/>
        </w:rPr>
        <w:t>297</w:t>
      </w:r>
    </w:p>
    <w:p w:rsidR="002002F4" w:rsidRDefault="002002F4" w:rsidP="00074DA4">
      <w:pPr>
        <w:spacing w:line="192" w:lineRule="auto"/>
        <w:ind w:firstLine="0"/>
        <w:rPr>
          <w:noProof/>
        </w:rPr>
      </w:pPr>
      <w:r>
        <w:rPr>
          <w:noProof/>
          <w:rtl/>
        </w:rPr>
        <w:t xml:space="preserve">أسرار هزار ساله (أسرار الألف سنة)، </w:t>
      </w:r>
      <w:r>
        <w:rPr>
          <w:noProof/>
        </w:rPr>
        <w:t>138</w:t>
      </w:r>
    </w:p>
    <w:p w:rsidR="002002F4" w:rsidRDefault="002002F4" w:rsidP="00074DA4">
      <w:pPr>
        <w:spacing w:line="192" w:lineRule="auto"/>
        <w:ind w:firstLine="0"/>
        <w:rPr>
          <w:noProof/>
        </w:rPr>
      </w:pPr>
      <w:r>
        <w:rPr>
          <w:noProof/>
          <w:rtl/>
        </w:rPr>
        <w:t xml:space="preserve">الإسلام يقود الحياة، </w:t>
      </w:r>
      <w:r>
        <w:rPr>
          <w:noProof/>
        </w:rPr>
        <w:t>388</w:t>
      </w:r>
    </w:p>
    <w:p w:rsidR="002002F4" w:rsidRDefault="002002F4" w:rsidP="00074DA4">
      <w:pPr>
        <w:spacing w:line="192" w:lineRule="auto"/>
        <w:ind w:firstLine="0"/>
        <w:rPr>
          <w:noProof/>
        </w:rPr>
      </w:pPr>
      <w:r>
        <w:rPr>
          <w:noProof/>
          <w:rtl/>
        </w:rPr>
        <w:t xml:space="preserve">أسناد انقلاب إسلامي، </w:t>
      </w:r>
      <w:r>
        <w:rPr>
          <w:noProof/>
        </w:rPr>
        <w:t>201</w:t>
      </w:r>
      <w:r>
        <w:rPr>
          <w:noProof/>
          <w:rtl/>
        </w:rPr>
        <w:t xml:space="preserve">، </w:t>
      </w:r>
      <w:r>
        <w:rPr>
          <w:noProof/>
        </w:rPr>
        <w:t>216</w:t>
      </w:r>
    </w:p>
    <w:p w:rsidR="002002F4" w:rsidRDefault="002002F4" w:rsidP="00074DA4">
      <w:pPr>
        <w:spacing w:line="192" w:lineRule="auto"/>
        <w:ind w:firstLine="0"/>
        <w:rPr>
          <w:noProof/>
        </w:rPr>
      </w:pPr>
      <w:r>
        <w:rPr>
          <w:noProof/>
          <w:rtl/>
        </w:rPr>
        <w:t xml:space="preserve">اصطلاحات الصوفية، </w:t>
      </w:r>
      <w:r>
        <w:rPr>
          <w:noProof/>
        </w:rPr>
        <w:t>46</w:t>
      </w:r>
    </w:p>
    <w:p w:rsidR="002002F4" w:rsidRDefault="002002F4" w:rsidP="00074DA4">
      <w:pPr>
        <w:spacing w:line="192" w:lineRule="auto"/>
        <w:ind w:firstLine="0"/>
        <w:rPr>
          <w:noProof/>
        </w:rPr>
      </w:pPr>
      <w:r>
        <w:rPr>
          <w:noProof/>
          <w:rtl/>
        </w:rPr>
        <w:t xml:space="preserve">اطلاعات سياسي اقتصادي (مجلة)، </w:t>
      </w:r>
      <w:r>
        <w:rPr>
          <w:noProof/>
        </w:rPr>
        <w:t>197</w:t>
      </w:r>
    </w:p>
    <w:p w:rsidR="002002F4" w:rsidRDefault="002002F4" w:rsidP="00074DA4">
      <w:pPr>
        <w:spacing w:line="192" w:lineRule="auto"/>
        <w:ind w:firstLine="0"/>
        <w:rPr>
          <w:noProof/>
        </w:rPr>
      </w:pPr>
      <w:r>
        <w:rPr>
          <w:noProof/>
          <w:rtl/>
        </w:rPr>
        <w:t xml:space="preserve">أعلام الورى، </w:t>
      </w:r>
      <w:r>
        <w:rPr>
          <w:noProof/>
        </w:rPr>
        <w:t>376</w:t>
      </w:r>
    </w:p>
    <w:p w:rsidR="002002F4" w:rsidRDefault="002002F4" w:rsidP="00074DA4">
      <w:pPr>
        <w:spacing w:line="192" w:lineRule="auto"/>
        <w:ind w:firstLine="0"/>
        <w:rPr>
          <w:noProof/>
        </w:rPr>
      </w:pPr>
      <w:r>
        <w:rPr>
          <w:noProof/>
          <w:rtl/>
        </w:rPr>
        <w:t xml:space="preserve">إقبال الأعمال، </w:t>
      </w:r>
      <w:r>
        <w:rPr>
          <w:noProof/>
        </w:rPr>
        <w:t>112</w:t>
      </w:r>
    </w:p>
    <w:p w:rsidR="002002F4" w:rsidRDefault="002002F4" w:rsidP="00074DA4">
      <w:pPr>
        <w:spacing w:line="192" w:lineRule="auto"/>
        <w:ind w:firstLine="0"/>
        <w:rPr>
          <w:noProof/>
        </w:rPr>
      </w:pPr>
      <w:r>
        <w:rPr>
          <w:noProof/>
          <w:rtl/>
        </w:rPr>
        <w:t xml:space="preserve">الاقتصاد، </w:t>
      </w:r>
      <w:r>
        <w:rPr>
          <w:noProof/>
        </w:rPr>
        <w:t>428</w:t>
      </w:r>
    </w:p>
    <w:p w:rsidR="002002F4" w:rsidRDefault="002002F4" w:rsidP="00074DA4">
      <w:pPr>
        <w:spacing w:line="192" w:lineRule="auto"/>
        <w:ind w:firstLine="0"/>
        <w:rPr>
          <w:noProof/>
        </w:rPr>
      </w:pPr>
      <w:r>
        <w:rPr>
          <w:noProof/>
          <w:rtl/>
        </w:rPr>
        <w:t xml:space="preserve">أقرب الموارد، </w:t>
      </w:r>
      <w:r>
        <w:rPr>
          <w:noProof/>
        </w:rPr>
        <w:t>40</w:t>
      </w:r>
    </w:p>
    <w:p w:rsidR="002002F4" w:rsidRDefault="002002F4" w:rsidP="00074DA4">
      <w:pPr>
        <w:spacing w:line="192" w:lineRule="auto"/>
        <w:ind w:firstLine="0"/>
        <w:rPr>
          <w:noProof/>
        </w:rPr>
      </w:pPr>
      <w:r>
        <w:rPr>
          <w:noProof/>
          <w:rtl/>
        </w:rPr>
        <w:t xml:space="preserve">الإلهيات على هدى الكتاب والسنة والعقل، </w:t>
      </w:r>
      <w:r>
        <w:rPr>
          <w:noProof/>
        </w:rPr>
        <w:t>58</w:t>
      </w:r>
      <w:r>
        <w:rPr>
          <w:noProof/>
          <w:rtl/>
        </w:rPr>
        <w:t xml:space="preserve">، </w:t>
      </w:r>
      <w:r>
        <w:rPr>
          <w:noProof/>
        </w:rPr>
        <w:t>427</w:t>
      </w:r>
    </w:p>
    <w:p w:rsidR="002002F4" w:rsidRDefault="002002F4" w:rsidP="00074DA4">
      <w:pPr>
        <w:spacing w:line="192" w:lineRule="auto"/>
        <w:ind w:firstLine="0"/>
        <w:rPr>
          <w:noProof/>
        </w:rPr>
      </w:pPr>
      <w:r>
        <w:rPr>
          <w:noProof/>
          <w:rtl/>
        </w:rPr>
        <w:t xml:space="preserve">الإلهيات من الشفاء، </w:t>
      </w:r>
      <w:r>
        <w:rPr>
          <w:noProof/>
        </w:rPr>
        <w:t>423</w:t>
      </w:r>
    </w:p>
    <w:p w:rsidR="002002F4" w:rsidRDefault="002002F4" w:rsidP="00074DA4">
      <w:pPr>
        <w:spacing w:line="192" w:lineRule="auto"/>
        <w:ind w:firstLine="0"/>
        <w:rPr>
          <w:noProof/>
        </w:rPr>
      </w:pPr>
      <w:r>
        <w:rPr>
          <w:noProof/>
          <w:rtl/>
        </w:rPr>
        <w:t xml:space="preserve">الأمالي، </w:t>
      </w:r>
      <w:r>
        <w:rPr>
          <w:noProof/>
        </w:rPr>
        <w:t>303</w:t>
      </w:r>
      <w:r>
        <w:rPr>
          <w:noProof/>
          <w:rtl/>
        </w:rPr>
        <w:t xml:space="preserve">، </w:t>
      </w:r>
      <w:r>
        <w:rPr>
          <w:noProof/>
        </w:rPr>
        <w:t>319</w:t>
      </w:r>
    </w:p>
    <w:p w:rsidR="002002F4" w:rsidRDefault="002002F4" w:rsidP="00074DA4">
      <w:pPr>
        <w:spacing w:line="192" w:lineRule="auto"/>
        <w:ind w:firstLine="0"/>
        <w:rPr>
          <w:noProof/>
        </w:rPr>
      </w:pPr>
      <w:r>
        <w:rPr>
          <w:noProof/>
          <w:rtl/>
        </w:rPr>
        <w:t xml:space="preserve">الإمامة والولاية في القرآن الكريم، </w:t>
      </w:r>
      <w:r>
        <w:rPr>
          <w:noProof/>
        </w:rPr>
        <w:t>97</w:t>
      </w:r>
    </w:p>
    <w:p w:rsidR="002002F4" w:rsidRDefault="002002F4" w:rsidP="00074DA4">
      <w:pPr>
        <w:spacing w:line="192" w:lineRule="auto"/>
        <w:ind w:firstLine="0"/>
        <w:rPr>
          <w:noProof/>
        </w:rPr>
      </w:pPr>
      <w:r>
        <w:rPr>
          <w:noProof/>
          <w:rtl/>
        </w:rPr>
        <w:t xml:space="preserve">الإمامة وقيادة المجتمع، </w:t>
      </w:r>
      <w:r>
        <w:rPr>
          <w:noProof/>
        </w:rPr>
        <w:t>72</w:t>
      </w:r>
      <w:r>
        <w:rPr>
          <w:noProof/>
          <w:rtl/>
        </w:rPr>
        <w:t xml:space="preserve">، </w:t>
      </w:r>
      <w:r>
        <w:rPr>
          <w:noProof/>
        </w:rPr>
        <w:t>143</w:t>
      </w:r>
    </w:p>
    <w:p w:rsidR="002002F4" w:rsidRDefault="002002F4" w:rsidP="00074DA4">
      <w:pPr>
        <w:spacing w:line="192" w:lineRule="auto"/>
        <w:ind w:firstLine="0"/>
        <w:rPr>
          <w:noProof/>
        </w:rPr>
      </w:pPr>
      <w:r>
        <w:rPr>
          <w:noProof/>
          <w:rtl/>
        </w:rPr>
        <w:t xml:space="preserve">إمامت ورهبري، </w:t>
      </w:r>
      <w:r>
        <w:rPr>
          <w:noProof/>
        </w:rPr>
        <w:t>56</w:t>
      </w:r>
      <w:r>
        <w:rPr>
          <w:noProof/>
          <w:rtl/>
        </w:rPr>
        <w:t xml:space="preserve">، </w:t>
      </w:r>
      <w:r>
        <w:rPr>
          <w:noProof/>
        </w:rPr>
        <w:t>57</w:t>
      </w:r>
      <w:r>
        <w:rPr>
          <w:noProof/>
          <w:rtl/>
        </w:rPr>
        <w:t xml:space="preserve">، </w:t>
      </w:r>
      <w:r>
        <w:rPr>
          <w:noProof/>
        </w:rPr>
        <w:t>59</w:t>
      </w:r>
      <w:r>
        <w:rPr>
          <w:noProof/>
          <w:rtl/>
        </w:rPr>
        <w:t xml:space="preserve">، </w:t>
      </w:r>
      <w:r>
        <w:rPr>
          <w:noProof/>
        </w:rPr>
        <w:t>63</w:t>
      </w:r>
      <w:r>
        <w:rPr>
          <w:noProof/>
          <w:rtl/>
        </w:rPr>
        <w:t xml:space="preserve">، </w:t>
      </w:r>
      <w:r>
        <w:rPr>
          <w:noProof/>
        </w:rPr>
        <w:t>64</w:t>
      </w:r>
      <w:r>
        <w:rPr>
          <w:noProof/>
          <w:rtl/>
        </w:rPr>
        <w:t xml:space="preserve">، </w:t>
      </w:r>
      <w:r>
        <w:rPr>
          <w:noProof/>
        </w:rPr>
        <w:t>65</w:t>
      </w:r>
      <w:r>
        <w:rPr>
          <w:noProof/>
          <w:rtl/>
        </w:rPr>
        <w:t xml:space="preserve">، </w:t>
      </w:r>
      <w:r>
        <w:rPr>
          <w:noProof/>
        </w:rPr>
        <w:t>113</w:t>
      </w:r>
    </w:p>
    <w:p w:rsidR="002002F4" w:rsidRDefault="002002F4" w:rsidP="00074DA4">
      <w:pPr>
        <w:spacing w:line="192" w:lineRule="auto"/>
        <w:ind w:firstLine="0"/>
        <w:rPr>
          <w:noProof/>
        </w:rPr>
      </w:pPr>
      <w:r>
        <w:rPr>
          <w:noProof/>
          <w:rtl/>
        </w:rPr>
        <w:t xml:space="preserve">الأمر بالمعروف والنهي عن المنكر، </w:t>
      </w:r>
      <w:r>
        <w:rPr>
          <w:noProof/>
        </w:rPr>
        <w:t>428</w:t>
      </w:r>
    </w:p>
    <w:p w:rsidR="002002F4" w:rsidRDefault="002002F4" w:rsidP="00074DA4">
      <w:pPr>
        <w:spacing w:line="192" w:lineRule="auto"/>
        <w:ind w:firstLine="0"/>
        <w:rPr>
          <w:noProof/>
          <w:rtl/>
        </w:rPr>
      </w:pPr>
      <w:r>
        <w:rPr>
          <w:noProof/>
          <w:rtl/>
        </w:rPr>
        <w:t xml:space="preserve">الإنسان الكامل، </w:t>
      </w:r>
      <w:r>
        <w:rPr>
          <w:noProof/>
        </w:rPr>
        <w:t>52</w:t>
      </w:r>
    </w:p>
    <w:p w:rsidR="002002F4" w:rsidRDefault="002002F4" w:rsidP="00074DA4">
      <w:pPr>
        <w:spacing w:line="192" w:lineRule="auto"/>
        <w:ind w:firstLine="0"/>
        <w:rPr>
          <w:noProof/>
        </w:rPr>
      </w:pPr>
      <w:r>
        <w:rPr>
          <w:noProof/>
          <w:rtl/>
        </w:rPr>
        <w:t xml:space="preserve">أنوار الفقاهة، </w:t>
      </w:r>
      <w:r>
        <w:rPr>
          <w:noProof/>
        </w:rPr>
        <w:t>298</w:t>
      </w:r>
      <w:r>
        <w:rPr>
          <w:noProof/>
          <w:rtl/>
        </w:rPr>
        <w:t xml:space="preserve">، </w:t>
      </w:r>
      <w:r>
        <w:rPr>
          <w:noProof/>
        </w:rPr>
        <w:t>300</w:t>
      </w:r>
      <w:r>
        <w:rPr>
          <w:noProof/>
          <w:rtl/>
        </w:rPr>
        <w:t xml:space="preserve">، </w:t>
      </w:r>
      <w:r>
        <w:rPr>
          <w:noProof/>
        </w:rPr>
        <w:t>301</w:t>
      </w:r>
      <w:r>
        <w:rPr>
          <w:noProof/>
          <w:rtl/>
        </w:rPr>
        <w:t xml:space="preserve">، </w:t>
      </w:r>
      <w:r>
        <w:rPr>
          <w:noProof/>
        </w:rPr>
        <w:t>310</w:t>
      </w:r>
      <w:r>
        <w:rPr>
          <w:noProof/>
          <w:rtl/>
        </w:rPr>
        <w:t xml:space="preserve">، </w:t>
      </w:r>
      <w:r>
        <w:rPr>
          <w:noProof/>
        </w:rPr>
        <w:t>315</w:t>
      </w:r>
      <w:r>
        <w:rPr>
          <w:noProof/>
          <w:rtl/>
        </w:rPr>
        <w:t xml:space="preserve">، </w:t>
      </w:r>
      <w:r>
        <w:rPr>
          <w:noProof/>
        </w:rPr>
        <w:t>330</w:t>
      </w:r>
      <w:r>
        <w:rPr>
          <w:noProof/>
          <w:rtl/>
        </w:rPr>
        <w:t xml:space="preserve">، </w:t>
      </w:r>
      <w:r>
        <w:rPr>
          <w:noProof/>
        </w:rPr>
        <w:t>336</w:t>
      </w:r>
      <w:r>
        <w:rPr>
          <w:noProof/>
          <w:rtl/>
        </w:rPr>
        <w:t xml:space="preserve">، </w:t>
      </w:r>
      <w:r>
        <w:rPr>
          <w:noProof/>
        </w:rPr>
        <w:t>340</w:t>
      </w:r>
      <w:r>
        <w:rPr>
          <w:noProof/>
          <w:rtl/>
        </w:rPr>
        <w:t xml:space="preserve">، </w:t>
      </w:r>
      <w:r>
        <w:rPr>
          <w:noProof/>
        </w:rPr>
        <w:t>351</w:t>
      </w:r>
      <w:r>
        <w:rPr>
          <w:noProof/>
          <w:rtl/>
        </w:rPr>
        <w:t xml:space="preserve">، </w:t>
      </w:r>
      <w:r>
        <w:rPr>
          <w:noProof/>
        </w:rPr>
        <w:t>353</w:t>
      </w:r>
      <w:r>
        <w:rPr>
          <w:noProof/>
          <w:rtl/>
        </w:rPr>
        <w:t xml:space="preserve">، </w:t>
      </w:r>
      <w:r>
        <w:rPr>
          <w:noProof/>
        </w:rPr>
        <w:t>354</w:t>
      </w:r>
      <w:r>
        <w:rPr>
          <w:noProof/>
          <w:rtl/>
        </w:rPr>
        <w:t xml:space="preserve">، </w:t>
      </w:r>
      <w:r>
        <w:rPr>
          <w:noProof/>
        </w:rPr>
        <w:t>361</w:t>
      </w:r>
      <w:r>
        <w:rPr>
          <w:noProof/>
          <w:rtl/>
        </w:rPr>
        <w:t xml:space="preserve">، </w:t>
      </w:r>
      <w:r>
        <w:rPr>
          <w:noProof/>
        </w:rPr>
        <w:t>367</w:t>
      </w:r>
      <w:r>
        <w:rPr>
          <w:noProof/>
          <w:rtl/>
        </w:rPr>
        <w:t xml:space="preserve">، </w:t>
      </w:r>
      <w:r>
        <w:rPr>
          <w:noProof/>
        </w:rPr>
        <w:t>371</w:t>
      </w:r>
      <w:r>
        <w:rPr>
          <w:noProof/>
          <w:rtl/>
        </w:rPr>
        <w:t xml:space="preserve">، </w:t>
      </w:r>
      <w:r>
        <w:rPr>
          <w:noProof/>
        </w:rPr>
        <w:t>373</w:t>
      </w:r>
      <w:r>
        <w:rPr>
          <w:noProof/>
          <w:rtl/>
        </w:rPr>
        <w:t xml:space="preserve">، </w:t>
      </w:r>
      <w:r>
        <w:rPr>
          <w:noProof/>
        </w:rPr>
        <w:t>377</w:t>
      </w:r>
      <w:r>
        <w:rPr>
          <w:noProof/>
          <w:rtl/>
        </w:rPr>
        <w:t xml:space="preserve">، </w:t>
      </w:r>
      <w:r>
        <w:rPr>
          <w:noProof/>
        </w:rPr>
        <w:t>378</w:t>
      </w:r>
    </w:p>
    <w:p w:rsidR="002002F4" w:rsidRDefault="002002F4" w:rsidP="00074DA4">
      <w:pPr>
        <w:spacing w:line="192" w:lineRule="auto"/>
        <w:ind w:firstLine="0"/>
        <w:rPr>
          <w:noProof/>
        </w:rPr>
      </w:pPr>
      <w:r>
        <w:rPr>
          <w:noProof/>
          <w:rtl/>
        </w:rPr>
        <w:t xml:space="preserve">أوائل المقالات، مصنفات الشيخ المفيد، </w:t>
      </w:r>
      <w:r>
        <w:rPr>
          <w:noProof/>
        </w:rPr>
        <w:t>58</w:t>
      </w:r>
    </w:p>
    <w:p w:rsidR="002002F4" w:rsidRDefault="002002F4" w:rsidP="00074DA4">
      <w:pPr>
        <w:spacing w:line="192" w:lineRule="auto"/>
        <w:ind w:firstLine="0"/>
        <w:rPr>
          <w:noProof/>
        </w:rPr>
      </w:pPr>
      <w:r>
        <w:rPr>
          <w:noProof/>
          <w:rtl/>
        </w:rPr>
        <w:t xml:space="preserve">إيران (صحيفة)، </w:t>
      </w:r>
      <w:r>
        <w:rPr>
          <w:noProof/>
        </w:rPr>
        <w:t>260</w:t>
      </w:r>
    </w:p>
    <w:p w:rsidR="002002F4" w:rsidRDefault="002002F4" w:rsidP="00074DA4">
      <w:pPr>
        <w:spacing w:line="192" w:lineRule="auto"/>
        <w:ind w:firstLine="0"/>
        <w:rPr>
          <w:noProof/>
        </w:rPr>
      </w:pPr>
      <w:r>
        <w:rPr>
          <w:noProof/>
          <w:rtl/>
        </w:rPr>
        <w:t xml:space="preserve">إيضاح الفوائد، </w:t>
      </w:r>
      <w:r>
        <w:rPr>
          <w:noProof/>
        </w:rPr>
        <w:t>415</w:t>
      </w:r>
    </w:p>
    <w:p w:rsidR="002002F4" w:rsidRDefault="002002F4" w:rsidP="00074DA4">
      <w:pPr>
        <w:spacing w:line="192" w:lineRule="auto"/>
        <w:ind w:firstLine="0"/>
        <w:rPr>
          <w:noProof/>
        </w:rPr>
      </w:pPr>
      <w:r>
        <w:rPr>
          <w:noProof/>
          <w:rtl/>
        </w:rPr>
        <w:t xml:space="preserve">باب الغرق، </w:t>
      </w:r>
      <w:r>
        <w:rPr>
          <w:noProof/>
        </w:rPr>
        <w:t>46</w:t>
      </w:r>
    </w:p>
    <w:p w:rsidR="002002F4" w:rsidRDefault="002002F4" w:rsidP="00074DA4">
      <w:pPr>
        <w:spacing w:line="192" w:lineRule="auto"/>
        <w:ind w:firstLine="0"/>
        <w:rPr>
          <w:noProof/>
        </w:rPr>
      </w:pPr>
      <w:r>
        <w:rPr>
          <w:noProof/>
          <w:rtl/>
        </w:rPr>
        <w:t xml:space="preserve">بازشناسي حكومت ولائي، </w:t>
      </w:r>
      <w:r>
        <w:rPr>
          <w:noProof/>
        </w:rPr>
        <w:t>18</w:t>
      </w:r>
    </w:p>
    <w:p w:rsidR="002002F4" w:rsidRDefault="002002F4" w:rsidP="00074DA4">
      <w:pPr>
        <w:spacing w:line="192" w:lineRule="auto"/>
        <w:ind w:firstLine="0"/>
        <w:rPr>
          <w:noProof/>
        </w:rPr>
      </w:pPr>
      <w:r>
        <w:rPr>
          <w:noProof/>
          <w:rtl/>
        </w:rPr>
        <w:t xml:space="preserve">بحار الأنوار، </w:t>
      </w:r>
      <w:r>
        <w:rPr>
          <w:noProof/>
        </w:rPr>
        <w:t>61</w:t>
      </w:r>
      <w:r>
        <w:rPr>
          <w:noProof/>
          <w:rtl/>
        </w:rPr>
        <w:t xml:space="preserve">، </w:t>
      </w:r>
      <w:r>
        <w:rPr>
          <w:noProof/>
        </w:rPr>
        <w:t>109</w:t>
      </w:r>
      <w:r>
        <w:rPr>
          <w:noProof/>
          <w:rtl/>
        </w:rPr>
        <w:t xml:space="preserve">، </w:t>
      </w:r>
      <w:r>
        <w:rPr>
          <w:noProof/>
        </w:rPr>
        <w:t>112</w:t>
      </w:r>
      <w:r>
        <w:rPr>
          <w:noProof/>
          <w:rtl/>
        </w:rPr>
        <w:t xml:space="preserve">، </w:t>
      </w:r>
      <w:r>
        <w:rPr>
          <w:noProof/>
        </w:rPr>
        <w:t>117</w:t>
      </w:r>
      <w:r>
        <w:rPr>
          <w:noProof/>
          <w:rtl/>
        </w:rPr>
        <w:t xml:space="preserve">، </w:t>
      </w:r>
      <w:r>
        <w:rPr>
          <w:noProof/>
        </w:rPr>
        <w:t>200</w:t>
      </w:r>
      <w:r>
        <w:rPr>
          <w:noProof/>
          <w:rtl/>
        </w:rPr>
        <w:t xml:space="preserve">، </w:t>
      </w:r>
      <w:r>
        <w:rPr>
          <w:noProof/>
        </w:rPr>
        <w:t>297</w:t>
      </w:r>
      <w:r>
        <w:rPr>
          <w:noProof/>
          <w:rtl/>
        </w:rPr>
        <w:t xml:space="preserve">، </w:t>
      </w:r>
      <w:r>
        <w:rPr>
          <w:noProof/>
        </w:rPr>
        <w:t>321</w:t>
      </w:r>
      <w:r>
        <w:rPr>
          <w:noProof/>
          <w:rtl/>
        </w:rPr>
        <w:t xml:space="preserve">، </w:t>
      </w:r>
      <w:r>
        <w:rPr>
          <w:noProof/>
        </w:rPr>
        <w:t>333</w:t>
      </w:r>
      <w:r>
        <w:rPr>
          <w:noProof/>
          <w:rtl/>
        </w:rPr>
        <w:t xml:space="preserve">، </w:t>
      </w:r>
      <w:r>
        <w:rPr>
          <w:noProof/>
        </w:rPr>
        <w:t>383</w:t>
      </w:r>
    </w:p>
    <w:p w:rsidR="002002F4" w:rsidRDefault="002002F4" w:rsidP="00074DA4">
      <w:pPr>
        <w:spacing w:line="192" w:lineRule="auto"/>
        <w:ind w:firstLine="0"/>
        <w:rPr>
          <w:noProof/>
        </w:rPr>
      </w:pPr>
      <w:r>
        <w:rPr>
          <w:noProof/>
          <w:rtl/>
        </w:rPr>
        <w:t xml:space="preserve">بحث في ولاية الحاكم للفقيه، </w:t>
      </w:r>
      <w:r>
        <w:rPr>
          <w:noProof/>
        </w:rPr>
        <w:t>330</w:t>
      </w:r>
      <w:r>
        <w:rPr>
          <w:noProof/>
          <w:rtl/>
        </w:rPr>
        <w:t xml:space="preserve">، </w:t>
      </w:r>
      <w:r>
        <w:rPr>
          <w:noProof/>
        </w:rPr>
        <w:t>353</w:t>
      </w:r>
    </w:p>
    <w:p w:rsidR="002002F4" w:rsidRDefault="002002F4" w:rsidP="00074DA4">
      <w:pPr>
        <w:spacing w:line="192" w:lineRule="auto"/>
        <w:ind w:firstLine="0"/>
        <w:rPr>
          <w:noProof/>
        </w:rPr>
      </w:pPr>
      <w:r>
        <w:rPr>
          <w:noProof/>
          <w:rtl/>
        </w:rPr>
        <w:t xml:space="preserve">البدر الزاهر في صلاة الجمعة والمسافر، </w:t>
      </w:r>
      <w:r>
        <w:rPr>
          <w:noProof/>
        </w:rPr>
        <w:t>132</w:t>
      </w:r>
      <w:r>
        <w:rPr>
          <w:noProof/>
          <w:rtl/>
        </w:rPr>
        <w:t xml:space="preserve">، </w:t>
      </w:r>
      <w:r>
        <w:rPr>
          <w:noProof/>
        </w:rPr>
        <w:t>157</w:t>
      </w:r>
      <w:r>
        <w:rPr>
          <w:noProof/>
          <w:rtl/>
        </w:rPr>
        <w:t xml:space="preserve">، </w:t>
      </w:r>
      <w:r>
        <w:rPr>
          <w:noProof/>
        </w:rPr>
        <w:t>443</w:t>
      </w:r>
    </w:p>
    <w:p w:rsidR="002002F4" w:rsidRDefault="002002F4" w:rsidP="00074DA4">
      <w:pPr>
        <w:spacing w:line="192" w:lineRule="auto"/>
        <w:ind w:firstLine="0"/>
        <w:rPr>
          <w:noProof/>
        </w:rPr>
      </w:pPr>
      <w:r>
        <w:rPr>
          <w:noProof/>
          <w:rtl/>
        </w:rPr>
        <w:t xml:space="preserve">بررسي وتحليل أز نهضت إمام خميني، </w:t>
      </w:r>
      <w:r>
        <w:rPr>
          <w:noProof/>
        </w:rPr>
        <w:t>201</w:t>
      </w:r>
    </w:p>
    <w:p w:rsidR="002002F4" w:rsidRDefault="002002F4" w:rsidP="00074DA4">
      <w:pPr>
        <w:spacing w:line="192" w:lineRule="auto"/>
        <w:ind w:firstLine="0"/>
        <w:rPr>
          <w:noProof/>
        </w:rPr>
      </w:pPr>
      <w:r>
        <w:rPr>
          <w:noProof/>
          <w:rtl/>
        </w:rPr>
        <w:t xml:space="preserve">بررسيهاي إسلامي، </w:t>
      </w:r>
      <w:r>
        <w:rPr>
          <w:noProof/>
        </w:rPr>
        <w:t>423</w:t>
      </w:r>
    </w:p>
    <w:p w:rsidR="002002F4" w:rsidRDefault="002002F4" w:rsidP="00074DA4">
      <w:pPr>
        <w:spacing w:line="192" w:lineRule="auto"/>
        <w:ind w:firstLine="0"/>
        <w:rPr>
          <w:noProof/>
        </w:rPr>
      </w:pPr>
      <w:r>
        <w:rPr>
          <w:noProof/>
          <w:rtl/>
        </w:rPr>
        <w:t xml:space="preserve">برهان الشفاء، </w:t>
      </w:r>
      <w:r>
        <w:rPr>
          <w:noProof/>
        </w:rPr>
        <w:t>286</w:t>
      </w:r>
    </w:p>
    <w:p w:rsidR="002002F4" w:rsidRDefault="002002F4" w:rsidP="00074DA4">
      <w:pPr>
        <w:spacing w:line="192" w:lineRule="auto"/>
        <w:ind w:firstLine="0"/>
        <w:rPr>
          <w:noProof/>
        </w:rPr>
      </w:pPr>
      <w:r>
        <w:rPr>
          <w:noProof/>
          <w:rtl/>
        </w:rPr>
        <w:t xml:space="preserve">بصائر الدرجات، </w:t>
      </w:r>
      <w:r>
        <w:rPr>
          <w:noProof/>
        </w:rPr>
        <w:t>319</w:t>
      </w:r>
      <w:r>
        <w:rPr>
          <w:noProof/>
          <w:rtl/>
        </w:rPr>
        <w:t xml:space="preserve">، </w:t>
      </w:r>
      <w:r>
        <w:rPr>
          <w:noProof/>
        </w:rPr>
        <w:t>320</w:t>
      </w:r>
    </w:p>
    <w:p w:rsidR="002002F4" w:rsidRDefault="002002F4" w:rsidP="00074DA4">
      <w:pPr>
        <w:spacing w:line="192" w:lineRule="auto"/>
        <w:ind w:firstLine="0"/>
        <w:rPr>
          <w:noProof/>
        </w:rPr>
      </w:pPr>
      <w:r>
        <w:rPr>
          <w:noProof/>
          <w:rtl/>
        </w:rPr>
        <w:t xml:space="preserve">بلغة الفقيه، </w:t>
      </w:r>
      <w:r>
        <w:rPr>
          <w:noProof/>
        </w:rPr>
        <w:t>68</w:t>
      </w:r>
      <w:r>
        <w:rPr>
          <w:noProof/>
          <w:rtl/>
        </w:rPr>
        <w:t xml:space="preserve">، </w:t>
      </w:r>
      <w:r>
        <w:rPr>
          <w:noProof/>
        </w:rPr>
        <w:t>69</w:t>
      </w:r>
      <w:r>
        <w:rPr>
          <w:noProof/>
          <w:rtl/>
        </w:rPr>
        <w:t xml:space="preserve">، </w:t>
      </w:r>
      <w:r>
        <w:rPr>
          <w:noProof/>
        </w:rPr>
        <w:t>70</w:t>
      </w:r>
      <w:r>
        <w:rPr>
          <w:noProof/>
          <w:rtl/>
        </w:rPr>
        <w:t xml:space="preserve">، </w:t>
      </w:r>
      <w:r>
        <w:rPr>
          <w:noProof/>
        </w:rPr>
        <w:t>72</w:t>
      </w:r>
      <w:r>
        <w:rPr>
          <w:noProof/>
          <w:rtl/>
        </w:rPr>
        <w:t xml:space="preserve">، </w:t>
      </w:r>
      <w:r>
        <w:rPr>
          <w:noProof/>
        </w:rPr>
        <w:t>74</w:t>
      </w:r>
      <w:r>
        <w:rPr>
          <w:noProof/>
          <w:rtl/>
        </w:rPr>
        <w:t xml:space="preserve">، </w:t>
      </w:r>
      <w:r>
        <w:rPr>
          <w:noProof/>
        </w:rPr>
        <w:t>78</w:t>
      </w:r>
      <w:r>
        <w:rPr>
          <w:noProof/>
          <w:rtl/>
        </w:rPr>
        <w:t xml:space="preserve">، </w:t>
      </w:r>
      <w:r>
        <w:rPr>
          <w:noProof/>
        </w:rPr>
        <w:t>79</w:t>
      </w:r>
      <w:r>
        <w:rPr>
          <w:noProof/>
          <w:rtl/>
        </w:rPr>
        <w:t xml:space="preserve">، </w:t>
      </w:r>
      <w:r>
        <w:rPr>
          <w:noProof/>
        </w:rPr>
        <w:t>81</w:t>
      </w:r>
      <w:r>
        <w:rPr>
          <w:noProof/>
          <w:rtl/>
        </w:rPr>
        <w:t xml:space="preserve">، </w:t>
      </w:r>
      <w:r>
        <w:rPr>
          <w:noProof/>
        </w:rPr>
        <w:t>134</w:t>
      </w:r>
      <w:r>
        <w:rPr>
          <w:noProof/>
          <w:rtl/>
        </w:rPr>
        <w:t xml:space="preserve">، </w:t>
      </w:r>
      <w:r>
        <w:rPr>
          <w:noProof/>
        </w:rPr>
        <w:t>135</w:t>
      </w:r>
      <w:r>
        <w:rPr>
          <w:noProof/>
          <w:rtl/>
        </w:rPr>
        <w:t xml:space="preserve">، </w:t>
      </w:r>
      <w:r>
        <w:rPr>
          <w:noProof/>
        </w:rPr>
        <w:t>142</w:t>
      </w:r>
      <w:r>
        <w:rPr>
          <w:noProof/>
          <w:rtl/>
        </w:rPr>
        <w:t xml:space="preserve">، </w:t>
      </w:r>
      <w:r>
        <w:rPr>
          <w:noProof/>
        </w:rPr>
        <w:t>157</w:t>
      </w:r>
      <w:r>
        <w:rPr>
          <w:noProof/>
          <w:rtl/>
        </w:rPr>
        <w:t xml:space="preserve">، </w:t>
      </w:r>
      <w:r>
        <w:rPr>
          <w:noProof/>
        </w:rPr>
        <w:t>309</w:t>
      </w:r>
      <w:r>
        <w:rPr>
          <w:noProof/>
          <w:rtl/>
        </w:rPr>
        <w:t xml:space="preserve">، </w:t>
      </w:r>
      <w:r>
        <w:rPr>
          <w:noProof/>
        </w:rPr>
        <w:t>317</w:t>
      </w:r>
      <w:r>
        <w:rPr>
          <w:noProof/>
          <w:rtl/>
        </w:rPr>
        <w:t xml:space="preserve">، </w:t>
      </w:r>
      <w:r>
        <w:rPr>
          <w:noProof/>
        </w:rPr>
        <w:t>327</w:t>
      </w:r>
      <w:r>
        <w:rPr>
          <w:noProof/>
          <w:rtl/>
        </w:rPr>
        <w:t xml:space="preserve">، </w:t>
      </w:r>
      <w:r>
        <w:rPr>
          <w:noProof/>
        </w:rPr>
        <w:t>336</w:t>
      </w:r>
      <w:r>
        <w:rPr>
          <w:noProof/>
          <w:rtl/>
        </w:rPr>
        <w:t xml:space="preserve">، </w:t>
      </w:r>
      <w:r>
        <w:rPr>
          <w:noProof/>
        </w:rPr>
        <w:t>339</w:t>
      </w:r>
      <w:r>
        <w:rPr>
          <w:noProof/>
          <w:rtl/>
        </w:rPr>
        <w:t xml:space="preserve">، </w:t>
      </w:r>
      <w:r>
        <w:rPr>
          <w:noProof/>
        </w:rPr>
        <w:t>346</w:t>
      </w:r>
      <w:r>
        <w:rPr>
          <w:noProof/>
          <w:rtl/>
        </w:rPr>
        <w:t xml:space="preserve">، </w:t>
      </w:r>
      <w:r>
        <w:rPr>
          <w:noProof/>
        </w:rPr>
        <w:t>377</w:t>
      </w:r>
      <w:r>
        <w:rPr>
          <w:noProof/>
          <w:rtl/>
        </w:rPr>
        <w:t xml:space="preserve">، </w:t>
      </w:r>
      <w:r>
        <w:rPr>
          <w:noProof/>
        </w:rPr>
        <w:t>404</w:t>
      </w:r>
    </w:p>
    <w:p w:rsidR="002002F4" w:rsidRDefault="002002F4" w:rsidP="00074DA4">
      <w:pPr>
        <w:spacing w:line="192" w:lineRule="auto"/>
        <w:ind w:firstLine="0"/>
        <w:rPr>
          <w:noProof/>
        </w:rPr>
      </w:pPr>
      <w:r>
        <w:rPr>
          <w:noProof/>
          <w:rtl/>
        </w:rPr>
        <w:t xml:space="preserve">البيع، </w:t>
      </w:r>
      <w:r>
        <w:rPr>
          <w:noProof/>
        </w:rPr>
        <w:t>173</w:t>
      </w:r>
      <w:r>
        <w:rPr>
          <w:noProof/>
          <w:rtl/>
        </w:rPr>
        <w:t xml:space="preserve">، </w:t>
      </w:r>
      <w:r>
        <w:rPr>
          <w:noProof/>
        </w:rPr>
        <w:t>215</w:t>
      </w:r>
      <w:r>
        <w:rPr>
          <w:noProof/>
          <w:rtl/>
        </w:rPr>
        <w:t xml:space="preserve">، </w:t>
      </w:r>
      <w:r>
        <w:rPr>
          <w:noProof/>
        </w:rPr>
        <w:t>272</w:t>
      </w:r>
      <w:r>
        <w:rPr>
          <w:noProof/>
          <w:rtl/>
        </w:rPr>
        <w:t xml:space="preserve">، </w:t>
      </w:r>
      <w:r>
        <w:rPr>
          <w:noProof/>
        </w:rPr>
        <w:t>303</w:t>
      </w:r>
      <w:r>
        <w:rPr>
          <w:noProof/>
          <w:rtl/>
        </w:rPr>
        <w:t xml:space="preserve">، </w:t>
      </w:r>
      <w:r>
        <w:rPr>
          <w:noProof/>
        </w:rPr>
        <w:t>316</w:t>
      </w:r>
    </w:p>
    <w:p w:rsidR="002002F4" w:rsidRDefault="002002F4" w:rsidP="00074DA4">
      <w:pPr>
        <w:spacing w:line="192" w:lineRule="auto"/>
        <w:ind w:firstLine="0"/>
        <w:rPr>
          <w:noProof/>
        </w:rPr>
      </w:pPr>
      <w:r>
        <w:rPr>
          <w:noProof/>
          <w:rtl/>
        </w:rPr>
        <w:t xml:space="preserve">ﭘرسش وﭘاسخهاي مذهبي سياسي واجتماعي، </w:t>
      </w:r>
      <w:r>
        <w:rPr>
          <w:noProof/>
        </w:rPr>
        <w:t>149</w:t>
      </w:r>
    </w:p>
    <w:p w:rsidR="002002F4" w:rsidRDefault="002002F4" w:rsidP="00074DA4">
      <w:pPr>
        <w:spacing w:line="192" w:lineRule="auto"/>
        <w:ind w:firstLine="0"/>
        <w:rPr>
          <w:noProof/>
        </w:rPr>
      </w:pPr>
      <w:r>
        <w:rPr>
          <w:noProof/>
          <w:rtl/>
        </w:rPr>
        <w:t xml:space="preserve">پرسشها وپاسخها، </w:t>
      </w:r>
      <w:r>
        <w:rPr>
          <w:noProof/>
        </w:rPr>
        <w:t>256</w:t>
      </w:r>
    </w:p>
    <w:p w:rsidR="002002F4" w:rsidRDefault="002002F4" w:rsidP="00074DA4">
      <w:pPr>
        <w:spacing w:line="192" w:lineRule="auto"/>
        <w:ind w:firstLine="0"/>
        <w:rPr>
          <w:noProof/>
        </w:rPr>
      </w:pPr>
      <w:r>
        <w:rPr>
          <w:noProof/>
          <w:rtl/>
        </w:rPr>
        <w:t xml:space="preserve">پیرامون وحي ورهبري، </w:t>
      </w:r>
      <w:r>
        <w:rPr>
          <w:noProof/>
        </w:rPr>
        <w:t>139</w:t>
      </w:r>
      <w:r>
        <w:rPr>
          <w:noProof/>
          <w:rtl/>
        </w:rPr>
        <w:t xml:space="preserve">، </w:t>
      </w:r>
      <w:r>
        <w:rPr>
          <w:noProof/>
        </w:rPr>
        <w:t>144</w:t>
      </w:r>
      <w:r>
        <w:rPr>
          <w:noProof/>
          <w:rtl/>
        </w:rPr>
        <w:t xml:space="preserve">، </w:t>
      </w:r>
      <w:r>
        <w:rPr>
          <w:noProof/>
        </w:rPr>
        <w:t>145</w:t>
      </w:r>
    </w:p>
    <w:p w:rsidR="002002F4" w:rsidRDefault="002002F4" w:rsidP="00074DA4">
      <w:pPr>
        <w:spacing w:line="192" w:lineRule="auto"/>
        <w:ind w:firstLine="0"/>
        <w:rPr>
          <w:noProof/>
        </w:rPr>
      </w:pPr>
      <w:r>
        <w:rPr>
          <w:noProof/>
          <w:rtl/>
        </w:rPr>
        <w:t xml:space="preserve">ﭘيرامون انقلاب إسلامي، </w:t>
      </w:r>
      <w:r>
        <w:rPr>
          <w:noProof/>
        </w:rPr>
        <w:t>29</w:t>
      </w:r>
    </w:p>
    <w:p w:rsidR="002002F4" w:rsidRDefault="002002F4" w:rsidP="00074DA4">
      <w:pPr>
        <w:spacing w:line="192" w:lineRule="auto"/>
        <w:ind w:firstLine="0"/>
        <w:rPr>
          <w:noProof/>
        </w:rPr>
      </w:pPr>
      <w:r>
        <w:rPr>
          <w:noProof/>
          <w:rtl/>
        </w:rPr>
        <w:t xml:space="preserve">تاج العروس، </w:t>
      </w:r>
      <w:r>
        <w:rPr>
          <w:noProof/>
        </w:rPr>
        <w:t>40</w:t>
      </w:r>
    </w:p>
    <w:p w:rsidR="002002F4" w:rsidRDefault="002002F4" w:rsidP="00074DA4">
      <w:pPr>
        <w:spacing w:line="192" w:lineRule="auto"/>
        <w:ind w:firstLine="0"/>
        <w:rPr>
          <w:noProof/>
        </w:rPr>
      </w:pPr>
      <w:r>
        <w:rPr>
          <w:noProof/>
          <w:rtl/>
        </w:rPr>
        <w:t xml:space="preserve">التبيان في تفسير القرآن، </w:t>
      </w:r>
      <w:r>
        <w:rPr>
          <w:noProof/>
        </w:rPr>
        <w:t>94</w:t>
      </w:r>
      <w:r>
        <w:rPr>
          <w:noProof/>
          <w:rtl/>
        </w:rPr>
        <w:t xml:space="preserve">، </w:t>
      </w:r>
      <w:r>
        <w:rPr>
          <w:noProof/>
        </w:rPr>
        <w:t>97</w:t>
      </w:r>
      <w:r>
        <w:rPr>
          <w:noProof/>
          <w:rtl/>
        </w:rPr>
        <w:t xml:space="preserve">، </w:t>
      </w:r>
      <w:r>
        <w:rPr>
          <w:noProof/>
        </w:rPr>
        <w:t>400</w:t>
      </w:r>
      <w:r>
        <w:rPr>
          <w:noProof/>
          <w:rtl/>
        </w:rPr>
        <w:t xml:space="preserve">، </w:t>
      </w:r>
      <w:r>
        <w:rPr>
          <w:noProof/>
        </w:rPr>
        <w:t>401</w:t>
      </w:r>
    </w:p>
    <w:p w:rsidR="002002F4" w:rsidRDefault="002002F4" w:rsidP="00074DA4">
      <w:pPr>
        <w:spacing w:line="192" w:lineRule="auto"/>
        <w:ind w:firstLine="0"/>
        <w:rPr>
          <w:noProof/>
        </w:rPr>
      </w:pPr>
      <w:r>
        <w:rPr>
          <w:noProof/>
          <w:rtl/>
        </w:rPr>
        <w:t>تجريد الإعتقاد (المقصد الخامس في الإمامة) = كشف المراد في شرح تجريد الإعتقاد</w:t>
      </w:r>
    </w:p>
    <w:p w:rsidR="002002F4" w:rsidRDefault="002002F4" w:rsidP="00074DA4">
      <w:pPr>
        <w:spacing w:line="192" w:lineRule="auto"/>
        <w:ind w:firstLine="0"/>
        <w:rPr>
          <w:noProof/>
          <w:rtl/>
        </w:rPr>
      </w:pPr>
      <w:r>
        <w:rPr>
          <w:noProof/>
          <w:rtl/>
        </w:rPr>
        <w:t xml:space="preserve">التجلّيات الإلهية، </w:t>
      </w:r>
      <w:r>
        <w:rPr>
          <w:noProof/>
        </w:rPr>
        <w:t>45</w:t>
      </w:r>
      <w:r>
        <w:rPr>
          <w:noProof/>
          <w:rtl/>
        </w:rPr>
        <w:t xml:space="preserve">، </w:t>
      </w:r>
      <w:r>
        <w:rPr>
          <w:noProof/>
        </w:rPr>
        <w:t>50</w:t>
      </w:r>
    </w:p>
    <w:p w:rsidR="002002F4" w:rsidRDefault="002002F4" w:rsidP="00074DA4">
      <w:pPr>
        <w:spacing w:line="192" w:lineRule="auto"/>
        <w:ind w:firstLine="0"/>
        <w:rPr>
          <w:noProof/>
        </w:rPr>
      </w:pPr>
      <w:r>
        <w:rPr>
          <w:noProof/>
          <w:rtl/>
        </w:rPr>
        <w:t xml:space="preserve">تحرير الوسيلة، </w:t>
      </w:r>
      <w:r>
        <w:rPr>
          <w:noProof/>
        </w:rPr>
        <w:t>74</w:t>
      </w:r>
      <w:r>
        <w:rPr>
          <w:noProof/>
          <w:rtl/>
        </w:rPr>
        <w:t xml:space="preserve">، </w:t>
      </w:r>
      <w:r>
        <w:rPr>
          <w:noProof/>
        </w:rPr>
        <w:t>75</w:t>
      </w:r>
      <w:r>
        <w:rPr>
          <w:noProof/>
          <w:rtl/>
        </w:rPr>
        <w:t xml:space="preserve">، </w:t>
      </w:r>
      <w:r>
        <w:rPr>
          <w:noProof/>
        </w:rPr>
        <w:t>76</w:t>
      </w:r>
      <w:r>
        <w:rPr>
          <w:noProof/>
          <w:rtl/>
        </w:rPr>
        <w:t xml:space="preserve">، </w:t>
      </w:r>
      <w:r>
        <w:rPr>
          <w:noProof/>
        </w:rPr>
        <w:t>77</w:t>
      </w:r>
      <w:r>
        <w:rPr>
          <w:noProof/>
          <w:rtl/>
        </w:rPr>
        <w:t xml:space="preserve">، </w:t>
      </w:r>
      <w:r>
        <w:rPr>
          <w:noProof/>
        </w:rPr>
        <w:t>78</w:t>
      </w:r>
      <w:r>
        <w:rPr>
          <w:noProof/>
          <w:rtl/>
        </w:rPr>
        <w:t xml:space="preserve">، </w:t>
      </w:r>
      <w:r>
        <w:rPr>
          <w:noProof/>
        </w:rPr>
        <w:t>80</w:t>
      </w:r>
      <w:r>
        <w:rPr>
          <w:noProof/>
          <w:rtl/>
        </w:rPr>
        <w:t xml:space="preserve">، </w:t>
      </w:r>
      <w:r>
        <w:rPr>
          <w:noProof/>
        </w:rPr>
        <w:t>119</w:t>
      </w:r>
      <w:r>
        <w:rPr>
          <w:noProof/>
          <w:rtl/>
        </w:rPr>
        <w:t xml:space="preserve">، </w:t>
      </w:r>
      <w:r>
        <w:rPr>
          <w:noProof/>
        </w:rPr>
        <w:t>133</w:t>
      </w:r>
      <w:r>
        <w:rPr>
          <w:noProof/>
          <w:rtl/>
        </w:rPr>
        <w:t xml:space="preserve">، </w:t>
      </w:r>
      <w:r>
        <w:rPr>
          <w:noProof/>
        </w:rPr>
        <w:t>142</w:t>
      </w:r>
      <w:r>
        <w:rPr>
          <w:noProof/>
          <w:rtl/>
        </w:rPr>
        <w:t xml:space="preserve">، </w:t>
      </w:r>
      <w:r>
        <w:rPr>
          <w:noProof/>
        </w:rPr>
        <w:t>145</w:t>
      </w:r>
      <w:r>
        <w:rPr>
          <w:noProof/>
          <w:rtl/>
        </w:rPr>
        <w:t xml:space="preserve">، </w:t>
      </w:r>
      <w:r>
        <w:rPr>
          <w:noProof/>
        </w:rPr>
        <w:t>148</w:t>
      </w:r>
      <w:r>
        <w:rPr>
          <w:noProof/>
          <w:rtl/>
        </w:rPr>
        <w:t xml:space="preserve">، </w:t>
      </w:r>
      <w:r>
        <w:rPr>
          <w:noProof/>
        </w:rPr>
        <w:t>173</w:t>
      </w:r>
      <w:r>
        <w:rPr>
          <w:noProof/>
          <w:rtl/>
        </w:rPr>
        <w:t xml:space="preserve">، </w:t>
      </w:r>
      <w:r>
        <w:rPr>
          <w:noProof/>
        </w:rPr>
        <w:t>203</w:t>
      </w:r>
      <w:r>
        <w:rPr>
          <w:noProof/>
          <w:rtl/>
        </w:rPr>
        <w:t xml:space="preserve">، </w:t>
      </w:r>
      <w:r>
        <w:rPr>
          <w:noProof/>
        </w:rPr>
        <w:t>204</w:t>
      </w:r>
    </w:p>
    <w:p w:rsidR="002002F4" w:rsidRDefault="002002F4" w:rsidP="00074DA4">
      <w:pPr>
        <w:spacing w:line="192" w:lineRule="auto"/>
        <w:ind w:firstLine="0"/>
        <w:rPr>
          <w:noProof/>
        </w:rPr>
      </w:pPr>
      <w:r>
        <w:rPr>
          <w:noProof/>
          <w:rtl/>
        </w:rPr>
        <w:t xml:space="preserve">تحف العقول، </w:t>
      </w:r>
      <w:r>
        <w:rPr>
          <w:noProof/>
        </w:rPr>
        <w:t>337</w:t>
      </w:r>
    </w:p>
    <w:p w:rsidR="002002F4" w:rsidRDefault="002002F4" w:rsidP="00074DA4">
      <w:pPr>
        <w:spacing w:line="192" w:lineRule="auto"/>
        <w:ind w:firstLine="0"/>
        <w:rPr>
          <w:noProof/>
        </w:rPr>
      </w:pPr>
      <w:r>
        <w:rPr>
          <w:noProof/>
          <w:rtl/>
        </w:rPr>
        <w:t xml:space="preserve">تحفة الملوك، </w:t>
      </w:r>
      <w:r>
        <w:rPr>
          <w:noProof/>
        </w:rPr>
        <w:t>128</w:t>
      </w:r>
      <w:r>
        <w:rPr>
          <w:noProof/>
          <w:rtl/>
        </w:rPr>
        <w:t xml:space="preserve">، </w:t>
      </w:r>
      <w:r>
        <w:rPr>
          <w:noProof/>
        </w:rPr>
        <w:t>199</w:t>
      </w:r>
    </w:p>
    <w:p w:rsidR="002002F4" w:rsidRDefault="002002F4" w:rsidP="00074DA4">
      <w:pPr>
        <w:spacing w:line="192" w:lineRule="auto"/>
        <w:ind w:firstLine="0"/>
        <w:rPr>
          <w:noProof/>
        </w:rPr>
      </w:pPr>
      <w:r>
        <w:rPr>
          <w:noProof/>
          <w:rtl/>
        </w:rPr>
        <w:t xml:space="preserve">تذكرة الفقهاء، </w:t>
      </w:r>
      <w:r>
        <w:rPr>
          <w:noProof/>
        </w:rPr>
        <w:t>127</w:t>
      </w:r>
      <w:r>
        <w:rPr>
          <w:noProof/>
          <w:rtl/>
        </w:rPr>
        <w:t xml:space="preserve">، </w:t>
      </w:r>
      <w:r>
        <w:rPr>
          <w:noProof/>
        </w:rPr>
        <w:t>295</w:t>
      </w:r>
    </w:p>
    <w:p w:rsidR="002002F4" w:rsidRDefault="002002F4" w:rsidP="00074DA4">
      <w:pPr>
        <w:spacing w:line="192" w:lineRule="auto"/>
        <w:ind w:firstLine="0"/>
        <w:rPr>
          <w:noProof/>
        </w:rPr>
      </w:pPr>
      <w:r>
        <w:rPr>
          <w:noProof/>
          <w:rtl/>
        </w:rPr>
        <w:t xml:space="preserve">الترغيب والترهيب، </w:t>
      </w:r>
      <w:r>
        <w:rPr>
          <w:noProof/>
        </w:rPr>
        <w:t>303</w:t>
      </w:r>
    </w:p>
    <w:p w:rsidR="002002F4" w:rsidRDefault="002002F4" w:rsidP="00074DA4">
      <w:pPr>
        <w:spacing w:line="192" w:lineRule="auto"/>
        <w:ind w:firstLine="0"/>
        <w:rPr>
          <w:noProof/>
        </w:rPr>
      </w:pPr>
      <w:r>
        <w:rPr>
          <w:noProof/>
          <w:rtl/>
        </w:rPr>
        <w:t xml:space="preserve">تعليقة على المكاسب، </w:t>
      </w:r>
      <w:r>
        <w:rPr>
          <w:noProof/>
        </w:rPr>
        <w:t>68</w:t>
      </w:r>
    </w:p>
    <w:p w:rsidR="002002F4" w:rsidRDefault="002002F4" w:rsidP="00074DA4">
      <w:pPr>
        <w:spacing w:line="192" w:lineRule="auto"/>
        <w:ind w:firstLine="0"/>
        <w:rPr>
          <w:noProof/>
        </w:rPr>
      </w:pPr>
      <w:r>
        <w:rPr>
          <w:noProof/>
          <w:rtl/>
        </w:rPr>
        <w:t xml:space="preserve">تفسير أبو الفتح الرازي، </w:t>
      </w:r>
      <w:r>
        <w:rPr>
          <w:noProof/>
        </w:rPr>
        <w:t>97</w:t>
      </w:r>
    </w:p>
    <w:p w:rsidR="002002F4" w:rsidRDefault="002002F4" w:rsidP="00074DA4">
      <w:pPr>
        <w:spacing w:line="192" w:lineRule="auto"/>
        <w:ind w:firstLine="0"/>
        <w:rPr>
          <w:noProof/>
        </w:rPr>
      </w:pPr>
      <w:r>
        <w:rPr>
          <w:noProof/>
          <w:rtl/>
        </w:rPr>
        <w:t xml:space="preserve">تفسير الثعلبي، </w:t>
      </w:r>
      <w:r>
        <w:rPr>
          <w:noProof/>
        </w:rPr>
        <w:t>95</w:t>
      </w:r>
    </w:p>
    <w:p w:rsidR="002002F4" w:rsidRDefault="002002F4" w:rsidP="00074DA4">
      <w:pPr>
        <w:spacing w:line="192" w:lineRule="auto"/>
        <w:ind w:firstLine="0"/>
        <w:rPr>
          <w:noProof/>
        </w:rPr>
      </w:pPr>
      <w:r>
        <w:rPr>
          <w:noProof/>
          <w:rtl/>
        </w:rPr>
        <w:t xml:space="preserve">تفسير الصافي، </w:t>
      </w:r>
      <w:r>
        <w:rPr>
          <w:noProof/>
        </w:rPr>
        <w:t>97</w:t>
      </w:r>
    </w:p>
    <w:p w:rsidR="002002F4" w:rsidRDefault="002002F4" w:rsidP="00074DA4">
      <w:pPr>
        <w:spacing w:line="192" w:lineRule="auto"/>
        <w:ind w:firstLine="0"/>
        <w:rPr>
          <w:noProof/>
        </w:rPr>
      </w:pPr>
      <w:r>
        <w:rPr>
          <w:noProof/>
          <w:rtl/>
        </w:rPr>
        <w:t xml:space="preserve">تفسير الطبري، </w:t>
      </w:r>
      <w:r>
        <w:rPr>
          <w:noProof/>
        </w:rPr>
        <w:t>95</w:t>
      </w:r>
    </w:p>
    <w:p w:rsidR="002002F4" w:rsidRDefault="002002F4" w:rsidP="00074DA4">
      <w:pPr>
        <w:spacing w:line="192" w:lineRule="auto"/>
        <w:ind w:firstLine="0"/>
        <w:rPr>
          <w:noProof/>
        </w:rPr>
      </w:pPr>
      <w:r>
        <w:rPr>
          <w:noProof/>
          <w:rtl/>
        </w:rPr>
        <w:t xml:space="preserve">تفسير القمي، </w:t>
      </w:r>
      <w:r>
        <w:rPr>
          <w:noProof/>
        </w:rPr>
        <w:t>369</w:t>
      </w:r>
    </w:p>
    <w:p w:rsidR="002002F4" w:rsidRDefault="002002F4" w:rsidP="00074DA4">
      <w:pPr>
        <w:spacing w:line="192" w:lineRule="auto"/>
        <w:ind w:firstLine="0"/>
        <w:rPr>
          <w:noProof/>
        </w:rPr>
      </w:pPr>
      <w:r>
        <w:rPr>
          <w:noProof/>
          <w:rtl/>
        </w:rPr>
        <w:t xml:space="preserve">تفسير الكشاف، </w:t>
      </w:r>
      <w:r>
        <w:rPr>
          <w:noProof/>
        </w:rPr>
        <w:t>95</w:t>
      </w:r>
    </w:p>
    <w:p w:rsidR="002002F4" w:rsidRDefault="002002F4" w:rsidP="00074DA4">
      <w:pPr>
        <w:spacing w:line="192" w:lineRule="auto"/>
        <w:ind w:firstLine="0"/>
        <w:rPr>
          <w:noProof/>
        </w:rPr>
      </w:pPr>
      <w:r>
        <w:rPr>
          <w:noProof/>
          <w:rtl/>
        </w:rPr>
        <w:t xml:space="preserve">تفسير عليّ بن إبراهيم القمي، </w:t>
      </w:r>
      <w:r>
        <w:rPr>
          <w:noProof/>
        </w:rPr>
        <w:t>369</w:t>
      </w:r>
    </w:p>
    <w:p w:rsidR="002002F4" w:rsidRDefault="002002F4" w:rsidP="00074DA4">
      <w:pPr>
        <w:spacing w:line="192" w:lineRule="auto"/>
        <w:ind w:firstLine="0"/>
        <w:rPr>
          <w:noProof/>
        </w:rPr>
      </w:pPr>
      <w:r>
        <w:rPr>
          <w:noProof/>
          <w:rtl/>
        </w:rPr>
        <w:t xml:space="preserve">تفسير نور الثقلين، </w:t>
      </w:r>
      <w:r>
        <w:rPr>
          <w:noProof/>
        </w:rPr>
        <w:t>399</w:t>
      </w:r>
    </w:p>
    <w:p w:rsidR="002002F4" w:rsidRDefault="002002F4" w:rsidP="00074DA4">
      <w:pPr>
        <w:spacing w:line="192" w:lineRule="auto"/>
        <w:ind w:firstLine="0"/>
        <w:rPr>
          <w:noProof/>
        </w:rPr>
      </w:pPr>
      <w:r>
        <w:rPr>
          <w:noProof/>
          <w:rtl/>
        </w:rPr>
        <w:t xml:space="preserve">تقريرات المكاسب، </w:t>
      </w:r>
      <w:r>
        <w:rPr>
          <w:noProof/>
        </w:rPr>
        <w:t>157</w:t>
      </w:r>
    </w:p>
    <w:p w:rsidR="002002F4" w:rsidRDefault="002002F4" w:rsidP="00074DA4">
      <w:pPr>
        <w:spacing w:line="192" w:lineRule="auto"/>
        <w:ind w:firstLine="0"/>
        <w:rPr>
          <w:noProof/>
        </w:rPr>
      </w:pPr>
      <w:r>
        <w:rPr>
          <w:noProof/>
          <w:rtl/>
        </w:rPr>
        <w:t xml:space="preserve">التقريرات في شرح العروة الوثقى، </w:t>
      </w:r>
      <w:r>
        <w:rPr>
          <w:noProof/>
        </w:rPr>
        <w:t>74</w:t>
      </w:r>
    </w:p>
    <w:p w:rsidR="002002F4" w:rsidRDefault="002002F4" w:rsidP="00074DA4">
      <w:pPr>
        <w:spacing w:line="192" w:lineRule="auto"/>
        <w:ind w:firstLine="0"/>
        <w:rPr>
          <w:noProof/>
        </w:rPr>
      </w:pPr>
      <w:r>
        <w:rPr>
          <w:noProof/>
          <w:rtl/>
        </w:rPr>
        <w:t xml:space="preserve">تلخيص الشافي، </w:t>
      </w:r>
      <w:r>
        <w:rPr>
          <w:noProof/>
        </w:rPr>
        <w:t>58</w:t>
      </w:r>
    </w:p>
    <w:p w:rsidR="002002F4" w:rsidRDefault="002002F4" w:rsidP="00074DA4">
      <w:pPr>
        <w:spacing w:line="192" w:lineRule="auto"/>
        <w:ind w:firstLine="0"/>
        <w:rPr>
          <w:noProof/>
        </w:rPr>
      </w:pPr>
      <w:r>
        <w:rPr>
          <w:noProof/>
          <w:rtl/>
        </w:rPr>
        <w:t xml:space="preserve">التمهيد، </w:t>
      </w:r>
      <w:r>
        <w:rPr>
          <w:noProof/>
        </w:rPr>
        <w:t>137</w:t>
      </w:r>
    </w:p>
    <w:p w:rsidR="002002F4" w:rsidRDefault="002002F4" w:rsidP="00074DA4">
      <w:pPr>
        <w:spacing w:line="192" w:lineRule="auto"/>
        <w:ind w:firstLine="0"/>
        <w:rPr>
          <w:noProof/>
        </w:rPr>
      </w:pPr>
      <w:r>
        <w:rPr>
          <w:noProof/>
          <w:rtl/>
        </w:rPr>
        <w:t xml:space="preserve">تنبيه الأمة وتنزيه الملّة، </w:t>
      </w:r>
      <w:r>
        <w:rPr>
          <w:noProof/>
        </w:rPr>
        <w:t>29</w:t>
      </w:r>
      <w:r>
        <w:rPr>
          <w:noProof/>
          <w:rtl/>
        </w:rPr>
        <w:t xml:space="preserve">، </w:t>
      </w:r>
      <w:r>
        <w:rPr>
          <w:noProof/>
        </w:rPr>
        <w:t>160</w:t>
      </w:r>
      <w:r>
        <w:rPr>
          <w:noProof/>
          <w:rtl/>
        </w:rPr>
        <w:t xml:space="preserve">، </w:t>
      </w:r>
      <w:r>
        <w:rPr>
          <w:noProof/>
        </w:rPr>
        <w:t>172</w:t>
      </w:r>
    </w:p>
    <w:p w:rsidR="002002F4" w:rsidRDefault="002002F4" w:rsidP="00074DA4">
      <w:pPr>
        <w:spacing w:line="192" w:lineRule="auto"/>
        <w:ind w:firstLine="0"/>
        <w:rPr>
          <w:noProof/>
        </w:rPr>
      </w:pPr>
      <w:r>
        <w:rPr>
          <w:noProof/>
          <w:rtl/>
        </w:rPr>
        <w:t xml:space="preserve">تنبيه الخواطر ونزهة النواظر، </w:t>
      </w:r>
      <w:r>
        <w:rPr>
          <w:noProof/>
        </w:rPr>
        <w:t>320</w:t>
      </w:r>
    </w:p>
    <w:p w:rsidR="002002F4" w:rsidRDefault="002002F4" w:rsidP="00074DA4">
      <w:pPr>
        <w:spacing w:line="192" w:lineRule="auto"/>
        <w:ind w:firstLine="0"/>
        <w:rPr>
          <w:noProof/>
        </w:rPr>
      </w:pPr>
      <w:r>
        <w:rPr>
          <w:noProof/>
          <w:rtl/>
        </w:rPr>
        <w:t xml:space="preserve">تنقيح المقال، </w:t>
      </w:r>
      <w:r>
        <w:rPr>
          <w:noProof/>
        </w:rPr>
        <w:t>347</w:t>
      </w:r>
      <w:r>
        <w:rPr>
          <w:noProof/>
          <w:rtl/>
        </w:rPr>
        <w:t xml:space="preserve">، </w:t>
      </w:r>
      <w:r>
        <w:rPr>
          <w:noProof/>
        </w:rPr>
        <w:t>348</w:t>
      </w:r>
    </w:p>
    <w:p w:rsidR="002002F4" w:rsidRDefault="002002F4" w:rsidP="00074DA4">
      <w:pPr>
        <w:spacing w:line="192" w:lineRule="auto"/>
        <w:ind w:firstLine="0"/>
        <w:rPr>
          <w:noProof/>
        </w:rPr>
      </w:pPr>
      <w:r>
        <w:rPr>
          <w:noProof/>
          <w:rtl/>
        </w:rPr>
        <w:t xml:space="preserve">التنقيح في شرح العروة الوثقى، </w:t>
      </w:r>
      <w:r>
        <w:rPr>
          <w:noProof/>
        </w:rPr>
        <w:t>74</w:t>
      </w:r>
      <w:r>
        <w:rPr>
          <w:noProof/>
          <w:rtl/>
        </w:rPr>
        <w:t xml:space="preserve">، </w:t>
      </w:r>
      <w:r>
        <w:rPr>
          <w:noProof/>
        </w:rPr>
        <w:t>77</w:t>
      </w:r>
      <w:r>
        <w:rPr>
          <w:noProof/>
          <w:rtl/>
        </w:rPr>
        <w:t xml:space="preserve">، </w:t>
      </w:r>
      <w:r>
        <w:rPr>
          <w:noProof/>
        </w:rPr>
        <w:t>132</w:t>
      </w:r>
      <w:r>
        <w:rPr>
          <w:noProof/>
          <w:rtl/>
        </w:rPr>
        <w:t xml:space="preserve">، </w:t>
      </w:r>
      <w:r>
        <w:rPr>
          <w:noProof/>
        </w:rPr>
        <w:t>160</w:t>
      </w:r>
      <w:r>
        <w:rPr>
          <w:noProof/>
          <w:rtl/>
        </w:rPr>
        <w:t xml:space="preserve">، </w:t>
      </w:r>
      <w:r>
        <w:rPr>
          <w:noProof/>
        </w:rPr>
        <w:t>276</w:t>
      </w:r>
      <w:r>
        <w:rPr>
          <w:noProof/>
          <w:rtl/>
        </w:rPr>
        <w:t xml:space="preserve">، </w:t>
      </w:r>
      <w:r>
        <w:rPr>
          <w:noProof/>
        </w:rPr>
        <w:t>353</w:t>
      </w:r>
      <w:r>
        <w:rPr>
          <w:noProof/>
          <w:rtl/>
        </w:rPr>
        <w:t xml:space="preserve">، </w:t>
      </w:r>
      <w:r>
        <w:rPr>
          <w:noProof/>
        </w:rPr>
        <w:t>355</w:t>
      </w:r>
      <w:r>
        <w:rPr>
          <w:noProof/>
          <w:rtl/>
        </w:rPr>
        <w:t xml:space="preserve">، </w:t>
      </w:r>
      <w:r>
        <w:rPr>
          <w:noProof/>
        </w:rPr>
        <w:t>418</w:t>
      </w:r>
      <w:r>
        <w:rPr>
          <w:noProof/>
          <w:rtl/>
        </w:rPr>
        <w:t xml:space="preserve">، </w:t>
      </w:r>
      <w:r>
        <w:rPr>
          <w:noProof/>
        </w:rPr>
        <w:t>440</w:t>
      </w:r>
    </w:p>
    <w:p w:rsidR="002002F4" w:rsidRDefault="002002F4" w:rsidP="00074DA4">
      <w:pPr>
        <w:spacing w:line="192" w:lineRule="auto"/>
        <w:ind w:firstLine="0"/>
        <w:rPr>
          <w:noProof/>
        </w:rPr>
      </w:pPr>
      <w:r>
        <w:rPr>
          <w:noProof/>
          <w:rtl/>
        </w:rPr>
        <w:t xml:space="preserve">تهذيب الأحكام، </w:t>
      </w:r>
      <w:r>
        <w:rPr>
          <w:noProof/>
        </w:rPr>
        <w:t>109</w:t>
      </w:r>
      <w:r>
        <w:rPr>
          <w:noProof/>
          <w:rtl/>
        </w:rPr>
        <w:t xml:space="preserve">، </w:t>
      </w:r>
      <w:r>
        <w:rPr>
          <w:noProof/>
        </w:rPr>
        <w:t>120</w:t>
      </w:r>
      <w:r>
        <w:rPr>
          <w:noProof/>
          <w:rtl/>
        </w:rPr>
        <w:t xml:space="preserve">، </w:t>
      </w:r>
      <w:r>
        <w:rPr>
          <w:noProof/>
        </w:rPr>
        <w:t>297</w:t>
      </w:r>
      <w:r>
        <w:rPr>
          <w:noProof/>
          <w:rtl/>
        </w:rPr>
        <w:t xml:space="preserve">، </w:t>
      </w:r>
      <w:r>
        <w:rPr>
          <w:noProof/>
        </w:rPr>
        <w:t>326</w:t>
      </w:r>
      <w:r>
        <w:rPr>
          <w:noProof/>
          <w:rtl/>
        </w:rPr>
        <w:t xml:space="preserve">، </w:t>
      </w:r>
      <w:r>
        <w:rPr>
          <w:noProof/>
        </w:rPr>
        <w:t>344</w:t>
      </w:r>
      <w:r>
        <w:rPr>
          <w:noProof/>
          <w:rtl/>
        </w:rPr>
        <w:t xml:space="preserve">، </w:t>
      </w:r>
      <w:r>
        <w:rPr>
          <w:noProof/>
        </w:rPr>
        <w:t>345</w:t>
      </w:r>
      <w:r>
        <w:rPr>
          <w:noProof/>
          <w:rtl/>
        </w:rPr>
        <w:t xml:space="preserve">، </w:t>
      </w:r>
      <w:r>
        <w:rPr>
          <w:noProof/>
        </w:rPr>
        <w:t>348</w:t>
      </w:r>
      <w:r>
        <w:rPr>
          <w:noProof/>
          <w:rtl/>
        </w:rPr>
        <w:t xml:space="preserve">، </w:t>
      </w:r>
      <w:r>
        <w:rPr>
          <w:noProof/>
        </w:rPr>
        <w:t>362</w:t>
      </w:r>
      <w:r>
        <w:rPr>
          <w:noProof/>
          <w:rtl/>
        </w:rPr>
        <w:t xml:space="preserve">، </w:t>
      </w:r>
      <w:r>
        <w:rPr>
          <w:noProof/>
        </w:rPr>
        <w:t>363</w:t>
      </w:r>
      <w:r>
        <w:rPr>
          <w:noProof/>
          <w:rtl/>
        </w:rPr>
        <w:t xml:space="preserve">، </w:t>
      </w:r>
      <w:r>
        <w:rPr>
          <w:noProof/>
        </w:rPr>
        <w:t>366</w:t>
      </w:r>
    </w:p>
    <w:p w:rsidR="002002F4" w:rsidRDefault="002002F4" w:rsidP="00074DA4">
      <w:pPr>
        <w:spacing w:line="192" w:lineRule="auto"/>
        <w:ind w:firstLine="0"/>
        <w:rPr>
          <w:noProof/>
        </w:rPr>
      </w:pPr>
      <w:r>
        <w:rPr>
          <w:noProof/>
          <w:rtl/>
        </w:rPr>
        <w:t xml:space="preserve">تهذيب الأصول، </w:t>
      </w:r>
      <w:r>
        <w:rPr>
          <w:noProof/>
        </w:rPr>
        <w:t>83</w:t>
      </w:r>
      <w:r>
        <w:rPr>
          <w:noProof/>
          <w:rtl/>
        </w:rPr>
        <w:t xml:space="preserve">، </w:t>
      </w:r>
      <w:r>
        <w:rPr>
          <w:noProof/>
        </w:rPr>
        <w:t>134</w:t>
      </w:r>
      <w:r>
        <w:rPr>
          <w:noProof/>
          <w:rtl/>
        </w:rPr>
        <w:t xml:space="preserve">، </w:t>
      </w:r>
      <w:r>
        <w:rPr>
          <w:noProof/>
        </w:rPr>
        <w:t>140</w:t>
      </w:r>
      <w:r>
        <w:rPr>
          <w:noProof/>
          <w:rtl/>
        </w:rPr>
        <w:t xml:space="preserve">، </w:t>
      </w:r>
      <w:r>
        <w:rPr>
          <w:noProof/>
        </w:rPr>
        <w:t>204</w:t>
      </w:r>
      <w:r>
        <w:rPr>
          <w:noProof/>
          <w:rtl/>
        </w:rPr>
        <w:t xml:space="preserve">، </w:t>
      </w:r>
      <w:r>
        <w:rPr>
          <w:noProof/>
        </w:rPr>
        <w:t>292</w:t>
      </w:r>
    </w:p>
    <w:p w:rsidR="002002F4" w:rsidRDefault="002002F4" w:rsidP="00074DA4">
      <w:pPr>
        <w:spacing w:line="192" w:lineRule="auto"/>
        <w:ind w:firstLine="0"/>
        <w:rPr>
          <w:noProof/>
        </w:rPr>
      </w:pPr>
      <w:r>
        <w:rPr>
          <w:noProof/>
          <w:rtl/>
        </w:rPr>
        <w:t xml:space="preserve">ثواب الأعمال، </w:t>
      </w:r>
      <w:r>
        <w:rPr>
          <w:noProof/>
        </w:rPr>
        <w:t>319</w:t>
      </w:r>
    </w:p>
    <w:p w:rsidR="002002F4" w:rsidRDefault="002002F4" w:rsidP="00074DA4">
      <w:pPr>
        <w:spacing w:line="192" w:lineRule="auto"/>
        <w:ind w:firstLine="0"/>
        <w:rPr>
          <w:noProof/>
        </w:rPr>
      </w:pPr>
      <w:r>
        <w:rPr>
          <w:noProof/>
          <w:rtl/>
        </w:rPr>
        <w:t xml:space="preserve">جامع أحاديث الشيعة، </w:t>
      </w:r>
      <w:r>
        <w:rPr>
          <w:noProof/>
        </w:rPr>
        <w:t>59</w:t>
      </w:r>
      <w:r>
        <w:rPr>
          <w:noProof/>
          <w:rtl/>
        </w:rPr>
        <w:t xml:space="preserve">، </w:t>
      </w:r>
      <w:r>
        <w:rPr>
          <w:noProof/>
        </w:rPr>
        <w:t>108</w:t>
      </w:r>
      <w:r>
        <w:rPr>
          <w:noProof/>
          <w:rtl/>
        </w:rPr>
        <w:t xml:space="preserve">، </w:t>
      </w:r>
      <w:r>
        <w:rPr>
          <w:noProof/>
        </w:rPr>
        <w:t>109</w:t>
      </w:r>
    </w:p>
    <w:p w:rsidR="002002F4" w:rsidRDefault="002002F4" w:rsidP="00074DA4">
      <w:pPr>
        <w:spacing w:line="192" w:lineRule="auto"/>
        <w:ind w:firstLine="0"/>
        <w:rPr>
          <w:noProof/>
        </w:rPr>
      </w:pPr>
      <w:r>
        <w:rPr>
          <w:noProof/>
          <w:rtl/>
        </w:rPr>
        <w:t xml:space="preserve">جامع الأخبار، </w:t>
      </w:r>
      <w:r>
        <w:rPr>
          <w:noProof/>
        </w:rPr>
        <w:t>321</w:t>
      </w:r>
      <w:r>
        <w:rPr>
          <w:noProof/>
          <w:rtl/>
        </w:rPr>
        <w:t xml:space="preserve">، </w:t>
      </w:r>
      <w:r>
        <w:rPr>
          <w:noProof/>
        </w:rPr>
        <w:t>326</w:t>
      </w:r>
    </w:p>
    <w:p w:rsidR="002002F4" w:rsidRDefault="002002F4" w:rsidP="00074DA4">
      <w:pPr>
        <w:spacing w:line="192" w:lineRule="auto"/>
        <w:ind w:firstLine="0"/>
        <w:rPr>
          <w:noProof/>
        </w:rPr>
      </w:pPr>
      <w:r>
        <w:rPr>
          <w:noProof/>
          <w:rtl/>
        </w:rPr>
        <w:t xml:space="preserve">جامع الرواة، </w:t>
      </w:r>
      <w:r>
        <w:rPr>
          <w:noProof/>
        </w:rPr>
        <w:t>366</w:t>
      </w:r>
      <w:r>
        <w:rPr>
          <w:noProof/>
          <w:rtl/>
        </w:rPr>
        <w:t xml:space="preserve">، </w:t>
      </w:r>
      <w:r>
        <w:rPr>
          <w:noProof/>
        </w:rPr>
        <w:t>379</w:t>
      </w:r>
    </w:p>
    <w:p w:rsidR="002002F4" w:rsidRDefault="002002F4" w:rsidP="00074DA4">
      <w:pPr>
        <w:spacing w:line="192" w:lineRule="auto"/>
        <w:ind w:firstLine="0"/>
        <w:rPr>
          <w:noProof/>
        </w:rPr>
      </w:pPr>
      <w:r>
        <w:rPr>
          <w:noProof/>
          <w:rtl/>
        </w:rPr>
        <w:t xml:space="preserve">جامع الشتات، </w:t>
      </w:r>
      <w:r>
        <w:rPr>
          <w:noProof/>
        </w:rPr>
        <w:t>130</w:t>
      </w:r>
    </w:p>
    <w:p w:rsidR="002002F4" w:rsidRDefault="002002F4" w:rsidP="00074DA4">
      <w:pPr>
        <w:spacing w:line="192" w:lineRule="auto"/>
        <w:ind w:firstLine="0"/>
        <w:rPr>
          <w:noProof/>
        </w:rPr>
      </w:pPr>
      <w:r>
        <w:rPr>
          <w:noProof/>
          <w:rtl/>
        </w:rPr>
        <w:t xml:space="preserve">جامع الطبراني، </w:t>
      </w:r>
      <w:r>
        <w:rPr>
          <w:noProof/>
        </w:rPr>
        <w:t>95</w:t>
      </w:r>
    </w:p>
    <w:p w:rsidR="002002F4" w:rsidRDefault="002002F4" w:rsidP="00074DA4">
      <w:pPr>
        <w:spacing w:line="192" w:lineRule="auto"/>
        <w:ind w:firstLine="0"/>
        <w:rPr>
          <w:noProof/>
        </w:rPr>
      </w:pPr>
      <w:r>
        <w:rPr>
          <w:noProof/>
          <w:rtl/>
        </w:rPr>
        <w:t xml:space="preserve">جامع المدارك في شرح المختصر النافع، </w:t>
      </w:r>
      <w:r>
        <w:rPr>
          <w:noProof/>
        </w:rPr>
        <w:t>77</w:t>
      </w:r>
      <w:r>
        <w:rPr>
          <w:noProof/>
          <w:rtl/>
        </w:rPr>
        <w:t xml:space="preserve">، </w:t>
      </w:r>
      <w:r>
        <w:rPr>
          <w:noProof/>
        </w:rPr>
        <w:t>132</w:t>
      </w:r>
      <w:r>
        <w:rPr>
          <w:noProof/>
          <w:rtl/>
        </w:rPr>
        <w:t xml:space="preserve">، </w:t>
      </w:r>
      <w:r>
        <w:rPr>
          <w:noProof/>
        </w:rPr>
        <w:t>160</w:t>
      </w:r>
      <w:r>
        <w:rPr>
          <w:noProof/>
          <w:rtl/>
        </w:rPr>
        <w:t xml:space="preserve">، </w:t>
      </w:r>
      <w:r>
        <w:rPr>
          <w:noProof/>
        </w:rPr>
        <w:t>295</w:t>
      </w:r>
      <w:r>
        <w:rPr>
          <w:noProof/>
          <w:rtl/>
        </w:rPr>
        <w:t xml:space="preserve">، </w:t>
      </w:r>
      <w:r>
        <w:rPr>
          <w:noProof/>
        </w:rPr>
        <w:t>298</w:t>
      </w:r>
      <w:r>
        <w:rPr>
          <w:noProof/>
          <w:rtl/>
        </w:rPr>
        <w:t xml:space="preserve">، </w:t>
      </w:r>
      <w:r>
        <w:rPr>
          <w:noProof/>
        </w:rPr>
        <w:t>299</w:t>
      </w:r>
      <w:r>
        <w:rPr>
          <w:noProof/>
          <w:rtl/>
        </w:rPr>
        <w:t xml:space="preserve">، </w:t>
      </w:r>
      <w:r>
        <w:rPr>
          <w:noProof/>
        </w:rPr>
        <w:t>330</w:t>
      </w:r>
      <w:r>
        <w:rPr>
          <w:noProof/>
          <w:rtl/>
        </w:rPr>
        <w:t xml:space="preserve">، </w:t>
      </w:r>
      <w:r>
        <w:rPr>
          <w:noProof/>
        </w:rPr>
        <w:t>340</w:t>
      </w:r>
      <w:r>
        <w:rPr>
          <w:noProof/>
          <w:rtl/>
        </w:rPr>
        <w:t xml:space="preserve">، </w:t>
      </w:r>
      <w:r>
        <w:rPr>
          <w:noProof/>
        </w:rPr>
        <w:t>353</w:t>
      </w:r>
      <w:r>
        <w:rPr>
          <w:noProof/>
          <w:rtl/>
        </w:rPr>
        <w:t xml:space="preserve">، </w:t>
      </w:r>
      <w:r>
        <w:rPr>
          <w:noProof/>
        </w:rPr>
        <w:t>382</w:t>
      </w:r>
      <w:r>
        <w:rPr>
          <w:noProof/>
          <w:rtl/>
        </w:rPr>
        <w:t xml:space="preserve">، </w:t>
      </w:r>
      <w:r>
        <w:rPr>
          <w:noProof/>
        </w:rPr>
        <w:t>385</w:t>
      </w:r>
      <w:r>
        <w:rPr>
          <w:noProof/>
          <w:rtl/>
        </w:rPr>
        <w:t xml:space="preserve">، </w:t>
      </w:r>
      <w:r>
        <w:rPr>
          <w:noProof/>
        </w:rPr>
        <w:t>387</w:t>
      </w:r>
      <w:r>
        <w:rPr>
          <w:noProof/>
          <w:rtl/>
        </w:rPr>
        <w:t xml:space="preserve">، </w:t>
      </w:r>
      <w:r>
        <w:rPr>
          <w:noProof/>
        </w:rPr>
        <w:t>418</w:t>
      </w:r>
    </w:p>
    <w:p w:rsidR="002002F4" w:rsidRDefault="002002F4" w:rsidP="00074DA4">
      <w:pPr>
        <w:spacing w:line="192" w:lineRule="auto"/>
        <w:ind w:firstLine="0"/>
        <w:rPr>
          <w:noProof/>
        </w:rPr>
      </w:pPr>
      <w:r>
        <w:rPr>
          <w:noProof/>
          <w:rtl/>
        </w:rPr>
        <w:t xml:space="preserve">جامع بيان العلم وفضله، </w:t>
      </w:r>
      <w:r>
        <w:rPr>
          <w:noProof/>
        </w:rPr>
        <w:t>303</w:t>
      </w:r>
    </w:p>
    <w:p w:rsidR="002002F4" w:rsidRDefault="002002F4" w:rsidP="00074DA4">
      <w:pPr>
        <w:spacing w:line="192" w:lineRule="auto"/>
        <w:ind w:firstLine="0"/>
        <w:rPr>
          <w:noProof/>
        </w:rPr>
      </w:pPr>
      <w:r>
        <w:rPr>
          <w:noProof/>
          <w:rtl/>
        </w:rPr>
        <w:t xml:space="preserve">جستاري در حكومت ولائي، </w:t>
      </w:r>
      <w:r>
        <w:rPr>
          <w:noProof/>
        </w:rPr>
        <w:t>18</w:t>
      </w:r>
    </w:p>
    <w:p w:rsidR="002002F4" w:rsidRDefault="002002F4" w:rsidP="00074DA4">
      <w:pPr>
        <w:spacing w:line="192" w:lineRule="auto"/>
        <w:ind w:firstLine="0"/>
        <w:rPr>
          <w:noProof/>
        </w:rPr>
      </w:pPr>
      <w:r>
        <w:rPr>
          <w:noProof/>
          <w:rtl/>
        </w:rPr>
        <w:t xml:space="preserve">الجمع بين الصحاح الستة، </w:t>
      </w:r>
      <w:r>
        <w:rPr>
          <w:noProof/>
        </w:rPr>
        <w:t>95</w:t>
      </w:r>
    </w:p>
    <w:p w:rsidR="002002F4" w:rsidRDefault="002002F4" w:rsidP="00074DA4">
      <w:pPr>
        <w:spacing w:line="192" w:lineRule="auto"/>
        <w:ind w:firstLine="0"/>
        <w:rPr>
          <w:noProof/>
        </w:rPr>
      </w:pPr>
      <w:r>
        <w:rPr>
          <w:noProof/>
          <w:rtl/>
        </w:rPr>
        <w:t xml:space="preserve">جمهوري إسلامي (صحيفة)، </w:t>
      </w:r>
      <w:r>
        <w:rPr>
          <w:noProof/>
        </w:rPr>
        <w:t>220</w:t>
      </w:r>
      <w:r>
        <w:rPr>
          <w:noProof/>
          <w:rtl/>
        </w:rPr>
        <w:t xml:space="preserve">، </w:t>
      </w:r>
      <w:r>
        <w:rPr>
          <w:noProof/>
        </w:rPr>
        <w:t>221</w:t>
      </w:r>
      <w:r>
        <w:rPr>
          <w:noProof/>
          <w:rtl/>
        </w:rPr>
        <w:t xml:space="preserve">، </w:t>
      </w:r>
      <w:r>
        <w:rPr>
          <w:noProof/>
        </w:rPr>
        <w:t>223</w:t>
      </w:r>
      <w:r>
        <w:rPr>
          <w:noProof/>
          <w:rtl/>
        </w:rPr>
        <w:t xml:space="preserve">، </w:t>
      </w:r>
      <w:r>
        <w:rPr>
          <w:noProof/>
        </w:rPr>
        <w:t>224</w:t>
      </w:r>
      <w:r>
        <w:rPr>
          <w:noProof/>
          <w:rtl/>
        </w:rPr>
        <w:t xml:space="preserve">، </w:t>
      </w:r>
      <w:r>
        <w:rPr>
          <w:noProof/>
        </w:rPr>
        <w:t>226</w:t>
      </w:r>
      <w:r>
        <w:rPr>
          <w:noProof/>
          <w:rtl/>
        </w:rPr>
        <w:t xml:space="preserve">، </w:t>
      </w:r>
      <w:r>
        <w:rPr>
          <w:noProof/>
        </w:rPr>
        <w:t>229</w:t>
      </w:r>
    </w:p>
    <w:p w:rsidR="002002F4" w:rsidRDefault="002002F4" w:rsidP="00074DA4">
      <w:pPr>
        <w:spacing w:line="192" w:lineRule="auto"/>
        <w:ind w:firstLine="0"/>
        <w:rPr>
          <w:noProof/>
        </w:rPr>
      </w:pPr>
      <w:r>
        <w:rPr>
          <w:noProof/>
          <w:rtl/>
        </w:rPr>
        <w:t xml:space="preserve">الجمهورية، </w:t>
      </w:r>
      <w:r>
        <w:rPr>
          <w:noProof/>
        </w:rPr>
        <w:t>327</w:t>
      </w:r>
    </w:p>
    <w:p w:rsidR="002002F4" w:rsidRDefault="002002F4" w:rsidP="00074DA4">
      <w:pPr>
        <w:spacing w:line="192" w:lineRule="auto"/>
        <w:ind w:firstLine="0"/>
        <w:rPr>
          <w:noProof/>
        </w:rPr>
      </w:pPr>
      <w:r>
        <w:rPr>
          <w:noProof/>
          <w:rtl/>
        </w:rPr>
        <w:t xml:space="preserve">جواهر الكلام في شرح شرائع الإسلام، </w:t>
      </w:r>
      <w:r>
        <w:rPr>
          <w:noProof/>
        </w:rPr>
        <w:t>132</w:t>
      </w:r>
      <w:r>
        <w:rPr>
          <w:noProof/>
          <w:rtl/>
        </w:rPr>
        <w:t xml:space="preserve">، </w:t>
      </w:r>
      <w:r>
        <w:rPr>
          <w:noProof/>
        </w:rPr>
        <w:t>137</w:t>
      </w:r>
      <w:r>
        <w:rPr>
          <w:noProof/>
          <w:rtl/>
        </w:rPr>
        <w:t xml:space="preserve">، </w:t>
      </w:r>
      <w:r>
        <w:rPr>
          <w:noProof/>
        </w:rPr>
        <w:t>157</w:t>
      </w:r>
      <w:r>
        <w:rPr>
          <w:noProof/>
          <w:rtl/>
        </w:rPr>
        <w:t xml:space="preserve">، </w:t>
      </w:r>
      <w:r>
        <w:rPr>
          <w:noProof/>
        </w:rPr>
        <w:t>186</w:t>
      </w:r>
      <w:r>
        <w:rPr>
          <w:noProof/>
          <w:rtl/>
        </w:rPr>
        <w:t xml:space="preserve">، </w:t>
      </w:r>
      <w:r>
        <w:rPr>
          <w:noProof/>
        </w:rPr>
        <w:t>187</w:t>
      </w:r>
      <w:r>
        <w:rPr>
          <w:noProof/>
          <w:rtl/>
        </w:rPr>
        <w:t xml:space="preserve">، </w:t>
      </w:r>
      <w:r>
        <w:rPr>
          <w:noProof/>
        </w:rPr>
        <w:t>189</w:t>
      </w:r>
      <w:r>
        <w:rPr>
          <w:noProof/>
          <w:rtl/>
        </w:rPr>
        <w:t xml:space="preserve">، </w:t>
      </w:r>
      <w:r>
        <w:rPr>
          <w:noProof/>
        </w:rPr>
        <w:t>191</w:t>
      </w:r>
      <w:r>
        <w:rPr>
          <w:noProof/>
          <w:rtl/>
        </w:rPr>
        <w:t xml:space="preserve">، </w:t>
      </w:r>
      <w:r>
        <w:rPr>
          <w:noProof/>
        </w:rPr>
        <w:t>276</w:t>
      </w:r>
      <w:r>
        <w:rPr>
          <w:noProof/>
          <w:rtl/>
        </w:rPr>
        <w:t xml:space="preserve">، </w:t>
      </w:r>
      <w:r>
        <w:rPr>
          <w:noProof/>
        </w:rPr>
        <w:t>278</w:t>
      </w:r>
      <w:r>
        <w:rPr>
          <w:noProof/>
          <w:rtl/>
        </w:rPr>
        <w:t xml:space="preserve">، </w:t>
      </w:r>
      <w:r>
        <w:rPr>
          <w:noProof/>
        </w:rPr>
        <w:t>280</w:t>
      </w:r>
      <w:r>
        <w:rPr>
          <w:noProof/>
          <w:rtl/>
        </w:rPr>
        <w:t xml:space="preserve">، </w:t>
      </w:r>
      <w:r>
        <w:rPr>
          <w:noProof/>
        </w:rPr>
        <w:t>295</w:t>
      </w:r>
      <w:r>
        <w:rPr>
          <w:noProof/>
          <w:rtl/>
        </w:rPr>
        <w:t xml:space="preserve">، </w:t>
      </w:r>
      <w:r>
        <w:rPr>
          <w:noProof/>
        </w:rPr>
        <w:t>303</w:t>
      </w:r>
      <w:r>
        <w:rPr>
          <w:noProof/>
          <w:rtl/>
        </w:rPr>
        <w:t xml:space="preserve">، </w:t>
      </w:r>
      <w:r>
        <w:rPr>
          <w:noProof/>
        </w:rPr>
        <w:t>346</w:t>
      </w:r>
      <w:r>
        <w:rPr>
          <w:noProof/>
          <w:rtl/>
        </w:rPr>
        <w:t xml:space="preserve">، </w:t>
      </w:r>
      <w:r>
        <w:rPr>
          <w:noProof/>
        </w:rPr>
        <w:t>363</w:t>
      </w:r>
      <w:r>
        <w:rPr>
          <w:noProof/>
          <w:rtl/>
        </w:rPr>
        <w:t xml:space="preserve">، </w:t>
      </w:r>
      <w:r>
        <w:rPr>
          <w:noProof/>
        </w:rPr>
        <w:t>377</w:t>
      </w:r>
      <w:r>
        <w:rPr>
          <w:noProof/>
          <w:rtl/>
        </w:rPr>
        <w:t xml:space="preserve">، </w:t>
      </w:r>
      <w:r>
        <w:rPr>
          <w:noProof/>
        </w:rPr>
        <w:t>415</w:t>
      </w:r>
      <w:r>
        <w:rPr>
          <w:noProof/>
          <w:rtl/>
        </w:rPr>
        <w:t xml:space="preserve">، </w:t>
      </w:r>
      <w:r>
        <w:rPr>
          <w:noProof/>
        </w:rPr>
        <w:t>428</w:t>
      </w:r>
      <w:r>
        <w:rPr>
          <w:noProof/>
          <w:rtl/>
        </w:rPr>
        <w:t xml:space="preserve">، </w:t>
      </w:r>
      <w:r>
        <w:rPr>
          <w:noProof/>
        </w:rPr>
        <w:t>429</w:t>
      </w:r>
      <w:r>
        <w:rPr>
          <w:noProof/>
          <w:rtl/>
        </w:rPr>
        <w:t xml:space="preserve">، </w:t>
      </w:r>
      <w:r>
        <w:rPr>
          <w:noProof/>
        </w:rPr>
        <w:t>434</w:t>
      </w:r>
    </w:p>
    <w:p w:rsidR="002002F4" w:rsidRDefault="002002F4" w:rsidP="00074DA4">
      <w:pPr>
        <w:spacing w:line="192" w:lineRule="auto"/>
        <w:ind w:firstLine="0"/>
        <w:rPr>
          <w:noProof/>
          <w:rtl/>
        </w:rPr>
      </w:pPr>
      <w:r>
        <w:rPr>
          <w:noProof/>
          <w:rtl/>
        </w:rPr>
        <w:t xml:space="preserve">الجوهر النضيد في شرح منطق التجريد، </w:t>
      </w:r>
      <w:r>
        <w:rPr>
          <w:noProof/>
        </w:rPr>
        <w:t>272</w:t>
      </w:r>
    </w:p>
    <w:p w:rsidR="002002F4" w:rsidRDefault="002002F4" w:rsidP="00074DA4">
      <w:pPr>
        <w:spacing w:line="192" w:lineRule="auto"/>
        <w:ind w:firstLine="0"/>
        <w:rPr>
          <w:noProof/>
        </w:rPr>
      </w:pPr>
      <w:r>
        <w:rPr>
          <w:noProof/>
          <w:rtl/>
        </w:rPr>
        <w:t xml:space="preserve">الجهاد الأكبر، </w:t>
      </w:r>
      <w:r>
        <w:rPr>
          <w:noProof/>
        </w:rPr>
        <w:t>205</w:t>
      </w:r>
    </w:p>
    <w:p w:rsidR="002002F4" w:rsidRDefault="002002F4" w:rsidP="00074DA4">
      <w:pPr>
        <w:spacing w:line="192" w:lineRule="auto"/>
        <w:ind w:firstLine="0"/>
        <w:rPr>
          <w:noProof/>
        </w:rPr>
      </w:pPr>
      <w:r>
        <w:rPr>
          <w:noProof/>
          <w:rtl/>
        </w:rPr>
        <w:t xml:space="preserve">الجهادية (جامع المسائل الجهادية)، </w:t>
      </w:r>
      <w:r>
        <w:rPr>
          <w:noProof/>
        </w:rPr>
        <w:t>130</w:t>
      </w:r>
    </w:p>
    <w:p w:rsidR="002002F4" w:rsidRDefault="002002F4" w:rsidP="00074DA4">
      <w:pPr>
        <w:spacing w:line="192" w:lineRule="auto"/>
        <w:ind w:firstLine="0"/>
        <w:rPr>
          <w:noProof/>
        </w:rPr>
      </w:pPr>
      <w:r>
        <w:rPr>
          <w:noProof/>
          <w:rtl/>
        </w:rPr>
        <w:t xml:space="preserve">حاشية السيّد الخميني على شرح فصوص الحكم للقيصريّ، </w:t>
      </w:r>
      <w:r>
        <w:rPr>
          <w:noProof/>
        </w:rPr>
        <w:t>46</w:t>
      </w:r>
      <w:r>
        <w:rPr>
          <w:noProof/>
          <w:rtl/>
        </w:rPr>
        <w:t xml:space="preserve">، </w:t>
      </w:r>
      <w:r>
        <w:rPr>
          <w:noProof/>
        </w:rPr>
        <w:t>47</w:t>
      </w:r>
    </w:p>
    <w:p w:rsidR="002002F4" w:rsidRDefault="002002F4" w:rsidP="00074DA4">
      <w:pPr>
        <w:spacing w:line="192" w:lineRule="auto"/>
        <w:ind w:firstLine="0"/>
        <w:rPr>
          <w:noProof/>
        </w:rPr>
      </w:pPr>
      <w:r>
        <w:rPr>
          <w:noProof/>
          <w:rtl/>
        </w:rPr>
        <w:t xml:space="preserve">حاشية المكاسب (إصفهاني)، </w:t>
      </w:r>
      <w:r>
        <w:rPr>
          <w:noProof/>
        </w:rPr>
        <w:t>382</w:t>
      </w:r>
      <w:r>
        <w:rPr>
          <w:noProof/>
          <w:rtl/>
        </w:rPr>
        <w:t xml:space="preserve">، </w:t>
      </w:r>
      <w:r>
        <w:rPr>
          <w:noProof/>
        </w:rPr>
        <w:t>439</w:t>
      </w:r>
    </w:p>
    <w:p w:rsidR="002002F4" w:rsidRDefault="002002F4" w:rsidP="00074DA4">
      <w:pPr>
        <w:spacing w:line="192" w:lineRule="auto"/>
        <w:ind w:firstLine="0"/>
        <w:rPr>
          <w:noProof/>
        </w:rPr>
      </w:pPr>
      <w:r>
        <w:rPr>
          <w:noProof/>
          <w:rtl/>
        </w:rPr>
        <w:t xml:space="preserve">حاشية المكاسب (ايرواني)، </w:t>
      </w:r>
      <w:r>
        <w:rPr>
          <w:noProof/>
        </w:rPr>
        <w:t>299</w:t>
      </w:r>
      <w:r>
        <w:rPr>
          <w:noProof/>
          <w:rtl/>
        </w:rPr>
        <w:t xml:space="preserve">، </w:t>
      </w:r>
      <w:r>
        <w:rPr>
          <w:noProof/>
        </w:rPr>
        <w:t>340</w:t>
      </w:r>
      <w:r>
        <w:rPr>
          <w:noProof/>
          <w:rtl/>
        </w:rPr>
        <w:t xml:space="preserve">، </w:t>
      </w:r>
      <w:r>
        <w:rPr>
          <w:noProof/>
        </w:rPr>
        <w:t>381</w:t>
      </w:r>
    </w:p>
    <w:p w:rsidR="002002F4" w:rsidRDefault="002002F4" w:rsidP="00074DA4">
      <w:pPr>
        <w:spacing w:line="192" w:lineRule="auto"/>
        <w:ind w:firstLine="0"/>
        <w:rPr>
          <w:noProof/>
        </w:rPr>
      </w:pPr>
      <w:r>
        <w:rPr>
          <w:noProof/>
          <w:rtl/>
        </w:rPr>
        <w:t xml:space="preserve">حاشية المكاسب (خراساني)، </w:t>
      </w:r>
      <w:r>
        <w:rPr>
          <w:noProof/>
        </w:rPr>
        <w:t>77</w:t>
      </w:r>
      <w:r>
        <w:rPr>
          <w:noProof/>
          <w:rtl/>
        </w:rPr>
        <w:t xml:space="preserve">، </w:t>
      </w:r>
      <w:r>
        <w:rPr>
          <w:noProof/>
        </w:rPr>
        <w:t>132</w:t>
      </w:r>
      <w:r>
        <w:rPr>
          <w:noProof/>
          <w:rtl/>
        </w:rPr>
        <w:t xml:space="preserve">، </w:t>
      </w:r>
      <w:r>
        <w:rPr>
          <w:noProof/>
        </w:rPr>
        <w:t>309</w:t>
      </w:r>
      <w:r>
        <w:rPr>
          <w:noProof/>
          <w:rtl/>
        </w:rPr>
        <w:t xml:space="preserve">، </w:t>
      </w:r>
      <w:r>
        <w:rPr>
          <w:noProof/>
        </w:rPr>
        <w:t>328</w:t>
      </w:r>
      <w:r>
        <w:rPr>
          <w:noProof/>
          <w:rtl/>
        </w:rPr>
        <w:t xml:space="preserve">، </w:t>
      </w:r>
      <w:r>
        <w:rPr>
          <w:noProof/>
        </w:rPr>
        <w:t>340</w:t>
      </w:r>
      <w:r>
        <w:rPr>
          <w:noProof/>
          <w:rtl/>
        </w:rPr>
        <w:t xml:space="preserve">، </w:t>
      </w:r>
      <w:r>
        <w:rPr>
          <w:noProof/>
        </w:rPr>
        <w:t>353</w:t>
      </w:r>
      <w:r>
        <w:rPr>
          <w:noProof/>
          <w:rtl/>
        </w:rPr>
        <w:t xml:space="preserve">، </w:t>
      </w:r>
      <w:r>
        <w:rPr>
          <w:noProof/>
        </w:rPr>
        <w:t>381</w:t>
      </w:r>
      <w:r>
        <w:rPr>
          <w:noProof/>
          <w:rtl/>
        </w:rPr>
        <w:t xml:space="preserve">، </w:t>
      </w:r>
      <w:r>
        <w:rPr>
          <w:noProof/>
        </w:rPr>
        <w:t>404</w:t>
      </w:r>
      <w:r>
        <w:rPr>
          <w:noProof/>
          <w:rtl/>
        </w:rPr>
        <w:t xml:space="preserve">، </w:t>
      </w:r>
      <w:r>
        <w:rPr>
          <w:noProof/>
        </w:rPr>
        <w:t>418</w:t>
      </w:r>
      <w:r>
        <w:rPr>
          <w:noProof/>
          <w:rtl/>
        </w:rPr>
        <w:t xml:space="preserve">، </w:t>
      </w:r>
      <w:r>
        <w:rPr>
          <w:noProof/>
        </w:rPr>
        <w:t>440</w:t>
      </w:r>
    </w:p>
    <w:p w:rsidR="002002F4" w:rsidRDefault="002002F4" w:rsidP="00074DA4">
      <w:pPr>
        <w:spacing w:line="192" w:lineRule="auto"/>
        <w:ind w:firstLine="0"/>
        <w:rPr>
          <w:noProof/>
        </w:rPr>
      </w:pPr>
      <w:r>
        <w:rPr>
          <w:noProof/>
          <w:rtl/>
        </w:rPr>
        <w:t xml:space="preserve">حاشية شرح فصوص الحكم، </w:t>
      </w:r>
      <w:r>
        <w:rPr>
          <w:noProof/>
        </w:rPr>
        <w:t>47</w:t>
      </w:r>
      <w:r>
        <w:rPr>
          <w:noProof/>
          <w:rtl/>
        </w:rPr>
        <w:t xml:space="preserve">، </w:t>
      </w:r>
      <w:r>
        <w:rPr>
          <w:noProof/>
        </w:rPr>
        <w:t>49</w:t>
      </w:r>
      <w:r>
        <w:rPr>
          <w:noProof/>
          <w:rtl/>
        </w:rPr>
        <w:t xml:space="preserve">، </w:t>
      </w:r>
      <w:r>
        <w:rPr>
          <w:noProof/>
        </w:rPr>
        <w:t>50</w:t>
      </w:r>
    </w:p>
    <w:p w:rsidR="002002F4" w:rsidRDefault="002002F4" w:rsidP="00074DA4">
      <w:pPr>
        <w:spacing w:line="192" w:lineRule="auto"/>
        <w:ind w:firstLine="0"/>
        <w:rPr>
          <w:noProof/>
        </w:rPr>
      </w:pPr>
      <w:r>
        <w:rPr>
          <w:noProof/>
          <w:rtl/>
        </w:rPr>
        <w:t xml:space="preserve">الحدائق الناضرة، </w:t>
      </w:r>
      <w:r>
        <w:rPr>
          <w:noProof/>
        </w:rPr>
        <w:t>295</w:t>
      </w:r>
    </w:p>
    <w:p w:rsidR="002002F4" w:rsidRDefault="002002F4" w:rsidP="00074DA4">
      <w:pPr>
        <w:spacing w:line="192" w:lineRule="auto"/>
        <w:ind w:firstLine="0"/>
        <w:rPr>
          <w:noProof/>
        </w:rPr>
      </w:pPr>
      <w:r>
        <w:rPr>
          <w:noProof/>
          <w:rtl/>
        </w:rPr>
        <w:t xml:space="preserve">حقوق أساسی ونهاد هاى سياسي، </w:t>
      </w:r>
      <w:r>
        <w:rPr>
          <w:noProof/>
        </w:rPr>
        <w:t>247</w:t>
      </w:r>
    </w:p>
    <w:p w:rsidR="002002F4" w:rsidRDefault="002002F4" w:rsidP="00074DA4">
      <w:pPr>
        <w:spacing w:line="192" w:lineRule="auto"/>
        <w:ind w:firstLine="0"/>
        <w:rPr>
          <w:noProof/>
          <w:rtl/>
        </w:rPr>
      </w:pPr>
      <w:r>
        <w:rPr>
          <w:noProof/>
          <w:rtl/>
        </w:rPr>
        <w:t xml:space="preserve">حقوق أساسي جمهوري إسلامي إيران، </w:t>
      </w:r>
      <w:r>
        <w:rPr>
          <w:noProof/>
        </w:rPr>
        <w:t>247</w:t>
      </w:r>
    </w:p>
    <w:p w:rsidR="002002F4" w:rsidRDefault="002002F4" w:rsidP="00074DA4">
      <w:pPr>
        <w:spacing w:line="192" w:lineRule="auto"/>
        <w:ind w:firstLine="0"/>
        <w:rPr>
          <w:noProof/>
        </w:rPr>
      </w:pPr>
      <w:r>
        <w:rPr>
          <w:noProof/>
          <w:rtl/>
        </w:rPr>
        <w:t xml:space="preserve">حقوق وسياست در قرآن، </w:t>
      </w:r>
      <w:r>
        <w:rPr>
          <w:noProof/>
        </w:rPr>
        <w:t>260</w:t>
      </w:r>
    </w:p>
    <w:p w:rsidR="002002F4" w:rsidRDefault="002002F4" w:rsidP="00074DA4">
      <w:pPr>
        <w:spacing w:line="192" w:lineRule="auto"/>
        <w:ind w:firstLine="0"/>
        <w:rPr>
          <w:noProof/>
        </w:rPr>
      </w:pPr>
      <w:r>
        <w:rPr>
          <w:noProof/>
          <w:rtl/>
        </w:rPr>
        <w:t xml:space="preserve">حكم نافذ آقا نجفي، </w:t>
      </w:r>
      <w:r>
        <w:rPr>
          <w:noProof/>
        </w:rPr>
        <w:t>416</w:t>
      </w:r>
    </w:p>
    <w:p w:rsidR="002002F4" w:rsidRDefault="002002F4" w:rsidP="00074DA4">
      <w:pPr>
        <w:spacing w:line="192" w:lineRule="auto"/>
        <w:ind w:firstLine="0"/>
        <w:rPr>
          <w:noProof/>
        </w:rPr>
      </w:pPr>
      <w:r>
        <w:rPr>
          <w:noProof/>
          <w:rtl/>
        </w:rPr>
        <w:t xml:space="preserve">حكمة الإشراق، </w:t>
      </w:r>
      <w:r>
        <w:rPr>
          <w:noProof/>
        </w:rPr>
        <w:t>51</w:t>
      </w:r>
    </w:p>
    <w:p w:rsidR="002002F4" w:rsidRDefault="002002F4" w:rsidP="00074DA4">
      <w:pPr>
        <w:spacing w:line="192" w:lineRule="auto"/>
        <w:ind w:firstLine="0"/>
        <w:rPr>
          <w:noProof/>
        </w:rPr>
      </w:pPr>
      <w:r>
        <w:rPr>
          <w:noProof/>
          <w:rtl/>
        </w:rPr>
        <w:t xml:space="preserve">حكمت وحكومت معماي لا ينحل جمهوري إسلامي وولاية فقيه، </w:t>
      </w:r>
      <w:r>
        <w:rPr>
          <w:noProof/>
        </w:rPr>
        <w:t>191</w:t>
      </w:r>
      <w:r>
        <w:rPr>
          <w:noProof/>
          <w:rtl/>
        </w:rPr>
        <w:t xml:space="preserve">، </w:t>
      </w:r>
      <w:r>
        <w:rPr>
          <w:noProof/>
        </w:rPr>
        <w:t>250</w:t>
      </w:r>
    </w:p>
    <w:p w:rsidR="002002F4" w:rsidRDefault="002002F4" w:rsidP="00074DA4">
      <w:pPr>
        <w:spacing w:line="192" w:lineRule="auto"/>
        <w:ind w:firstLine="0"/>
        <w:rPr>
          <w:noProof/>
        </w:rPr>
      </w:pPr>
      <w:r>
        <w:rPr>
          <w:noProof/>
          <w:rtl/>
        </w:rPr>
        <w:t xml:space="preserve">الحكومة الإسلامية في أحاديث الشيعة الإمامية، </w:t>
      </w:r>
      <w:r>
        <w:rPr>
          <w:noProof/>
        </w:rPr>
        <w:t>118</w:t>
      </w:r>
    </w:p>
    <w:p w:rsidR="002002F4" w:rsidRDefault="002002F4" w:rsidP="00074DA4">
      <w:pPr>
        <w:spacing w:line="192" w:lineRule="auto"/>
        <w:ind w:firstLine="0"/>
        <w:rPr>
          <w:noProof/>
        </w:rPr>
      </w:pPr>
      <w:r>
        <w:rPr>
          <w:noProof/>
          <w:rtl/>
        </w:rPr>
        <w:t xml:space="preserve">الحكومة الإسلامية، </w:t>
      </w:r>
      <w:r>
        <w:rPr>
          <w:noProof/>
        </w:rPr>
        <w:t>69</w:t>
      </w:r>
      <w:r>
        <w:rPr>
          <w:noProof/>
          <w:rtl/>
        </w:rPr>
        <w:t xml:space="preserve">، </w:t>
      </w:r>
      <w:r>
        <w:rPr>
          <w:noProof/>
        </w:rPr>
        <w:t>153</w:t>
      </w:r>
      <w:r>
        <w:rPr>
          <w:noProof/>
          <w:rtl/>
        </w:rPr>
        <w:t xml:space="preserve">، </w:t>
      </w:r>
      <w:r>
        <w:rPr>
          <w:noProof/>
        </w:rPr>
        <w:t>204</w:t>
      </w:r>
      <w:r>
        <w:rPr>
          <w:noProof/>
          <w:rtl/>
        </w:rPr>
        <w:t xml:space="preserve">، </w:t>
      </w:r>
      <w:r>
        <w:rPr>
          <w:noProof/>
        </w:rPr>
        <w:t>273</w:t>
      </w:r>
      <w:r>
        <w:rPr>
          <w:noProof/>
          <w:rtl/>
        </w:rPr>
        <w:t xml:space="preserve">، </w:t>
      </w:r>
      <w:r>
        <w:rPr>
          <w:noProof/>
        </w:rPr>
        <w:t>278</w:t>
      </w:r>
      <w:r>
        <w:rPr>
          <w:noProof/>
          <w:rtl/>
        </w:rPr>
        <w:t xml:space="preserve">، </w:t>
      </w:r>
      <w:r>
        <w:rPr>
          <w:noProof/>
        </w:rPr>
        <w:t>303</w:t>
      </w:r>
      <w:r>
        <w:rPr>
          <w:noProof/>
          <w:rtl/>
        </w:rPr>
        <w:t xml:space="preserve">، </w:t>
      </w:r>
      <w:r>
        <w:rPr>
          <w:noProof/>
        </w:rPr>
        <w:t>313</w:t>
      </w:r>
      <w:r>
        <w:rPr>
          <w:noProof/>
          <w:rtl/>
        </w:rPr>
        <w:t xml:space="preserve">، </w:t>
      </w:r>
      <w:r>
        <w:rPr>
          <w:noProof/>
        </w:rPr>
        <w:t>334</w:t>
      </w:r>
      <w:r>
        <w:rPr>
          <w:noProof/>
          <w:rtl/>
        </w:rPr>
        <w:t xml:space="preserve">، </w:t>
      </w:r>
      <w:r>
        <w:rPr>
          <w:noProof/>
        </w:rPr>
        <w:t>335</w:t>
      </w:r>
      <w:r>
        <w:rPr>
          <w:noProof/>
          <w:rtl/>
        </w:rPr>
        <w:t xml:space="preserve">، </w:t>
      </w:r>
      <w:r>
        <w:rPr>
          <w:noProof/>
        </w:rPr>
        <w:t>340</w:t>
      </w:r>
      <w:r>
        <w:rPr>
          <w:noProof/>
          <w:rtl/>
        </w:rPr>
        <w:t xml:space="preserve">، </w:t>
      </w:r>
      <w:r>
        <w:rPr>
          <w:noProof/>
        </w:rPr>
        <w:t>346</w:t>
      </w:r>
      <w:r>
        <w:rPr>
          <w:noProof/>
          <w:rtl/>
        </w:rPr>
        <w:t xml:space="preserve">، </w:t>
      </w:r>
      <w:r>
        <w:rPr>
          <w:noProof/>
        </w:rPr>
        <w:t>363</w:t>
      </w:r>
      <w:r>
        <w:rPr>
          <w:noProof/>
          <w:rtl/>
        </w:rPr>
        <w:t xml:space="preserve">، </w:t>
      </w:r>
      <w:r>
        <w:rPr>
          <w:noProof/>
        </w:rPr>
        <w:t>369</w:t>
      </w:r>
      <w:r>
        <w:rPr>
          <w:noProof/>
          <w:rtl/>
        </w:rPr>
        <w:t xml:space="preserve">، </w:t>
      </w:r>
      <w:r>
        <w:rPr>
          <w:noProof/>
        </w:rPr>
        <w:t>375</w:t>
      </w:r>
      <w:r>
        <w:rPr>
          <w:noProof/>
          <w:rtl/>
        </w:rPr>
        <w:t xml:space="preserve">، </w:t>
      </w:r>
      <w:r>
        <w:rPr>
          <w:noProof/>
        </w:rPr>
        <w:t>447</w:t>
      </w:r>
    </w:p>
    <w:p w:rsidR="002002F4" w:rsidRDefault="002002F4" w:rsidP="00074DA4">
      <w:pPr>
        <w:spacing w:line="192" w:lineRule="auto"/>
        <w:ind w:firstLine="0"/>
        <w:rPr>
          <w:noProof/>
        </w:rPr>
      </w:pPr>
      <w:r>
        <w:rPr>
          <w:noProof/>
          <w:rtl/>
        </w:rPr>
        <w:t xml:space="preserve">الحكومة التنصيبية، </w:t>
      </w:r>
      <w:r>
        <w:rPr>
          <w:noProof/>
        </w:rPr>
        <w:t>17</w:t>
      </w:r>
    </w:p>
    <w:p w:rsidR="002002F4" w:rsidRDefault="002002F4" w:rsidP="00074DA4">
      <w:pPr>
        <w:spacing w:line="192" w:lineRule="auto"/>
        <w:ind w:firstLine="0"/>
        <w:rPr>
          <w:noProof/>
        </w:rPr>
      </w:pPr>
      <w:r>
        <w:rPr>
          <w:noProof/>
          <w:rtl/>
        </w:rPr>
        <w:t xml:space="preserve">الحكومة الولائية، </w:t>
      </w:r>
      <w:r>
        <w:rPr>
          <w:noProof/>
        </w:rPr>
        <w:t>7</w:t>
      </w:r>
      <w:r>
        <w:rPr>
          <w:noProof/>
          <w:rtl/>
        </w:rPr>
        <w:t xml:space="preserve">، </w:t>
      </w:r>
      <w:r>
        <w:rPr>
          <w:noProof/>
        </w:rPr>
        <w:t>13</w:t>
      </w:r>
      <w:r>
        <w:rPr>
          <w:noProof/>
          <w:rtl/>
        </w:rPr>
        <w:t xml:space="preserve">، </w:t>
      </w:r>
      <w:r>
        <w:rPr>
          <w:noProof/>
        </w:rPr>
        <w:t>17</w:t>
      </w:r>
      <w:r>
        <w:rPr>
          <w:noProof/>
          <w:rtl/>
        </w:rPr>
        <w:t xml:space="preserve">، </w:t>
      </w:r>
      <w:r>
        <w:rPr>
          <w:noProof/>
        </w:rPr>
        <w:t>18</w:t>
      </w:r>
      <w:r>
        <w:rPr>
          <w:noProof/>
          <w:rtl/>
        </w:rPr>
        <w:t xml:space="preserve">، </w:t>
      </w:r>
      <w:r>
        <w:rPr>
          <w:noProof/>
        </w:rPr>
        <w:t>23</w:t>
      </w:r>
      <w:r>
        <w:rPr>
          <w:noProof/>
          <w:rtl/>
        </w:rPr>
        <w:t xml:space="preserve">، </w:t>
      </w:r>
      <w:r>
        <w:rPr>
          <w:noProof/>
        </w:rPr>
        <w:t>24</w:t>
      </w:r>
    </w:p>
    <w:p w:rsidR="002002F4" w:rsidRDefault="002002F4" w:rsidP="00074DA4">
      <w:pPr>
        <w:spacing w:line="192" w:lineRule="auto"/>
        <w:ind w:firstLine="0"/>
        <w:rPr>
          <w:noProof/>
        </w:rPr>
      </w:pPr>
      <w:r>
        <w:rPr>
          <w:noProof/>
          <w:rtl/>
        </w:rPr>
        <w:t xml:space="preserve">حكومت إسلامی (مجلة)، </w:t>
      </w:r>
      <w:r>
        <w:rPr>
          <w:noProof/>
        </w:rPr>
        <w:t>139</w:t>
      </w:r>
      <w:r>
        <w:rPr>
          <w:noProof/>
          <w:rtl/>
        </w:rPr>
        <w:t xml:space="preserve">، </w:t>
      </w:r>
      <w:r>
        <w:rPr>
          <w:noProof/>
        </w:rPr>
        <w:t>148</w:t>
      </w:r>
      <w:r>
        <w:rPr>
          <w:noProof/>
          <w:rtl/>
        </w:rPr>
        <w:t xml:space="preserve">، </w:t>
      </w:r>
      <w:r>
        <w:rPr>
          <w:noProof/>
        </w:rPr>
        <w:t>152</w:t>
      </w:r>
      <w:r>
        <w:rPr>
          <w:noProof/>
          <w:rtl/>
        </w:rPr>
        <w:t xml:space="preserve">، </w:t>
      </w:r>
      <w:r>
        <w:rPr>
          <w:noProof/>
        </w:rPr>
        <w:t>255</w:t>
      </w:r>
      <w:r>
        <w:rPr>
          <w:noProof/>
          <w:rtl/>
        </w:rPr>
        <w:t xml:space="preserve">، </w:t>
      </w:r>
      <w:r>
        <w:rPr>
          <w:noProof/>
        </w:rPr>
        <w:t>284</w:t>
      </w:r>
      <w:r>
        <w:rPr>
          <w:noProof/>
          <w:rtl/>
        </w:rPr>
        <w:t xml:space="preserve">، </w:t>
      </w:r>
      <w:r>
        <w:rPr>
          <w:noProof/>
        </w:rPr>
        <w:t>454</w:t>
      </w:r>
    </w:p>
    <w:p w:rsidR="002002F4" w:rsidRDefault="002002F4" w:rsidP="00074DA4">
      <w:pPr>
        <w:spacing w:line="192" w:lineRule="auto"/>
        <w:ind w:firstLine="0"/>
        <w:rPr>
          <w:noProof/>
        </w:rPr>
      </w:pPr>
      <w:r>
        <w:rPr>
          <w:noProof/>
          <w:rtl/>
        </w:rPr>
        <w:t xml:space="preserve">حكومت إسلامى در چشم أنداز ما، </w:t>
      </w:r>
      <w:r>
        <w:rPr>
          <w:noProof/>
        </w:rPr>
        <w:t>253</w:t>
      </w:r>
    </w:p>
    <w:p w:rsidR="002002F4" w:rsidRDefault="002002F4" w:rsidP="00074DA4">
      <w:pPr>
        <w:spacing w:line="192" w:lineRule="auto"/>
        <w:ind w:firstLine="0"/>
        <w:rPr>
          <w:noProof/>
        </w:rPr>
      </w:pPr>
      <w:r>
        <w:rPr>
          <w:noProof/>
          <w:rtl/>
        </w:rPr>
        <w:t xml:space="preserve">حول الثورة الإسلامية، </w:t>
      </w:r>
      <w:r>
        <w:rPr>
          <w:noProof/>
        </w:rPr>
        <w:t>143</w:t>
      </w:r>
      <w:r>
        <w:rPr>
          <w:noProof/>
          <w:rtl/>
        </w:rPr>
        <w:t xml:space="preserve">، </w:t>
      </w:r>
      <w:r>
        <w:rPr>
          <w:noProof/>
        </w:rPr>
        <w:t>220</w:t>
      </w:r>
      <w:r>
        <w:rPr>
          <w:noProof/>
          <w:rtl/>
        </w:rPr>
        <w:t xml:space="preserve">، </w:t>
      </w:r>
      <w:r>
        <w:rPr>
          <w:noProof/>
        </w:rPr>
        <w:t>252</w:t>
      </w:r>
    </w:p>
    <w:p w:rsidR="002002F4" w:rsidRDefault="002002F4" w:rsidP="00074DA4">
      <w:pPr>
        <w:spacing w:line="192" w:lineRule="auto"/>
        <w:ind w:firstLine="0"/>
        <w:rPr>
          <w:noProof/>
        </w:rPr>
      </w:pPr>
      <w:r>
        <w:rPr>
          <w:noProof/>
          <w:rtl/>
        </w:rPr>
        <w:t xml:space="preserve">حول الجمهورية الإسلامية، </w:t>
      </w:r>
      <w:r>
        <w:rPr>
          <w:noProof/>
        </w:rPr>
        <w:t>142</w:t>
      </w:r>
      <w:r>
        <w:rPr>
          <w:noProof/>
          <w:rtl/>
        </w:rPr>
        <w:t xml:space="preserve">، </w:t>
      </w:r>
      <w:r>
        <w:rPr>
          <w:noProof/>
        </w:rPr>
        <w:t>252</w:t>
      </w:r>
    </w:p>
    <w:p w:rsidR="002002F4" w:rsidRDefault="002002F4" w:rsidP="00074DA4">
      <w:pPr>
        <w:spacing w:line="192" w:lineRule="auto"/>
        <w:ind w:firstLine="0"/>
        <w:rPr>
          <w:noProof/>
        </w:rPr>
      </w:pPr>
      <w:r>
        <w:rPr>
          <w:noProof/>
          <w:rtl/>
        </w:rPr>
        <w:t xml:space="preserve">حول الوحي والقيادة، </w:t>
      </w:r>
      <w:r>
        <w:rPr>
          <w:noProof/>
        </w:rPr>
        <w:t>144</w:t>
      </w:r>
      <w:r>
        <w:rPr>
          <w:noProof/>
          <w:rtl/>
        </w:rPr>
        <w:t xml:space="preserve">، </w:t>
      </w:r>
      <w:r>
        <w:rPr>
          <w:noProof/>
        </w:rPr>
        <w:t>148</w:t>
      </w:r>
      <w:r>
        <w:rPr>
          <w:noProof/>
          <w:rtl/>
        </w:rPr>
        <w:t xml:space="preserve">، </w:t>
      </w:r>
      <w:r>
        <w:rPr>
          <w:noProof/>
        </w:rPr>
        <w:t>149</w:t>
      </w:r>
      <w:r>
        <w:rPr>
          <w:noProof/>
          <w:rtl/>
        </w:rPr>
        <w:t xml:space="preserve">، </w:t>
      </w:r>
      <w:r>
        <w:rPr>
          <w:noProof/>
        </w:rPr>
        <w:t>150</w:t>
      </w:r>
      <w:r>
        <w:rPr>
          <w:noProof/>
          <w:rtl/>
        </w:rPr>
        <w:t xml:space="preserve">، </w:t>
      </w:r>
      <w:r>
        <w:rPr>
          <w:noProof/>
        </w:rPr>
        <w:t>189</w:t>
      </w:r>
      <w:r>
        <w:rPr>
          <w:noProof/>
          <w:rtl/>
        </w:rPr>
        <w:t xml:space="preserve">، </w:t>
      </w:r>
      <w:r>
        <w:rPr>
          <w:noProof/>
        </w:rPr>
        <w:t>255</w:t>
      </w:r>
      <w:r>
        <w:rPr>
          <w:noProof/>
          <w:rtl/>
        </w:rPr>
        <w:t xml:space="preserve">، </w:t>
      </w:r>
      <w:r>
        <w:rPr>
          <w:noProof/>
        </w:rPr>
        <w:t>283</w:t>
      </w:r>
      <w:r>
        <w:rPr>
          <w:noProof/>
          <w:rtl/>
        </w:rPr>
        <w:t xml:space="preserve">، </w:t>
      </w:r>
      <w:r>
        <w:rPr>
          <w:noProof/>
        </w:rPr>
        <w:t>346</w:t>
      </w:r>
      <w:r>
        <w:rPr>
          <w:noProof/>
          <w:rtl/>
        </w:rPr>
        <w:t xml:space="preserve">، </w:t>
      </w:r>
      <w:r>
        <w:rPr>
          <w:noProof/>
        </w:rPr>
        <w:t>420</w:t>
      </w:r>
      <w:r>
        <w:rPr>
          <w:noProof/>
          <w:rtl/>
        </w:rPr>
        <w:t xml:space="preserve">، </w:t>
      </w:r>
      <w:r>
        <w:rPr>
          <w:noProof/>
        </w:rPr>
        <w:t>424</w:t>
      </w:r>
      <w:r>
        <w:rPr>
          <w:noProof/>
          <w:rtl/>
        </w:rPr>
        <w:t xml:space="preserve">، </w:t>
      </w:r>
      <w:r>
        <w:rPr>
          <w:noProof/>
        </w:rPr>
        <w:t>428</w:t>
      </w:r>
      <w:r>
        <w:rPr>
          <w:noProof/>
          <w:rtl/>
        </w:rPr>
        <w:t xml:space="preserve">، </w:t>
      </w:r>
      <w:r>
        <w:rPr>
          <w:noProof/>
        </w:rPr>
        <w:t>432</w:t>
      </w:r>
      <w:r>
        <w:rPr>
          <w:noProof/>
          <w:rtl/>
        </w:rPr>
        <w:t xml:space="preserve">، </w:t>
      </w:r>
      <w:r>
        <w:rPr>
          <w:noProof/>
        </w:rPr>
        <w:t>450</w:t>
      </w:r>
    </w:p>
    <w:p w:rsidR="002002F4" w:rsidRDefault="002002F4" w:rsidP="00074DA4">
      <w:pPr>
        <w:spacing w:line="192" w:lineRule="auto"/>
        <w:ind w:firstLine="0"/>
        <w:rPr>
          <w:noProof/>
        </w:rPr>
      </w:pPr>
      <w:r>
        <w:rPr>
          <w:noProof/>
          <w:rtl/>
        </w:rPr>
        <w:t xml:space="preserve">الخرائج والجرائح، </w:t>
      </w:r>
      <w:r>
        <w:rPr>
          <w:noProof/>
        </w:rPr>
        <w:t>376</w:t>
      </w:r>
    </w:p>
    <w:p w:rsidR="002002F4" w:rsidRDefault="002002F4" w:rsidP="00074DA4">
      <w:pPr>
        <w:spacing w:line="192" w:lineRule="auto"/>
        <w:ind w:firstLine="0"/>
        <w:rPr>
          <w:noProof/>
        </w:rPr>
      </w:pPr>
      <w:r>
        <w:rPr>
          <w:noProof/>
          <w:rtl/>
        </w:rPr>
        <w:t xml:space="preserve">خزائن الأحکام، </w:t>
      </w:r>
      <w:r>
        <w:rPr>
          <w:noProof/>
        </w:rPr>
        <w:t>135</w:t>
      </w:r>
      <w:r>
        <w:rPr>
          <w:noProof/>
          <w:rtl/>
        </w:rPr>
        <w:t xml:space="preserve">، </w:t>
      </w:r>
      <w:r>
        <w:rPr>
          <w:noProof/>
        </w:rPr>
        <w:t>136</w:t>
      </w:r>
      <w:r>
        <w:rPr>
          <w:noProof/>
          <w:rtl/>
        </w:rPr>
        <w:t xml:space="preserve">، </w:t>
      </w:r>
      <w:r>
        <w:rPr>
          <w:noProof/>
        </w:rPr>
        <w:t>157</w:t>
      </w:r>
      <w:r>
        <w:rPr>
          <w:noProof/>
          <w:rtl/>
        </w:rPr>
        <w:t xml:space="preserve">، </w:t>
      </w:r>
      <w:r>
        <w:rPr>
          <w:noProof/>
        </w:rPr>
        <w:t>191</w:t>
      </w:r>
      <w:r>
        <w:rPr>
          <w:noProof/>
          <w:rtl/>
        </w:rPr>
        <w:t xml:space="preserve">، </w:t>
      </w:r>
      <w:r>
        <w:rPr>
          <w:noProof/>
        </w:rPr>
        <w:t>327</w:t>
      </w:r>
      <w:r>
        <w:rPr>
          <w:noProof/>
          <w:rtl/>
        </w:rPr>
        <w:t xml:space="preserve">، </w:t>
      </w:r>
      <w:r>
        <w:rPr>
          <w:noProof/>
        </w:rPr>
        <w:t>353</w:t>
      </w:r>
      <w:r>
        <w:rPr>
          <w:noProof/>
          <w:rtl/>
        </w:rPr>
        <w:t xml:space="preserve">، </w:t>
      </w:r>
      <w:r>
        <w:rPr>
          <w:noProof/>
        </w:rPr>
        <w:t>416</w:t>
      </w:r>
    </w:p>
    <w:p w:rsidR="002002F4" w:rsidRDefault="002002F4" w:rsidP="00074DA4">
      <w:pPr>
        <w:spacing w:line="192" w:lineRule="auto"/>
        <w:ind w:firstLine="0"/>
        <w:rPr>
          <w:noProof/>
        </w:rPr>
      </w:pPr>
      <w:r>
        <w:rPr>
          <w:noProof/>
          <w:rtl/>
        </w:rPr>
        <w:t xml:space="preserve">خلاصة الرجال، </w:t>
      </w:r>
      <w:r>
        <w:rPr>
          <w:noProof/>
        </w:rPr>
        <w:t>366</w:t>
      </w:r>
    </w:p>
    <w:p w:rsidR="002002F4" w:rsidRDefault="002002F4" w:rsidP="00074DA4">
      <w:pPr>
        <w:spacing w:line="192" w:lineRule="auto"/>
        <w:ind w:firstLine="0"/>
        <w:rPr>
          <w:noProof/>
        </w:rPr>
      </w:pPr>
      <w:r>
        <w:rPr>
          <w:noProof/>
          <w:rtl/>
        </w:rPr>
        <w:t xml:space="preserve">خلافة الإنسان وشهادة الأنبياء، </w:t>
      </w:r>
      <w:r>
        <w:rPr>
          <w:noProof/>
        </w:rPr>
        <w:t>388</w:t>
      </w:r>
    </w:p>
    <w:p w:rsidR="002002F4" w:rsidRDefault="002002F4" w:rsidP="00074DA4">
      <w:pPr>
        <w:spacing w:line="192" w:lineRule="auto"/>
        <w:ind w:firstLine="0"/>
        <w:rPr>
          <w:noProof/>
        </w:rPr>
      </w:pPr>
      <w:r>
        <w:rPr>
          <w:noProof/>
          <w:rtl/>
        </w:rPr>
        <w:t xml:space="preserve">در آمدى فلسفي بر تاريخ أنديشه سياسي در إيران، </w:t>
      </w:r>
      <w:r>
        <w:rPr>
          <w:noProof/>
        </w:rPr>
        <w:t>53</w:t>
      </w:r>
    </w:p>
    <w:p w:rsidR="002002F4" w:rsidRDefault="002002F4" w:rsidP="00074DA4">
      <w:pPr>
        <w:spacing w:line="192" w:lineRule="auto"/>
        <w:ind w:firstLine="0"/>
        <w:rPr>
          <w:noProof/>
        </w:rPr>
      </w:pPr>
      <w:r>
        <w:rPr>
          <w:noProof/>
          <w:rtl/>
        </w:rPr>
        <w:t xml:space="preserve">دراسات في ولاية الفقيه وفقه الدولة الإسلامية، </w:t>
      </w:r>
      <w:r>
        <w:rPr>
          <w:noProof/>
        </w:rPr>
        <w:t>118</w:t>
      </w:r>
      <w:r>
        <w:rPr>
          <w:noProof/>
          <w:rtl/>
        </w:rPr>
        <w:t xml:space="preserve">، </w:t>
      </w:r>
      <w:r>
        <w:rPr>
          <w:noProof/>
        </w:rPr>
        <w:t>184</w:t>
      </w:r>
      <w:r>
        <w:rPr>
          <w:noProof/>
          <w:rtl/>
        </w:rPr>
        <w:t xml:space="preserve">، </w:t>
      </w:r>
      <w:r>
        <w:rPr>
          <w:noProof/>
        </w:rPr>
        <w:t>185</w:t>
      </w:r>
      <w:r>
        <w:rPr>
          <w:noProof/>
          <w:rtl/>
        </w:rPr>
        <w:t xml:space="preserve">، </w:t>
      </w:r>
      <w:r>
        <w:rPr>
          <w:noProof/>
        </w:rPr>
        <w:t>253</w:t>
      </w:r>
      <w:r>
        <w:rPr>
          <w:noProof/>
          <w:rtl/>
        </w:rPr>
        <w:t xml:space="preserve">، </w:t>
      </w:r>
      <w:r>
        <w:rPr>
          <w:noProof/>
        </w:rPr>
        <w:t>306</w:t>
      </w:r>
      <w:r>
        <w:rPr>
          <w:noProof/>
          <w:rtl/>
        </w:rPr>
        <w:t xml:space="preserve">، </w:t>
      </w:r>
      <w:r>
        <w:rPr>
          <w:noProof/>
        </w:rPr>
        <w:t>310</w:t>
      </w:r>
      <w:r>
        <w:rPr>
          <w:noProof/>
          <w:rtl/>
        </w:rPr>
        <w:t xml:space="preserve">، </w:t>
      </w:r>
      <w:r>
        <w:rPr>
          <w:noProof/>
        </w:rPr>
        <w:t>316</w:t>
      </w:r>
      <w:r>
        <w:rPr>
          <w:noProof/>
          <w:rtl/>
        </w:rPr>
        <w:t xml:space="preserve">، </w:t>
      </w:r>
      <w:r>
        <w:rPr>
          <w:noProof/>
        </w:rPr>
        <w:t>317</w:t>
      </w:r>
      <w:r>
        <w:rPr>
          <w:noProof/>
          <w:rtl/>
        </w:rPr>
        <w:t xml:space="preserve">، </w:t>
      </w:r>
      <w:r>
        <w:rPr>
          <w:noProof/>
        </w:rPr>
        <w:t>328</w:t>
      </w:r>
      <w:r>
        <w:rPr>
          <w:noProof/>
          <w:rtl/>
        </w:rPr>
        <w:t xml:space="preserve">، </w:t>
      </w:r>
      <w:r>
        <w:rPr>
          <w:noProof/>
        </w:rPr>
        <w:t>330</w:t>
      </w:r>
      <w:r>
        <w:rPr>
          <w:noProof/>
          <w:rtl/>
        </w:rPr>
        <w:t xml:space="preserve">، </w:t>
      </w:r>
      <w:r>
        <w:rPr>
          <w:noProof/>
        </w:rPr>
        <w:t>336</w:t>
      </w:r>
      <w:r>
        <w:rPr>
          <w:noProof/>
          <w:rtl/>
        </w:rPr>
        <w:t xml:space="preserve">، </w:t>
      </w:r>
      <w:r>
        <w:rPr>
          <w:noProof/>
        </w:rPr>
        <w:t>347</w:t>
      </w:r>
      <w:r>
        <w:rPr>
          <w:noProof/>
          <w:rtl/>
        </w:rPr>
        <w:t xml:space="preserve">، </w:t>
      </w:r>
      <w:r>
        <w:rPr>
          <w:noProof/>
        </w:rPr>
        <w:t>353</w:t>
      </w:r>
      <w:r>
        <w:rPr>
          <w:noProof/>
          <w:rtl/>
        </w:rPr>
        <w:t xml:space="preserve">، </w:t>
      </w:r>
      <w:r>
        <w:rPr>
          <w:noProof/>
        </w:rPr>
        <w:t>354</w:t>
      </w:r>
      <w:r>
        <w:rPr>
          <w:noProof/>
          <w:rtl/>
        </w:rPr>
        <w:t xml:space="preserve">، </w:t>
      </w:r>
      <w:r>
        <w:rPr>
          <w:noProof/>
        </w:rPr>
        <w:t>357</w:t>
      </w:r>
      <w:r>
        <w:rPr>
          <w:noProof/>
          <w:rtl/>
        </w:rPr>
        <w:t xml:space="preserve">، </w:t>
      </w:r>
      <w:r>
        <w:rPr>
          <w:noProof/>
        </w:rPr>
        <w:t>361</w:t>
      </w:r>
      <w:r>
        <w:rPr>
          <w:noProof/>
          <w:rtl/>
        </w:rPr>
        <w:t xml:space="preserve">، </w:t>
      </w:r>
      <w:r>
        <w:rPr>
          <w:noProof/>
        </w:rPr>
        <w:t>363</w:t>
      </w:r>
      <w:r>
        <w:rPr>
          <w:noProof/>
          <w:rtl/>
        </w:rPr>
        <w:t xml:space="preserve">، </w:t>
      </w:r>
      <w:r>
        <w:rPr>
          <w:noProof/>
        </w:rPr>
        <w:t>367</w:t>
      </w:r>
      <w:r>
        <w:rPr>
          <w:noProof/>
          <w:rtl/>
        </w:rPr>
        <w:t xml:space="preserve">، </w:t>
      </w:r>
      <w:r>
        <w:rPr>
          <w:noProof/>
        </w:rPr>
        <w:t>371</w:t>
      </w:r>
      <w:r>
        <w:rPr>
          <w:noProof/>
          <w:rtl/>
        </w:rPr>
        <w:t xml:space="preserve">، </w:t>
      </w:r>
      <w:r>
        <w:rPr>
          <w:noProof/>
        </w:rPr>
        <w:t>373</w:t>
      </w:r>
      <w:r>
        <w:rPr>
          <w:noProof/>
          <w:rtl/>
        </w:rPr>
        <w:t xml:space="preserve">، </w:t>
      </w:r>
      <w:r>
        <w:rPr>
          <w:noProof/>
        </w:rPr>
        <w:t>374</w:t>
      </w:r>
      <w:r>
        <w:rPr>
          <w:noProof/>
          <w:rtl/>
        </w:rPr>
        <w:t xml:space="preserve">، </w:t>
      </w:r>
      <w:r>
        <w:rPr>
          <w:noProof/>
        </w:rPr>
        <w:t>378</w:t>
      </w:r>
      <w:r>
        <w:rPr>
          <w:noProof/>
          <w:rtl/>
        </w:rPr>
        <w:t xml:space="preserve">، </w:t>
      </w:r>
      <w:r>
        <w:rPr>
          <w:noProof/>
        </w:rPr>
        <w:t>382</w:t>
      </w:r>
      <w:r>
        <w:rPr>
          <w:noProof/>
          <w:rtl/>
        </w:rPr>
        <w:t xml:space="preserve">، </w:t>
      </w:r>
      <w:r>
        <w:rPr>
          <w:noProof/>
        </w:rPr>
        <w:t>385</w:t>
      </w:r>
      <w:r>
        <w:rPr>
          <w:noProof/>
          <w:rtl/>
        </w:rPr>
        <w:t xml:space="preserve">، </w:t>
      </w:r>
      <w:r>
        <w:rPr>
          <w:noProof/>
        </w:rPr>
        <w:t>388</w:t>
      </w:r>
      <w:r>
        <w:rPr>
          <w:noProof/>
          <w:rtl/>
        </w:rPr>
        <w:t xml:space="preserve">، </w:t>
      </w:r>
      <w:r>
        <w:rPr>
          <w:noProof/>
        </w:rPr>
        <w:t>390</w:t>
      </w:r>
      <w:r>
        <w:rPr>
          <w:noProof/>
          <w:rtl/>
        </w:rPr>
        <w:t xml:space="preserve">، </w:t>
      </w:r>
      <w:r>
        <w:rPr>
          <w:noProof/>
        </w:rPr>
        <w:t>391</w:t>
      </w:r>
      <w:r>
        <w:rPr>
          <w:noProof/>
          <w:rtl/>
        </w:rPr>
        <w:t xml:space="preserve">، </w:t>
      </w:r>
      <w:r>
        <w:rPr>
          <w:noProof/>
        </w:rPr>
        <w:t>398</w:t>
      </w:r>
      <w:r>
        <w:rPr>
          <w:noProof/>
          <w:rtl/>
        </w:rPr>
        <w:t xml:space="preserve">، </w:t>
      </w:r>
      <w:r>
        <w:rPr>
          <w:noProof/>
        </w:rPr>
        <w:t>412</w:t>
      </w:r>
      <w:r>
        <w:rPr>
          <w:noProof/>
          <w:rtl/>
        </w:rPr>
        <w:t xml:space="preserve">، </w:t>
      </w:r>
      <w:r>
        <w:rPr>
          <w:noProof/>
        </w:rPr>
        <w:t>444</w:t>
      </w:r>
      <w:r>
        <w:rPr>
          <w:noProof/>
          <w:rtl/>
        </w:rPr>
        <w:t xml:space="preserve">، </w:t>
      </w:r>
      <w:r>
        <w:rPr>
          <w:noProof/>
        </w:rPr>
        <w:t>445</w:t>
      </w:r>
    </w:p>
    <w:p w:rsidR="002002F4" w:rsidRDefault="002002F4" w:rsidP="00074DA4">
      <w:pPr>
        <w:spacing w:line="192" w:lineRule="auto"/>
        <w:ind w:firstLine="0"/>
        <w:rPr>
          <w:noProof/>
        </w:rPr>
      </w:pPr>
      <w:r>
        <w:rPr>
          <w:noProof/>
          <w:rtl/>
        </w:rPr>
        <w:t xml:space="preserve">الدراية في علم مصطلح الحديث، </w:t>
      </w:r>
      <w:r>
        <w:rPr>
          <w:noProof/>
        </w:rPr>
        <w:t>348</w:t>
      </w:r>
      <w:r>
        <w:rPr>
          <w:noProof/>
          <w:rtl/>
        </w:rPr>
        <w:t xml:space="preserve">، </w:t>
      </w:r>
      <w:r>
        <w:rPr>
          <w:noProof/>
        </w:rPr>
        <w:t>353</w:t>
      </w:r>
      <w:r>
        <w:rPr>
          <w:noProof/>
          <w:rtl/>
        </w:rPr>
        <w:t xml:space="preserve">، </w:t>
      </w:r>
      <w:r>
        <w:rPr>
          <w:noProof/>
        </w:rPr>
        <w:t>355</w:t>
      </w:r>
    </w:p>
    <w:p w:rsidR="002002F4" w:rsidRDefault="002002F4" w:rsidP="00074DA4">
      <w:pPr>
        <w:spacing w:line="192" w:lineRule="auto"/>
        <w:ind w:firstLine="0"/>
        <w:rPr>
          <w:noProof/>
        </w:rPr>
      </w:pPr>
      <w:r>
        <w:rPr>
          <w:noProof/>
          <w:rtl/>
        </w:rPr>
        <w:t xml:space="preserve">الدروس الشرعية، </w:t>
      </w:r>
      <w:r>
        <w:rPr>
          <w:noProof/>
        </w:rPr>
        <w:t>428</w:t>
      </w:r>
    </w:p>
    <w:p w:rsidR="002002F4" w:rsidRDefault="002002F4" w:rsidP="00074DA4">
      <w:pPr>
        <w:spacing w:line="192" w:lineRule="auto"/>
        <w:ind w:firstLine="0"/>
        <w:rPr>
          <w:noProof/>
        </w:rPr>
      </w:pPr>
      <w:r>
        <w:rPr>
          <w:noProof/>
          <w:rtl/>
        </w:rPr>
        <w:t xml:space="preserve">دعائم الإسلام، </w:t>
      </w:r>
      <w:r>
        <w:rPr>
          <w:noProof/>
        </w:rPr>
        <w:t>114</w:t>
      </w:r>
      <w:r>
        <w:rPr>
          <w:noProof/>
          <w:rtl/>
        </w:rPr>
        <w:t xml:space="preserve">، </w:t>
      </w:r>
      <w:r>
        <w:rPr>
          <w:noProof/>
        </w:rPr>
        <w:t>115</w:t>
      </w:r>
      <w:r>
        <w:rPr>
          <w:noProof/>
          <w:rtl/>
        </w:rPr>
        <w:t xml:space="preserve">، </w:t>
      </w:r>
      <w:r>
        <w:rPr>
          <w:noProof/>
        </w:rPr>
        <w:t>312</w:t>
      </w:r>
    </w:p>
    <w:p w:rsidR="002002F4" w:rsidRDefault="002002F4" w:rsidP="00074DA4">
      <w:pPr>
        <w:spacing w:line="192" w:lineRule="auto"/>
        <w:ind w:firstLine="0"/>
        <w:rPr>
          <w:noProof/>
        </w:rPr>
      </w:pPr>
      <w:r>
        <w:rPr>
          <w:noProof/>
          <w:rtl/>
        </w:rPr>
        <w:t xml:space="preserve">دغدغة هاي حكومت ديني، </w:t>
      </w:r>
      <w:r>
        <w:rPr>
          <w:noProof/>
        </w:rPr>
        <w:t>266</w:t>
      </w:r>
    </w:p>
    <w:p w:rsidR="002002F4" w:rsidRDefault="002002F4" w:rsidP="00074DA4">
      <w:pPr>
        <w:spacing w:line="192" w:lineRule="auto"/>
        <w:ind w:firstLine="0"/>
        <w:rPr>
          <w:noProof/>
        </w:rPr>
      </w:pPr>
      <w:r>
        <w:rPr>
          <w:noProof/>
          <w:rtl/>
        </w:rPr>
        <w:t xml:space="preserve">دين وسياست در عصر صفوي، </w:t>
      </w:r>
      <w:r>
        <w:rPr>
          <w:noProof/>
        </w:rPr>
        <w:t>130</w:t>
      </w:r>
    </w:p>
    <w:p w:rsidR="002002F4" w:rsidRDefault="002002F4" w:rsidP="00074DA4">
      <w:pPr>
        <w:spacing w:line="192" w:lineRule="auto"/>
        <w:ind w:firstLine="0"/>
        <w:rPr>
          <w:noProof/>
          <w:rtl/>
        </w:rPr>
      </w:pPr>
      <w:r>
        <w:rPr>
          <w:noProof/>
          <w:rtl/>
        </w:rPr>
        <w:t xml:space="preserve">الذخيرة في علم الكلام، </w:t>
      </w:r>
      <w:r>
        <w:rPr>
          <w:noProof/>
        </w:rPr>
        <w:t>63</w:t>
      </w:r>
    </w:p>
    <w:p w:rsidR="002002F4" w:rsidRDefault="002002F4" w:rsidP="00074DA4">
      <w:pPr>
        <w:spacing w:line="192" w:lineRule="auto"/>
        <w:ind w:firstLine="0"/>
        <w:rPr>
          <w:noProof/>
        </w:rPr>
      </w:pPr>
      <w:r>
        <w:rPr>
          <w:noProof/>
          <w:rtl/>
        </w:rPr>
        <w:t xml:space="preserve">الذريعة، </w:t>
      </w:r>
      <w:r>
        <w:rPr>
          <w:noProof/>
        </w:rPr>
        <w:t>130</w:t>
      </w:r>
    </w:p>
    <w:p w:rsidR="002002F4" w:rsidRDefault="002002F4" w:rsidP="00074DA4">
      <w:pPr>
        <w:spacing w:line="192" w:lineRule="auto"/>
        <w:ind w:firstLine="0"/>
        <w:rPr>
          <w:noProof/>
        </w:rPr>
      </w:pPr>
      <w:r>
        <w:rPr>
          <w:noProof/>
          <w:rtl/>
        </w:rPr>
        <w:t xml:space="preserve">راه نو (صحيفة)، </w:t>
      </w:r>
      <w:r>
        <w:rPr>
          <w:noProof/>
        </w:rPr>
        <w:t>24</w:t>
      </w:r>
    </w:p>
    <w:p w:rsidR="002002F4" w:rsidRDefault="002002F4" w:rsidP="00074DA4">
      <w:pPr>
        <w:spacing w:line="192" w:lineRule="auto"/>
        <w:ind w:firstLine="0"/>
        <w:rPr>
          <w:noProof/>
        </w:rPr>
      </w:pPr>
      <w:r>
        <w:rPr>
          <w:noProof/>
          <w:rtl/>
        </w:rPr>
        <w:t xml:space="preserve">راهنما شناسي، </w:t>
      </w:r>
      <w:r>
        <w:rPr>
          <w:noProof/>
        </w:rPr>
        <w:t>56</w:t>
      </w:r>
      <w:r>
        <w:rPr>
          <w:noProof/>
          <w:rtl/>
        </w:rPr>
        <w:t xml:space="preserve">، </w:t>
      </w:r>
      <w:r>
        <w:rPr>
          <w:noProof/>
        </w:rPr>
        <w:t>58</w:t>
      </w:r>
      <w:r>
        <w:rPr>
          <w:noProof/>
          <w:rtl/>
        </w:rPr>
        <w:t xml:space="preserve">، </w:t>
      </w:r>
      <w:r>
        <w:rPr>
          <w:noProof/>
        </w:rPr>
        <w:t>64</w:t>
      </w:r>
      <w:r>
        <w:rPr>
          <w:noProof/>
          <w:rtl/>
        </w:rPr>
        <w:t xml:space="preserve">، </w:t>
      </w:r>
      <w:r>
        <w:rPr>
          <w:noProof/>
        </w:rPr>
        <w:t>423</w:t>
      </w:r>
      <w:r>
        <w:rPr>
          <w:noProof/>
          <w:rtl/>
        </w:rPr>
        <w:t xml:space="preserve">، </w:t>
      </w:r>
      <w:r>
        <w:rPr>
          <w:noProof/>
        </w:rPr>
        <w:t>424</w:t>
      </w:r>
      <w:r>
        <w:rPr>
          <w:noProof/>
          <w:rtl/>
        </w:rPr>
        <w:t xml:space="preserve">، </w:t>
      </w:r>
      <w:r>
        <w:rPr>
          <w:noProof/>
        </w:rPr>
        <w:t>428</w:t>
      </w:r>
      <w:r>
        <w:rPr>
          <w:noProof/>
          <w:rtl/>
        </w:rPr>
        <w:t xml:space="preserve">، </w:t>
      </w:r>
      <w:r>
        <w:rPr>
          <w:noProof/>
        </w:rPr>
        <w:t>430</w:t>
      </w:r>
    </w:p>
    <w:p w:rsidR="002002F4" w:rsidRDefault="002002F4" w:rsidP="00074DA4">
      <w:pPr>
        <w:spacing w:line="192" w:lineRule="auto"/>
        <w:ind w:firstLine="0"/>
        <w:rPr>
          <w:noProof/>
        </w:rPr>
      </w:pPr>
      <w:r>
        <w:rPr>
          <w:noProof/>
          <w:rtl/>
        </w:rPr>
        <w:t xml:space="preserve">ربيع الأبرار، </w:t>
      </w:r>
      <w:r>
        <w:rPr>
          <w:noProof/>
        </w:rPr>
        <w:t>320</w:t>
      </w:r>
    </w:p>
    <w:p w:rsidR="002002F4" w:rsidRDefault="002002F4" w:rsidP="00074DA4">
      <w:pPr>
        <w:spacing w:line="192" w:lineRule="auto"/>
        <w:ind w:firstLine="0"/>
        <w:rPr>
          <w:noProof/>
        </w:rPr>
      </w:pPr>
      <w:r>
        <w:rPr>
          <w:noProof/>
          <w:rtl/>
        </w:rPr>
        <w:t xml:space="preserve">رجال الطوسي، </w:t>
      </w:r>
      <w:r>
        <w:rPr>
          <w:noProof/>
        </w:rPr>
        <w:t>346</w:t>
      </w:r>
      <w:r>
        <w:rPr>
          <w:noProof/>
          <w:rtl/>
        </w:rPr>
        <w:t xml:space="preserve">، </w:t>
      </w:r>
      <w:r>
        <w:rPr>
          <w:noProof/>
        </w:rPr>
        <w:t>347</w:t>
      </w:r>
    </w:p>
    <w:p w:rsidR="002002F4" w:rsidRDefault="002002F4" w:rsidP="00074DA4">
      <w:pPr>
        <w:spacing w:line="192" w:lineRule="auto"/>
        <w:ind w:firstLine="0"/>
        <w:rPr>
          <w:noProof/>
        </w:rPr>
      </w:pPr>
      <w:r>
        <w:rPr>
          <w:noProof/>
          <w:rtl/>
        </w:rPr>
        <w:t xml:space="preserve">رجال العلامة الحلي، </w:t>
      </w:r>
      <w:r>
        <w:rPr>
          <w:noProof/>
        </w:rPr>
        <w:t>364</w:t>
      </w:r>
    </w:p>
    <w:p w:rsidR="002002F4" w:rsidRDefault="002002F4" w:rsidP="00074DA4">
      <w:pPr>
        <w:spacing w:line="192" w:lineRule="auto"/>
        <w:ind w:firstLine="0"/>
        <w:rPr>
          <w:noProof/>
        </w:rPr>
      </w:pPr>
      <w:r>
        <w:rPr>
          <w:noProof/>
          <w:rtl/>
        </w:rPr>
        <w:t xml:space="preserve">الرجال الكبير، </w:t>
      </w:r>
      <w:r>
        <w:rPr>
          <w:noProof/>
        </w:rPr>
        <w:t>379</w:t>
      </w:r>
    </w:p>
    <w:p w:rsidR="002002F4" w:rsidRDefault="002002F4" w:rsidP="00074DA4">
      <w:pPr>
        <w:spacing w:line="192" w:lineRule="auto"/>
        <w:ind w:firstLine="0"/>
        <w:rPr>
          <w:noProof/>
        </w:rPr>
      </w:pPr>
      <w:r>
        <w:rPr>
          <w:noProof/>
          <w:rtl/>
        </w:rPr>
        <w:t xml:space="preserve">رجال النجاشي، </w:t>
      </w:r>
      <w:r>
        <w:rPr>
          <w:noProof/>
        </w:rPr>
        <w:t>346</w:t>
      </w:r>
      <w:r>
        <w:rPr>
          <w:noProof/>
          <w:rtl/>
        </w:rPr>
        <w:t xml:space="preserve">، </w:t>
      </w:r>
      <w:r>
        <w:rPr>
          <w:noProof/>
        </w:rPr>
        <w:t>347</w:t>
      </w:r>
      <w:r>
        <w:rPr>
          <w:noProof/>
          <w:rtl/>
        </w:rPr>
        <w:t xml:space="preserve">، </w:t>
      </w:r>
      <w:r>
        <w:rPr>
          <w:noProof/>
        </w:rPr>
        <w:t>364</w:t>
      </w:r>
      <w:r>
        <w:rPr>
          <w:noProof/>
          <w:rtl/>
        </w:rPr>
        <w:t xml:space="preserve">، </w:t>
      </w:r>
      <w:r>
        <w:rPr>
          <w:noProof/>
        </w:rPr>
        <w:t>382</w:t>
      </w:r>
    </w:p>
    <w:p w:rsidR="002002F4" w:rsidRDefault="002002F4" w:rsidP="00074DA4">
      <w:pPr>
        <w:spacing w:line="192" w:lineRule="auto"/>
        <w:ind w:firstLine="0"/>
        <w:rPr>
          <w:noProof/>
        </w:rPr>
      </w:pPr>
      <w:r>
        <w:rPr>
          <w:noProof/>
          <w:rtl/>
        </w:rPr>
        <w:t xml:space="preserve">ردّيه ميرزاي قمّي بر ميرزا عبد الوهّاب منشي الممالك، </w:t>
      </w:r>
      <w:r>
        <w:rPr>
          <w:noProof/>
        </w:rPr>
        <w:t>130</w:t>
      </w:r>
    </w:p>
    <w:p w:rsidR="002002F4" w:rsidRDefault="002002F4" w:rsidP="00074DA4">
      <w:pPr>
        <w:spacing w:line="192" w:lineRule="auto"/>
        <w:ind w:firstLine="0"/>
        <w:rPr>
          <w:noProof/>
        </w:rPr>
      </w:pPr>
      <w:r>
        <w:rPr>
          <w:noProof/>
          <w:rtl/>
        </w:rPr>
        <w:t xml:space="preserve">رسالة الإرشاد، </w:t>
      </w:r>
      <w:r>
        <w:rPr>
          <w:noProof/>
        </w:rPr>
        <w:t>199</w:t>
      </w:r>
    </w:p>
    <w:p w:rsidR="002002F4" w:rsidRDefault="002002F4" w:rsidP="00074DA4">
      <w:pPr>
        <w:spacing w:line="192" w:lineRule="auto"/>
        <w:ind w:firstLine="0"/>
        <w:rPr>
          <w:noProof/>
        </w:rPr>
      </w:pPr>
      <w:r>
        <w:rPr>
          <w:noProof/>
          <w:rtl/>
        </w:rPr>
        <w:t xml:space="preserve">رسالة التوحيد والنبوة والولاية، </w:t>
      </w:r>
      <w:r>
        <w:rPr>
          <w:noProof/>
        </w:rPr>
        <w:t>46</w:t>
      </w:r>
    </w:p>
    <w:p w:rsidR="002002F4" w:rsidRDefault="002002F4" w:rsidP="00074DA4">
      <w:pPr>
        <w:spacing w:line="192" w:lineRule="auto"/>
        <w:ind w:firstLine="0"/>
        <w:rPr>
          <w:noProof/>
        </w:rPr>
      </w:pPr>
      <w:r>
        <w:rPr>
          <w:noProof/>
          <w:rtl/>
        </w:rPr>
        <w:t xml:space="preserve">رسالة الحقّ والحكم، </w:t>
      </w:r>
      <w:r>
        <w:rPr>
          <w:noProof/>
        </w:rPr>
        <w:t>68</w:t>
      </w:r>
    </w:p>
    <w:p w:rsidR="002002F4" w:rsidRDefault="002002F4" w:rsidP="00074DA4">
      <w:pPr>
        <w:spacing w:line="192" w:lineRule="auto"/>
        <w:ind w:firstLine="0"/>
        <w:rPr>
          <w:noProof/>
        </w:rPr>
      </w:pPr>
      <w:r>
        <w:rPr>
          <w:noProof/>
          <w:rtl/>
        </w:rPr>
        <w:t xml:space="preserve">رسالة اللآلئ المربوطة في وجوب المشروطة، </w:t>
      </w:r>
      <w:r>
        <w:rPr>
          <w:noProof/>
        </w:rPr>
        <w:t>29</w:t>
      </w:r>
    </w:p>
    <w:p w:rsidR="002002F4" w:rsidRDefault="002002F4" w:rsidP="00074DA4">
      <w:pPr>
        <w:spacing w:line="192" w:lineRule="auto"/>
        <w:ind w:firstLine="0"/>
        <w:rPr>
          <w:noProof/>
        </w:rPr>
      </w:pPr>
      <w:r>
        <w:rPr>
          <w:noProof/>
          <w:rtl/>
        </w:rPr>
        <w:t xml:space="preserve">رسالة بيان حقيقة الولاية، </w:t>
      </w:r>
      <w:r>
        <w:rPr>
          <w:noProof/>
        </w:rPr>
        <w:t>50</w:t>
      </w:r>
    </w:p>
    <w:p w:rsidR="002002F4" w:rsidRDefault="002002F4" w:rsidP="00074DA4">
      <w:pPr>
        <w:spacing w:line="192" w:lineRule="auto"/>
        <w:ind w:firstLine="0"/>
        <w:rPr>
          <w:noProof/>
        </w:rPr>
      </w:pPr>
      <w:r>
        <w:rPr>
          <w:noProof/>
          <w:rtl/>
        </w:rPr>
        <w:t xml:space="preserve">رسالة صلاة الجمعة، </w:t>
      </w:r>
      <w:r>
        <w:rPr>
          <w:noProof/>
        </w:rPr>
        <w:t>128</w:t>
      </w:r>
    </w:p>
    <w:p w:rsidR="002002F4" w:rsidRDefault="002002F4" w:rsidP="00074DA4">
      <w:pPr>
        <w:spacing w:line="192" w:lineRule="auto"/>
        <w:ind w:firstLine="0"/>
        <w:rPr>
          <w:noProof/>
        </w:rPr>
      </w:pPr>
      <w:r>
        <w:rPr>
          <w:noProof/>
          <w:rtl/>
        </w:rPr>
        <w:t xml:space="preserve">رسالة في ولاية الحاكم الفقيه، </w:t>
      </w:r>
      <w:r>
        <w:rPr>
          <w:noProof/>
        </w:rPr>
        <w:t>313</w:t>
      </w:r>
      <w:r>
        <w:rPr>
          <w:noProof/>
          <w:rtl/>
        </w:rPr>
        <w:t xml:space="preserve">، </w:t>
      </w:r>
      <w:r>
        <w:rPr>
          <w:noProof/>
        </w:rPr>
        <w:t>336</w:t>
      </w:r>
      <w:r>
        <w:rPr>
          <w:noProof/>
          <w:rtl/>
        </w:rPr>
        <w:t xml:space="preserve">، </w:t>
      </w:r>
      <w:r>
        <w:rPr>
          <w:noProof/>
        </w:rPr>
        <w:t>339</w:t>
      </w:r>
    </w:p>
    <w:p w:rsidR="002002F4" w:rsidRDefault="002002F4" w:rsidP="00074DA4">
      <w:pPr>
        <w:spacing w:line="192" w:lineRule="auto"/>
        <w:ind w:firstLine="0"/>
        <w:rPr>
          <w:noProof/>
        </w:rPr>
      </w:pPr>
      <w:r>
        <w:rPr>
          <w:noProof/>
          <w:rtl/>
        </w:rPr>
        <w:t xml:space="preserve">رسالة قاعدة اللطف، </w:t>
      </w:r>
      <w:r>
        <w:rPr>
          <w:noProof/>
        </w:rPr>
        <w:t>427</w:t>
      </w:r>
      <w:r>
        <w:rPr>
          <w:noProof/>
          <w:rtl/>
        </w:rPr>
        <w:t xml:space="preserve">، </w:t>
      </w:r>
      <w:r>
        <w:rPr>
          <w:noProof/>
        </w:rPr>
        <w:t>429</w:t>
      </w:r>
    </w:p>
    <w:p w:rsidR="002002F4" w:rsidRDefault="002002F4" w:rsidP="00074DA4">
      <w:pPr>
        <w:spacing w:line="192" w:lineRule="auto"/>
        <w:ind w:firstLine="0"/>
        <w:rPr>
          <w:noProof/>
        </w:rPr>
      </w:pPr>
      <w:r>
        <w:rPr>
          <w:noProof/>
          <w:rtl/>
        </w:rPr>
        <w:t xml:space="preserve">رسالة من الإمام الموسوي كاشف الغطاء، </w:t>
      </w:r>
      <w:r>
        <w:rPr>
          <w:noProof/>
        </w:rPr>
        <w:t>205</w:t>
      </w:r>
    </w:p>
    <w:p w:rsidR="002002F4" w:rsidRDefault="002002F4" w:rsidP="00074DA4">
      <w:pPr>
        <w:spacing w:line="192" w:lineRule="auto"/>
        <w:ind w:firstLine="0"/>
        <w:rPr>
          <w:noProof/>
        </w:rPr>
      </w:pPr>
      <w:r>
        <w:rPr>
          <w:noProof/>
          <w:rtl/>
        </w:rPr>
        <w:t xml:space="preserve">رسالة ولاية الحاكم الفقيه، </w:t>
      </w:r>
      <w:r>
        <w:rPr>
          <w:noProof/>
        </w:rPr>
        <w:t>416</w:t>
      </w:r>
    </w:p>
    <w:p w:rsidR="002002F4" w:rsidRDefault="002002F4" w:rsidP="00074DA4">
      <w:pPr>
        <w:spacing w:line="192" w:lineRule="auto"/>
        <w:ind w:firstLine="0"/>
        <w:rPr>
          <w:noProof/>
        </w:rPr>
      </w:pPr>
      <w:r>
        <w:rPr>
          <w:noProof/>
          <w:rtl/>
        </w:rPr>
        <w:t>رسائل إعلامية، مكتوبات</w:t>
      </w:r>
      <w:r>
        <w:rPr>
          <w:noProof/>
        </w:rPr>
        <w:t>...</w:t>
      </w:r>
      <w:r>
        <w:rPr>
          <w:noProof/>
          <w:rtl/>
        </w:rPr>
        <w:t xml:space="preserve">، </w:t>
      </w:r>
      <w:r>
        <w:rPr>
          <w:noProof/>
        </w:rPr>
        <w:t>199</w:t>
      </w:r>
    </w:p>
    <w:p w:rsidR="002002F4" w:rsidRDefault="002002F4" w:rsidP="00074DA4">
      <w:pPr>
        <w:spacing w:line="192" w:lineRule="auto"/>
        <w:ind w:firstLine="0"/>
        <w:rPr>
          <w:noProof/>
        </w:rPr>
      </w:pPr>
      <w:r>
        <w:rPr>
          <w:noProof/>
          <w:rtl/>
        </w:rPr>
        <w:t xml:space="preserve">الرسائل العشر، </w:t>
      </w:r>
      <w:r>
        <w:rPr>
          <w:noProof/>
        </w:rPr>
        <w:t>316</w:t>
      </w:r>
      <w:r>
        <w:rPr>
          <w:noProof/>
          <w:rtl/>
        </w:rPr>
        <w:t xml:space="preserve">، </w:t>
      </w:r>
      <w:r>
        <w:rPr>
          <w:noProof/>
        </w:rPr>
        <w:t>328</w:t>
      </w:r>
    </w:p>
    <w:p w:rsidR="002002F4" w:rsidRDefault="002002F4" w:rsidP="00074DA4">
      <w:pPr>
        <w:spacing w:line="192" w:lineRule="auto"/>
        <w:ind w:firstLine="0"/>
        <w:rPr>
          <w:noProof/>
        </w:rPr>
      </w:pPr>
      <w:r>
        <w:rPr>
          <w:noProof/>
          <w:rtl/>
        </w:rPr>
        <w:t>رسائل القيصري (حاشية الفصوص لقمشه</w:t>
      </w:r>
      <w:r>
        <w:rPr>
          <w:rFonts w:ascii="Times New Roman" w:hAnsi="Times New Roman" w:cs="Times New Roman" w:hint="cs"/>
          <w:noProof/>
          <w:rtl/>
        </w:rPr>
        <w:t>‌</w:t>
      </w:r>
      <w:r>
        <w:rPr>
          <w:rFonts w:ascii="Mosawi" w:hAnsi="Mosawi" w:hint="cs"/>
          <w:noProof/>
          <w:rtl/>
        </w:rPr>
        <w:t>إي</w:t>
      </w:r>
      <w:r>
        <w:rPr>
          <w:noProof/>
          <w:rtl/>
        </w:rPr>
        <w:t xml:space="preserve">) </w:t>
      </w:r>
      <w:r>
        <w:rPr>
          <w:rFonts w:ascii="Mosawi" w:hAnsi="Mosawi" w:hint="cs"/>
          <w:noProof/>
          <w:rtl/>
        </w:rPr>
        <w:t>،</w:t>
      </w:r>
      <w:r>
        <w:rPr>
          <w:noProof/>
          <w:rtl/>
        </w:rPr>
        <w:t xml:space="preserve"> </w:t>
      </w:r>
      <w:r>
        <w:rPr>
          <w:noProof/>
        </w:rPr>
        <w:t>45</w:t>
      </w:r>
      <w:r>
        <w:rPr>
          <w:noProof/>
          <w:rtl/>
        </w:rPr>
        <w:t xml:space="preserve">، </w:t>
      </w:r>
      <w:r>
        <w:rPr>
          <w:noProof/>
        </w:rPr>
        <w:t>46</w:t>
      </w:r>
      <w:r>
        <w:rPr>
          <w:noProof/>
          <w:rtl/>
        </w:rPr>
        <w:t xml:space="preserve">، </w:t>
      </w:r>
      <w:r>
        <w:rPr>
          <w:noProof/>
        </w:rPr>
        <w:t>47</w:t>
      </w:r>
      <w:r>
        <w:rPr>
          <w:noProof/>
          <w:rtl/>
        </w:rPr>
        <w:t xml:space="preserve">، </w:t>
      </w:r>
      <w:r>
        <w:rPr>
          <w:noProof/>
        </w:rPr>
        <w:t>48</w:t>
      </w:r>
      <w:r>
        <w:rPr>
          <w:noProof/>
          <w:rtl/>
        </w:rPr>
        <w:t xml:space="preserve">،  </w:t>
      </w:r>
      <w:r>
        <w:rPr>
          <w:noProof/>
        </w:rPr>
        <w:t>50</w:t>
      </w:r>
      <w:r>
        <w:rPr>
          <w:noProof/>
          <w:rtl/>
        </w:rPr>
        <w:t xml:space="preserve">، </w:t>
      </w:r>
      <w:r>
        <w:rPr>
          <w:noProof/>
        </w:rPr>
        <w:t>51</w:t>
      </w:r>
      <w:r>
        <w:rPr>
          <w:noProof/>
          <w:rtl/>
        </w:rPr>
        <w:t xml:space="preserve">، </w:t>
      </w:r>
      <w:r>
        <w:rPr>
          <w:noProof/>
        </w:rPr>
        <w:t>53</w:t>
      </w:r>
    </w:p>
    <w:p w:rsidR="002002F4" w:rsidRDefault="002002F4" w:rsidP="00074DA4">
      <w:pPr>
        <w:spacing w:line="192" w:lineRule="auto"/>
        <w:ind w:firstLine="0"/>
        <w:rPr>
          <w:noProof/>
        </w:rPr>
      </w:pPr>
      <w:r>
        <w:rPr>
          <w:noProof/>
          <w:rtl/>
        </w:rPr>
        <w:t xml:space="preserve">رسائل المحقّق الكركي، </w:t>
      </w:r>
      <w:r>
        <w:rPr>
          <w:noProof/>
        </w:rPr>
        <w:t>345</w:t>
      </w:r>
      <w:r>
        <w:rPr>
          <w:noProof/>
          <w:rtl/>
        </w:rPr>
        <w:t xml:space="preserve">، </w:t>
      </w:r>
      <w:r>
        <w:rPr>
          <w:noProof/>
        </w:rPr>
        <w:t>415</w:t>
      </w:r>
    </w:p>
    <w:p w:rsidR="002002F4" w:rsidRDefault="002002F4" w:rsidP="00074DA4">
      <w:pPr>
        <w:spacing w:line="192" w:lineRule="auto"/>
        <w:ind w:firstLine="0"/>
        <w:rPr>
          <w:noProof/>
        </w:rPr>
      </w:pPr>
      <w:r>
        <w:rPr>
          <w:noProof/>
          <w:rtl/>
        </w:rPr>
        <w:t xml:space="preserve">الرسائل، </w:t>
      </w:r>
      <w:r>
        <w:rPr>
          <w:noProof/>
        </w:rPr>
        <w:t>68</w:t>
      </w:r>
      <w:r>
        <w:rPr>
          <w:noProof/>
          <w:rtl/>
        </w:rPr>
        <w:t xml:space="preserve">، </w:t>
      </w:r>
      <w:r>
        <w:rPr>
          <w:noProof/>
        </w:rPr>
        <w:t>173</w:t>
      </w:r>
      <w:r>
        <w:rPr>
          <w:noProof/>
          <w:rtl/>
        </w:rPr>
        <w:t xml:space="preserve">، </w:t>
      </w:r>
      <w:r>
        <w:rPr>
          <w:noProof/>
        </w:rPr>
        <w:t>204</w:t>
      </w:r>
      <w:r>
        <w:rPr>
          <w:noProof/>
          <w:rtl/>
        </w:rPr>
        <w:t xml:space="preserve">، </w:t>
      </w:r>
      <w:r>
        <w:rPr>
          <w:noProof/>
        </w:rPr>
        <w:t>292</w:t>
      </w:r>
    </w:p>
    <w:p w:rsidR="002002F4" w:rsidRDefault="002002F4" w:rsidP="00074DA4">
      <w:pPr>
        <w:spacing w:line="192" w:lineRule="auto"/>
        <w:ind w:firstLine="0"/>
        <w:rPr>
          <w:noProof/>
        </w:rPr>
      </w:pPr>
      <w:r>
        <w:rPr>
          <w:noProof/>
          <w:rtl/>
        </w:rPr>
        <w:t xml:space="preserve">رسائل، إعلاميه ها، مكتوبات وروزنامه شيخ شهيد فضل الله نوري، </w:t>
      </w:r>
      <w:r>
        <w:rPr>
          <w:noProof/>
        </w:rPr>
        <w:t>128</w:t>
      </w:r>
    </w:p>
    <w:p w:rsidR="002002F4" w:rsidRDefault="002002F4" w:rsidP="00074DA4">
      <w:pPr>
        <w:spacing w:line="192" w:lineRule="auto"/>
        <w:ind w:firstLine="0"/>
        <w:rPr>
          <w:noProof/>
        </w:rPr>
      </w:pPr>
      <w:r>
        <w:rPr>
          <w:noProof/>
          <w:rtl/>
        </w:rPr>
        <w:t xml:space="preserve">الروضة البهية في شرح اللمعة الدمشقية، </w:t>
      </w:r>
      <w:r>
        <w:rPr>
          <w:noProof/>
        </w:rPr>
        <w:t>428</w:t>
      </w:r>
    </w:p>
    <w:p w:rsidR="002002F4" w:rsidRDefault="002002F4" w:rsidP="00074DA4">
      <w:pPr>
        <w:spacing w:line="192" w:lineRule="auto"/>
        <w:ind w:firstLine="0"/>
        <w:rPr>
          <w:noProof/>
        </w:rPr>
      </w:pPr>
      <w:r>
        <w:rPr>
          <w:noProof/>
          <w:rtl/>
        </w:rPr>
        <w:t xml:space="preserve">الروضة من الكافي، </w:t>
      </w:r>
      <w:r>
        <w:rPr>
          <w:noProof/>
        </w:rPr>
        <w:t>115</w:t>
      </w:r>
    </w:p>
    <w:p w:rsidR="002002F4" w:rsidRDefault="002002F4" w:rsidP="00074DA4">
      <w:pPr>
        <w:spacing w:line="192" w:lineRule="auto"/>
        <w:ind w:firstLine="0"/>
        <w:rPr>
          <w:noProof/>
        </w:rPr>
      </w:pPr>
      <w:r>
        <w:rPr>
          <w:noProof/>
          <w:rtl/>
        </w:rPr>
        <w:t xml:space="preserve">رياض المسائل، </w:t>
      </w:r>
      <w:r>
        <w:rPr>
          <w:noProof/>
        </w:rPr>
        <w:t>295</w:t>
      </w:r>
      <w:r>
        <w:rPr>
          <w:noProof/>
          <w:rtl/>
        </w:rPr>
        <w:t xml:space="preserve">، </w:t>
      </w:r>
      <w:r>
        <w:rPr>
          <w:noProof/>
        </w:rPr>
        <w:t>415</w:t>
      </w:r>
    </w:p>
    <w:p w:rsidR="002002F4" w:rsidRDefault="002002F4" w:rsidP="00074DA4">
      <w:pPr>
        <w:spacing w:line="192" w:lineRule="auto"/>
        <w:ind w:firstLine="0"/>
        <w:rPr>
          <w:noProof/>
        </w:rPr>
      </w:pPr>
      <w:r>
        <w:rPr>
          <w:noProof/>
          <w:rtl/>
        </w:rPr>
        <w:t xml:space="preserve">سرمايه إيمان، </w:t>
      </w:r>
      <w:r>
        <w:rPr>
          <w:noProof/>
        </w:rPr>
        <w:t>427</w:t>
      </w:r>
    </w:p>
    <w:p w:rsidR="002002F4" w:rsidRDefault="002002F4" w:rsidP="00074DA4">
      <w:pPr>
        <w:spacing w:line="192" w:lineRule="auto"/>
        <w:ind w:firstLine="0"/>
        <w:rPr>
          <w:noProof/>
        </w:rPr>
      </w:pPr>
      <w:r>
        <w:rPr>
          <w:noProof/>
          <w:rtl/>
        </w:rPr>
        <w:t xml:space="preserve">سنن ابن ماجة، </w:t>
      </w:r>
      <w:r>
        <w:rPr>
          <w:noProof/>
        </w:rPr>
        <w:t>298</w:t>
      </w:r>
      <w:r>
        <w:rPr>
          <w:noProof/>
          <w:rtl/>
        </w:rPr>
        <w:t xml:space="preserve">، </w:t>
      </w:r>
      <w:r>
        <w:rPr>
          <w:noProof/>
        </w:rPr>
        <w:t>319</w:t>
      </w:r>
    </w:p>
    <w:p w:rsidR="002002F4" w:rsidRDefault="002002F4" w:rsidP="00074DA4">
      <w:pPr>
        <w:spacing w:line="192" w:lineRule="auto"/>
        <w:ind w:firstLine="0"/>
        <w:rPr>
          <w:noProof/>
        </w:rPr>
      </w:pPr>
      <w:r>
        <w:rPr>
          <w:noProof/>
          <w:rtl/>
        </w:rPr>
        <w:t xml:space="preserve">سنن أبي داوود، </w:t>
      </w:r>
      <w:r>
        <w:rPr>
          <w:noProof/>
        </w:rPr>
        <w:t>297</w:t>
      </w:r>
      <w:r>
        <w:rPr>
          <w:noProof/>
          <w:rtl/>
        </w:rPr>
        <w:t xml:space="preserve">، </w:t>
      </w:r>
      <w:r>
        <w:rPr>
          <w:noProof/>
        </w:rPr>
        <w:t>319</w:t>
      </w:r>
    </w:p>
    <w:p w:rsidR="002002F4" w:rsidRDefault="002002F4" w:rsidP="00074DA4">
      <w:pPr>
        <w:spacing w:line="192" w:lineRule="auto"/>
        <w:ind w:firstLine="0"/>
        <w:rPr>
          <w:noProof/>
        </w:rPr>
      </w:pPr>
      <w:r>
        <w:rPr>
          <w:noProof/>
          <w:rtl/>
        </w:rPr>
        <w:t xml:space="preserve">سنن البيهقي </w:t>
      </w:r>
      <w:r>
        <w:rPr>
          <w:noProof/>
        </w:rPr>
        <w:t>=</w:t>
      </w:r>
      <w:r>
        <w:rPr>
          <w:noProof/>
          <w:rtl/>
        </w:rPr>
        <w:t xml:space="preserve"> </w:t>
      </w:r>
      <w:r>
        <w:rPr>
          <w:rFonts w:hint="cs"/>
          <w:noProof/>
          <w:rtl/>
        </w:rPr>
        <w:t>سنن الكبري</w:t>
      </w:r>
    </w:p>
    <w:p w:rsidR="002002F4" w:rsidRDefault="002002F4" w:rsidP="00074DA4">
      <w:pPr>
        <w:spacing w:line="192" w:lineRule="auto"/>
        <w:ind w:firstLine="0"/>
        <w:rPr>
          <w:noProof/>
        </w:rPr>
      </w:pPr>
      <w:r>
        <w:rPr>
          <w:noProof/>
          <w:rtl/>
        </w:rPr>
        <w:t xml:space="preserve">سنن الترمذي، </w:t>
      </w:r>
      <w:r>
        <w:rPr>
          <w:noProof/>
        </w:rPr>
        <w:t>297</w:t>
      </w:r>
    </w:p>
    <w:p w:rsidR="002002F4" w:rsidRDefault="002002F4" w:rsidP="00074DA4">
      <w:pPr>
        <w:spacing w:line="192" w:lineRule="auto"/>
        <w:ind w:firstLine="0"/>
        <w:rPr>
          <w:noProof/>
        </w:rPr>
      </w:pPr>
      <w:r>
        <w:rPr>
          <w:noProof/>
          <w:rtl/>
        </w:rPr>
        <w:t xml:space="preserve">سنن الكبري، </w:t>
      </w:r>
      <w:r>
        <w:rPr>
          <w:noProof/>
        </w:rPr>
        <w:t>117</w:t>
      </w:r>
      <w:r>
        <w:rPr>
          <w:noProof/>
          <w:rtl/>
        </w:rPr>
        <w:t xml:space="preserve">، </w:t>
      </w:r>
      <w:r>
        <w:rPr>
          <w:noProof/>
        </w:rPr>
        <w:t>298</w:t>
      </w:r>
    </w:p>
    <w:p w:rsidR="002002F4" w:rsidRDefault="002002F4" w:rsidP="00074DA4">
      <w:pPr>
        <w:spacing w:line="192" w:lineRule="auto"/>
        <w:ind w:firstLine="0"/>
        <w:rPr>
          <w:noProof/>
        </w:rPr>
      </w:pPr>
      <w:r>
        <w:rPr>
          <w:noProof/>
          <w:rtl/>
        </w:rPr>
        <w:t xml:space="preserve">سنن النسائي، </w:t>
      </w:r>
      <w:r>
        <w:rPr>
          <w:noProof/>
        </w:rPr>
        <w:t>95</w:t>
      </w:r>
    </w:p>
    <w:p w:rsidR="002002F4" w:rsidRDefault="002002F4" w:rsidP="00074DA4">
      <w:pPr>
        <w:spacing w:line="192" w:lineRule="auto"/>
        <w:ind w:firstLine="0"/>
        <w:rPr>
          <w:noProof/>
        </w:rPr>
      </w:pPr>
      <w:r>
        <w:rPr>
          <w:noProof/>
          <w:rtl/>
        </w:rPr>
        <w:t xml:space="preserve">سير فلسفة در جهان إسلام، </w:t>
      </w:r>
      <w:r>
        <w:rPr>
          <w:noProof/>
        </w:rPr>
        <w:t>328</w:t>
      </w:r>
    </w:p>
    <w:p w:rsidR="002002F4" w:rsidRDefault="002002F4" w:rsidP="00074DA4">
      <w:pPr>
        <w:spacing w:line="192" w:lineRule="auto"/>
        <w:ind w:firstLine="0"/>
        <w:rPr>
          <w:noProof/>
        </w:rPr>
      </w:pPr>
      <w:r>
        <w:rPr>
          <w:noProof/>
          <w:rtl/>
        </w:rPr>
        <w:t xml:space="preserve">سيري در نهج البلاغة، </w:t>
      </w:r>
      <w:r>
        <w:rPr>
          <w:noProof/>
        </w:rPr>
        <w:t>252</w:t>
      </w:r>
    </w:p>
    <w:p w:rsidR="002002F4" w:rsidRDefault="002002F4" w:rsidP="00074DA4">
      <w:pPr>
        <w:spacing w:line="192" w:lineRule="auto"/>
        <w:ind w:firstLine="0"/>
        <w:rPr>
          <w:noProof/>
        </w:rPr>
      </w:pPr>
      <w:r>
        <w:rPr>
          <w:noProof/>
          <w:rtl/>
        </w:rPr>
        <w:t xml:space="preserve">الشافي في الإمامة، </w:t>
      </w:r>
      <w:r>
        <w:rPr>
          <w:noProof/>
        </w:rPr>
        <w:t>58</w:t>
      </w:r>
      <w:r>
        <w:rPr>
          <w:noProof/>
          <w:rtl/>
        </w:rPr>
        <w:t xml:space="preserve">، </w:t>
      </w:r>
      <w:r>
        <w:rPr>
          <w:noProof/>
        </w:rPr>
        <w:t>137</w:t>
      </w:r>
    </w:p>
    <w:p w:rsidR="002002F4" w:rsidRDefault="002002F4" w:rsidP="00074DA4">
      <w:pPr>
        <w:spacing w:line="192" w:lineRule="auto"/>
        <w:ind w:firstLine="0"/>
        <w:rPr>
          <w:noProof/>
        </w:rPr>
      </w:pPr>
      <w:r>
        <w:rPr>
          <w:noProof/>
          <w:rtl/>
        </w:rPr>
        <w:t xml:space="preserve">شرائع الإسلام، </w:t>
      </w:r>
      <w:r>
        <w:rPr>
          <w:noProof/>
        </w:rPr>
        <w:t>67</w:t>
      </w:r>
      <w:r>
        <w:rPr>
          <w:noProof/>
          <w:rtl/>
        </w:rPr>
        <w:t xml:space="preserve">، </w:t>
      </w:r>
      <w:r>
        <w:rPr>
          <w:noProof/>
        </w:rPr>
        <w:t>119</w:t>
      </w:r>
      <w:r>
        <w:rPr>
          <w:noProof/>
          <w:rtl/>
        </w:rPr>
        <w:t xml:space="preserve">، </w:t>
      </w:r>
      <w:r>
        <w:rPr>
          <w:noProof/>
        </w:rPr>
        <w:t>126</w:t>
      </w:r>
      <w:r>
        <w:rPr>
          <w:noProof/>
          <w:rtl/>
        </w:rPr>
        <w:t xml:space="preserve">، </w:t>
      </w:r>
      <w:r>
        <w:rPr>
          <w:noProof/>
        </w:rPr>
        <w:t>277</w:t>
      </w:r>
    </w:p>
    <w:p w:rsidR="002002F4" w:rsidRDefault="002002F4" w:rsidP="00074DA4">
      <w:pPr>
        <w:spacing w:line="192" w:lineRule="auto"/>
        <w:ind w:firstLine="0"/>
        <w:rPr>
          <w:noProof/>
        </w:rPr>
      </w:pPr>
      <w:r>
        <w:rPr>
          <w:noProof/>
          <w:rtl/>
        </w:rPr>
        <w:t xml:space="preserve">شرح التبصرة، </w:t>
      </w:r>
      <w:r>
        <w:rPr>
          <w:noProof/>
        </w:rPr>
        <w:t>310</w:t>
      </w:r>
      <w:r>
        <w:rPr>
          <w:noProof/>
          <w:rtl/>
        </w:rPr>
        <w:t xml:space="preserve">، </w:t>
      </w:r>
      <w:r>
        <w:rPr>
          <w:noProof/>
        </w:rPr>
        <w:t>382</w:t>
      </w:r>
    </w:p>
    <w:p w:rsidR="002002F4" w:rsidRDefault="002002F4" w:rsidP="00074DA4">
      <w:pPr>
        <w:spacing w:line="192" w:lineRule="auto"/>
        <w:ind w:firstLine="0"/>
        <w:rPr>
          <w:noProof/>
        </w:rPr>
      </w:pPr>
      <w:r>
        <w:rPr>
          <w:noProof/>
          <w:rtl/>
        </w:rPr>
        <w:t xml:space="preserve">شرح الكافي، </w:t>
      </w:r>
      <w:r>
        <w:rPr>
          <w:noProof/>
        </w:rPr>
        <w:t>114</w:t>
      </w:r>
    </w:p>
    <w:p w:rsidR="002002F4" w:rsidRDefault="002002F4" w:rsidP="00074DA4">
      <w:pPr>
        <w:spacing w:line="192" w:lineRule="auto"/>
        <w:ind w:firstLine="0"/>
        <w:rPr>
          <w:noProof/>
        </w:rPr>
      </w:pPr>
      <w:r>
        <w:rPr>
          <w:noProof/>
          <w:rtl/>
        </w:rPr>
        <w:t xml:space="preserve">شرح تبصرة المتعلمين، </w:t>
      </w:r>
      <w:r>
        <w:rPr>
          <w:noProof/>
        </w:rPr>
        <w:t>330</w:t>
      </w:r>
    </w:p>
    <w:p w:rsidR="002002F4" w:rsidRDefault="002002F4" w:rsidP="00074DA4">
      <w:pPr>
        <w:spacing w:line="192" w:lineRule="auto"/>
        <w:ind w:firstLine="0"/>
        <w:rPr>
          <w:noProof/>
        </w:rPr>
      </w:pPr>
      <w:r>
        <w:rPr>
          <w:noProof/>
          <w:rtl/>
        </w:rPr>
        <w:t xml:space="preserve">شرح فصوص الحكم، </w:t>
      </w:r>
      <w:r>
        <w:rPr>
          <w:noProof/>
        </w:rPr>
        <w:t>45</w:t>
      </w:r>
      <w:r>
        <w:rPr>
          <w:noProof/>
          <w:rtl/>
        </w:rPr>
        <w:t xml:space="preserve">، </w:t>
      </w:r>
      <w:r>
        <w:rPr>
          <w:noProof/>
        </w:rPr>
        <w:t>46</w:t>
      </w:r>
      <w:r>
        <w:rPr>
          <w:noProof/>
          <w:rtl/>
        </w:rPr>
        <w:t xml:space="preserve">، </w:t>
      </w:r>
      <w:r>
        <w:rPr>
          <w:noProof/>
        </w:rPr>
        <w:t>47</w:t>
      </w:r>
      <w:r>
        <w:rPr>
          <w:noProof/>
          <w:rtl/>
        </w:rPr>
        <w:t xml:space="preserve">، </w:t>
      </w:r>
      <w:r>
        <w:rPr>
          <w:noProof/>
        </w:rPr>
        <w:t>48</w:t>
      </w:r>
      <w:r>
        <w:rPr>
          <w:noProof/>
          <w:rtl/>
        </w:rPr>
        <w:t xml:space="preserve">، </w:t>
      </w:r>
      <w:r>
        <w:rPr>
          <w:noProof/>
        </w:rPr>
        <w:t>49</w:t>
      </w:r>
      <w:r>
        <w:rPr>
          <w:noProof/>
          <w:rtl/>
        </w:rPr>
        <w:t xml:space="preserve">، </w:t>
      </w:r>
      <w:r>
        <w:rPr>
          <w:noProof/>
        </w:rPr>
        <w:t>53</w:t>
      </w:r>
    </w:p>
    <w:p w:rsidR="002002F4" w:rsidRDefault="002002F4" w:rsidP="00074DA4">
      <w:pPr>
        <w:spacing w:line="192" w:lineRule="auto"/>
        <w:ind w:firstLine="0"/>
        <w:rPr>
          <w:noProof/>
        </w:rPr>
      </w:pPr>
      <w:r>
        <w:rPr>
          <w:noProof/>
          <w:rtl/>
        </w:rPr>
        <w:t xml:space="preserve">شرح مقدمة الفصوص، </w:t>
      </w:r>
      <w:r>
        <w:rPr>
          <w:noProof/>
        </w:rPr>
        <w:t>46</w:t>
      </w:r>
      <w:r>
        <w:rPr>
          <w:noProof/>
          <w:rtl/>
        </w:rPr>
        <w:t xml:space="preserve">، </w:t>
      </w:r>
      <w:r>
        <w:rPr>
          <w:noProof/>
        </w:rPr>
        <w:t>47</w:t>
      </w:r>
      <w:r>
        <w:rPr>
          <w:noProof/>
          <w:rtl/>
        </w:rPr>
        <w:t xml:space="preserve">، </w:t>
      </w:r>
      <w:r>
        <w:rPr>
          <w:noProof/>
        </w:rPr>
        <w:t>48</w:t>
      </w:r>
      <w:r>
        <w:rPr>
          <w:noProof/>
          <w:rtl/>
        </w:rPr>
        <w:t xml:space="preserve">، </w:t>
      </w:r>
      <w:r>
        <w:rPr>
          <w:noProof/>
        </w:rPr>
        <w:t>50</w:t>
      </w:r>
      <w:r>
        <w:rPr>
          <w:noProof/>
          <w:rtl/>
        </w:rPr>
        <w:t xml:space="preserve">، </w:t>
      </w:r>
      <w:r>
        <w:rPr>
          <w:noProof/>
        </w:rPr>
        <w:t>51</w:t>
      </w:r>
    </w:p>
    <w:p w:rsidR="002002F4" w:rsidRDefault="002002F4" w:rsidP="00074DA4">
      <w:pPr>
        <w:spacing w:line="192" w:lineRule="auto"/>
        <w:ind w:firstLine="0"/>
        <w:rPr>
          <w:noProof/>
        </w:rPr>
      </w:pPr>
      <w:r>
        <w:rPr>
          <w:noProof/>
          <w:rtl/>
        </w:rPr>
        <w:t xml:space="preserve">شرح منازل السائرين، </w:t>
      </w:r>
      <w:r>
        <w:rPr>
          <w:noProof/>
        </w:rPr>
        <w:t>46</w:t>
      </w:r>
    </w:p>
    <w:p w:rsidR="002002F4" w:rsidRDefault="002002F4" w:rsidP="00074DA4">
      <w:pPr>
        <w:spacing w:line="192" w:lineRule="auto"/>
        <w:ind w:firstLine="0"/>
        <w:rPr>
          <w:noProof/>
        </w:rPr>
      </w:pPr>
      <w:r>
        <w:rPr>
          <w:noProof/>
          <w:rtl/>
        </w:rPr>
        <w:t xml:space="preserve">شرف أصحاب الحديث، </w:t>
      </w:r>
      <w:r>
        <w:rPr>
          <w:noProof/>
        </w:rPr>
        <w:t>303</w:t>
      </w:r>
    </w:p>
    <w:p w:rsidR="002002F4" w:rsidRDefault="002002F4" w:rsidP="00074DA4">
      <w:pPr>
        <w:spacing w:line="192" w:lineRule="auto"/>
        <w:ind w:firstLine="0"/>
        <w:rPr>
          <w:noProof/>
        </w:rPr>
      </w:pPr>
      <w:r>
        <w:rPr>
          <w:noProof/>
          <w:rtl/>
        </w:rPr>
        <w:t xml:space="preserve">شما (مجلة)، </w:t>
      </w:r>
      <w:r>
        <w:rPr>
          <w:noProof/>
        </w:rPr>
        <w:t>257</w:t>
      </w:r>
    </w:p>
    <w:p w:rsidR="002002F4" w:rsidRDefault="002002F4" w:rsidP="00074DA4">
      <w:pPr>
        <w:spacing w:line="192" w:lineRule="auto"/>
        <w:ind w:firstLine="0"/>
        <w:rPr>
          <w:noProof/>
        </w:rPr>
      </w:pPr>
      <w:r>
        <w:rPr>
          <w:noProof/>
          <w:rtl/>
        </w:rPr>
        <w:t xml:space="preserve">صحاح اللغة، </w:t>
      </w:r>
      <w:r>
        <w:rPr>
          <w:noProof/>
        </w:rPr>
        <w:t>40</w:t>
      </w:r>
    </w:p>
    <w:p w:rsidR="002002F4" w:rsidRDefault="002002F4" w:rsidP="00074DA4">
      <w:pPr>
        <w:spacing w:line="192" w:lineRule="auto"/>
        <w:ind w:firstLine="0"/>
        <w:rPr>
          <w:noProof/>
        </w:rPr>
      </w:pPr>
      <w:r>
        <w:rPr>
          <w:noProof/>
          <w:rtl/>
        </w:rPr>
        <w:t xml:space="preserve">صحيفة الإمام الرضا، </w:t>
      </w:r>
      <w:r>
        <w:rPr>
          <w:noProof/>
        </w:rPr>
        <w:t>303</w:t>
      </w:r>
    </w:p>
    <w:p w:rsidR="002002F4" w:rsidRDefault="002002F4" w:rsidP="00074DA4">
      <w:pPr>
        <w:spacing w:line="192" w:lineRule="auto"/>
        <w:ind w:firstLine="0"/>
        <w:rPr>
          <w:noProof/>
        </w:rPr>
      </w:pPr>
      <w:r>
        <w:rPr>
          <w:noProof/>
          <w:rtl/>
        </w:rPr>
        <w:t xml:space="preserve">صحيفة نور، </w:t>
      </w:r>
      <w:r>
        <w:rPr>
          <w:noProof/>
        </w:rPr>
        <w:t>29</w:t>
      </w:r>
      <w:r>
        <w:rPr>
          <w:noProof/>
          <w:rtl/>
        </w:rPr>
        <w:t xml:space="preserve">، </w:t>
      </w:r>
      <w:r>
        <w:rPr>
          <w:noProof/>
        </w:rPr>
        <w:t>37</w:t>
      </w:r>
      <w:r>
        <w:rPr>
          <w:noProof/>
          <w:rtl/>
        </w:rPr>
        <w:t xml:space="preserve">، </w:t>
      </w:r>
      <w:r>
        <w:rPr>
          <w:noProof/>
        </w:rPr>
        <w:t>133</w:t>
      </w:r>
      <w:r>
        <w:rPr>
          <w:noProof/>
          <w:rtl/>
        </w:rPr>
        <w:t xml:space="preserve">، </w:t>
      </w:r>
      <w:r>
        <w:rPr>
          <w:noProof/>
        </w:rPr>
        <w:t>142</w:t>
      </w:r>
      <w:r>
        <w:rPr>
          <w:noProof/>
          <w:rtl/>
        </w:rPr>
        <w:t xml:space="preserve">، </w:t>
      </w:r>
      <w:r>
        <w:rPr>
          <w:noProof/>
        </w:rPr>
        <w:t>156</w:t>
      </w:r>
      <w:r>
        <w:rPr>
          <w:noProof/>
          <w:rtl/>
        </w:rPr>
        <w:t xml:space="preserve">، </w:t>
      </w:r>
      <w:r>
        <w:rPr>
          <w:noProof/>
        </w:rPr>
        <w:t>201</w:t>
      </w:r>
      <w:r>
        <w:rPr>
          <w:noProof/>
          <w:rtl/>
        </w:rPr>
        <w:t xml:space="preserve">، </w:t>
      </w:r>
      <w:r>
        <w:rPr>
          <w:noProof/>
        </w:rPr>
        <w:t>202</w:t>
      </w:r>
      <w:r>
        <w:rPr>
          <w:noProof/>
          <w:rtl/>
        </w:rPr>
        <w:t xml:space="preserve">، </w:t>
      </w:r>
      <w:r>
        <w:rPr>
          <w:noProof/>
        </w:rPr>
        <w:t>207</w:t>
      </w:r>
      <w:r>
        <w:rPr>
          <w:noProof/>
          <w:rtl/>
        </w:rPr>
        <w:t xml:space="preserve">، </w:t>
      </w:r>
      <w:r>
        <w:rPr>
          <w:noProof/>
        </w:rPr>
        <w:t>209</w:t>
      </w:r>
      <w:r>
        <w:rPr>
          <w:noProof/>
          <w:rtl/>
        </w:rPr>
        <w:t xml:space="preserve">، </w:t>
      </w:r>
      <w:r>
        <w:rPr>
          <w:noProof/>
        </w:rPr>
        <w:t>210</w:t>
      </w:r>
      <w:r>
        <w:rPr>
          <w:noProof/>
          <w:rtl/>
        </w:rPr>
        <w:t xml:space="preserve">، </w:t>
      </w:r>
      <w:r>
        <w:rPr>
          <w:noProof/>
        </w:rPr>
        <w:t>212</w:t>
      </w:r>
      <w:r>
        <w:rPr>
          <w:noProof/>
          <w:rtl/>
        </w:rPr>
        <w:t xml:space="preserve">، </w:t>
      </w:r>
      <w:r>
        <w:rPr>
          <w:noProof/>
        </w:rPr>
        <w:t>217</w:t>
      </w:r>
      <w:r>
        <w:rPr>
          <w:noProof/>
          <w:rtl/>
        </w:rPr>
        <w:t xml:space="preserve">، </w:t>
      </w:r>
      <w:r>
        <w:rPr>
          <w:noProof/>
        </w:rPr>
        <w:t>222</w:t>
      </w:r>
      <w:r>
        <w:rPr>
          <w:noProof/>
          <w:rtl/>
        </w:rPr>
        <w:t xml:space="preserve">، </w:t>
      </w:r>
      <w:r>
        <w:rPr>
          <w:noProof/>
        </w:rPr>
        <w:t>227</w:t>
      </w:r>
      <w:r>
        <w:rPr>
          <w:noProof/>
          <w:rtl/>
        </w:rPr>
        <w:t xml:space="preserve">، </w:t>
      </w:r>
      <w:r>
        <w:rPr>
          <w:noProof/>
        </w:rPr>
        <w:t>228</w:t>
      </w:r>
      <w:r>
        <w:rPr>
          <w:noProof/>
          <w:rtl/>
        </w:rPr>
        <w:t xml:space="preserve">، </w:t>
      </w:r>
      <w:r>
        <w:rPr>
          <w:noProof/>
        </w:rPr>
        <w:t>236</w:t>
      </w:r>
      <w:r>
        <w:rPr>
          <w:noProof/>
          <w:rtl/>
        </w:rPr>
        <w:t xml:space="preserve">، </w:t>
      </w:r>
      <w:r>
        <w:rPr>
          <w:noProof/>
        </w:rPr>
        <w:t>241</w:t>
      </w:r>
      <w:r>
        <w:rPr>
          <w:noProof/>
          <w:rtl/>
        </w:rPr>
        <w:t xml:space="preserve">، </w:t>
      </w:r>
      <w:r>
        <w:rPr>
          <w:noProof/>
        </w:rPr>
        <w:t>242</w:t>
      </w:r>
      <w:r>
        <w:rPr>
          <w:noProof/>
          <w:rtl/>
        </w:rPr>
        <w:t xml:space="preserve">، </w:t>
      </w:r>
      <w:r>
        <w:rPr>
          <w:noProof/>
        </w:rPr>
        <w:t>243</w:t>
      </w:r>
      <w:r>
        <w:rPr>
          <w:noProof/>
          <w:rtl/>
        </w:rPr>
        <w:t xml:space="preserve">، </w:t>
      </w:r>
      <w:r>
        <w:rPr>
          <w:noProof/>
        </w:rPr>
        <w:t>245</w:t>
      </w:r>
      <w:r>
        <w:rPr>
          <w:noProof/>
          <w:rtl/>
        </w:rPr>
        <w:t xml:space="preserve">، </w:t>
      </w:r>
      <w:r>
        <w:rPr>
          <w:noProof/>
        </w:rPr>
        <w:t>268</w:t>
      </w:r>
    </w:p>
    <w:p w:rsidR="002002F4" w:rsidRDefault="002002F4" w:rsidP="00074DA4">
      <w:pPr>
        <w:spacing w:line="192" w:lineRule="auto"/>
        <w:ind w:firstLine="0"/>
        <w:rPr>
          <w:noProof/>
        </w:rPr>
      </w:pPr>
      <w:r>
        <w:rPr>
          <w:noProof/>
          <w:rtl/>
        </w:rPr>
        <w:t xml:space="preserve">صراط النجاة في أجوبة الاستفتاءات، </w:t>
      </w:r>
      <w:r>
        <w:rPr>
          <w:noProof/>
        </w:rPr>
        <w:t>287</w:t>
      </w:r>
    </w:p>
    <w:p w:rsidR="002002F4" w:rsidRDefault="002002F4" w:rsidP="00074DA4">
      <w:pPr>
        <w:spacing w:line="192" w:lineRule="auto"/>
        <w:ind w:firstLine="0"/>
        <w:rPr>
          <w:noProof/>
        </w:rPr>
      </w:pPr>
      <w:r>
        <w:rPr>
          <w:noProof/>
          <w:rtl/>
        </w:rPr>
        <w:t xml:space="preserve">صورت مشروح مذاكرات بازنگري قانون أساس جمهوري إسلامي إيران، </w:t>
      </w:r>
      <w:r>
        <w:rPr>
          <w:noProof/>
        </w:rPr>
        <w:t>145</w:t>
      </w:r>
    </w:p>
    <w:p w:rsidR="002002F4" w:rsidRDefault="002002F4" w:rsidP="00074DA4">
      <w:pPr>
        <w:spacing w:line="192" w:lineRule="auto"/>
        <w:ind w:firstLine="0"/>
        <w:rPr>
          <w:noProof/>
        </w:rPr>
      </w:pPr>
      <w:r>
        <w:rPr>
          <w:noProof/>
          <w:rtl/>
        </w:rPr>
        <w:t xml:space="preserve">صورت مشروح مذاكرات مجلس بررسي نهايي قانون أساسي، </w:t>
      </w:r>
      <w:r>
        <w:rPr>
          <w:noProof/>
        </w:rPr>
        <w:t>252</w:t>
      </w:r>
    </w:p>
    <w:p w:rsidR="002002F4" w:rsidRDefault="002002F4" w:rsidP="00074DA4">
      <w:pPr>
        <w:spacing w:line="192" w:lineRule="auto"/>
        <w:ind w:firstLine="0"/>
        <w:rPr>
          <w:noProof/>
        </w:rPr>
      </w:pPr>
      <w:r>
        <w:rPr>
          <w:noProof/>
          <w:rtl/>
        </w:rPr>
        <w:t xml:space="preserve">ضرورة وجود الحكومة أو ولاية الفقهاء في عصر الغيبة، </w:t>
      </w:r>
      <w:r>
        <w:rPr>
          <w:noProof/>
        </w:rPr>
        <w:t>377</w:t>
      </w:r>
      <w:r>
        <w:rPr>
          <w:noProof/>
          <w:rtl/>
        </w:rPr>
        <w:t xml:space="preserve">، </w:t>
      </w:r>
      <w:r>
        <w:rPr>
          <w:noProof/>
        </w:rPr>
        <w:t>434</w:t>
      </w:r>
    </w:p>
    <w:p w:rsidR="002002F4" w:rsidRDefault="002002F4" w:rsidP="00074DA4">
      <w:pPr>
        <w:spacing w:line="192" w:lineRule="auto"/>
        <w:ind w:firstLine="0"/>
        <w:rPr>
          <w:noProof/>
        </w:rPr>
      </w:pPr>
      <w:r>
        <w:rPr>
          <w:noProof/>
          <w:rtl/>
        </w:rPr>
        <w:t xml:space="preserve">ضرورة وجود الحكومة، </w:t>
      </w:r>
      <w:r>
        <w:rPr>
          <w:noProof/>
        </w:rPr>
        <w:t>379</w:t>
      </w:r>
    </w:p>
    <w:p w:rsidR="002002F4" w:rsidRDefault="002002F4" w:rsidP="00074DA4">
      <w:pPr>
        <w:spacing w:line="192" w:lineRule="auto"/>
        <w:ind w:firstLine="0"/>
        <w:rPr>
          <w:noProof/>
        </w:rPr>
      </w:pPr>
      <w:r>
        <w:rPr>
          <w:noProof/>
          <w:rtl/>
        </w:rPr>
        <w:t xml:space="preserve">عبقات الأنوار، </w:t>
      </w:r>
      <w:r>
        <w:rPr>
          <w:noProof/>
        </w:rPr>
        <w:t>113</w:t>
      </w:r>
    </w:p>
    <w:p w:rsidR="002002F4" w:rsidRDefault="002002F4" w:rsidP="00074DA4">
      <w:pPr>
        <w:spacing w:line="192" w:lineRule="auto"/>
        <w:ind w:firstLine="0"/>
        <w:rPr>
          <w:noProof/>
        </w:rPr>
      </w:pPr>
      <w:r>
        <w:rPr>
          <w:noProof/>
          <w:rtl/>
        </w:rPr>
        <w:t xml:space="preserve">عدّة الأصول، </w:t>
      </w:r>
      <w:r>
        <w:rPr>
          <w:noProof/>
        </w:rPr>
        <w:t>347</w:t>
      </w:r>
      <w:r>
        <w:rPr>
          <w:noProof/>
          <w:rtl/>
        </w:rPr>
        <w:t xml:space="preserve">، </w:t>
      </w:r>
      <w:r>
        <w:rPr>
          <w:noProof/>
        </w:rPr>
        <w:t>369</w:t>
      </w:r>
      <w:r>
        <w:rPr>
          <w:noProof/>
          <w:rtl/>
        </w:rPr>
        <w:t xml:space="preserve">، </w:t>
      </w:r>
      <w:r>
        <w:rPr>
          <w:noProof/>
        </w:rPr>
        <w:t>372</w:t>
      </w:r>
    </w:p>
    <w:p w:rsidR="002002F4" w:rsidRDefault="002002F4" w:rsidP="00074DA4">
      <w:pPr>
        <w:spacing w:line="192" w:lineRule="auto"/>
        <w:ind w:firstLine="0"/>
        <w:rPr>
          <w:noProof/>
        </w:rPr>
      </w:pPr>
      <w:r>
        <w:rPr>
          <w:noProof/>
          <w:rtl/>
        </w:rPr>
        <w:t xml:space="preserve">العروة الوثقى، </w:t>
      </w:r>
      <w:r>
        <w:rPr>
          <w:noProof/>
        </w:rPr>
        <w:t>74</w:t>
      </w:r>
      <w:r>
        <w:rPr>
          <w:noProof/>
          <w:rtl/>
        </w:rPr>
        <w:t xml:space="preserve">، </w:t>
      </w:r>
      <w:r>
        <w:rPr>
          <w:noProof/>
        </w:rPr>
        <w:t>75</w:t>
      </w:r>
      <w:r>
        <w:rPr>
          <w:noProof/>
          <w:rtl/>
        </w:rPr>
        <w:t xml:space="preserve">، </w:t>
      </w:r>
      <w:r>
        <w:rPr>
          <w:noProof/>
        </w:rPr>
        <w:t>76</w:t>
      </w:r>
      <w:r>
        <w:rPr>
          <w:noProof/>
          <w:rtl/>
        </w:rPr>
        <w:t xml:space="preserve">، </w:t>
      </w:r>
      <w:r>
        <w:rPr>
          <w:noProof/>
        </w:rPr>
        <w:t>78</w:t>
      </w:r>
      <w:r>
        <w:rPr>
          <w:noProof/>
          <w:rtl/>
        </w:rPr>
        <w:t xml:space="preserve">، </w:t>
      </w:r>
      <w:r>
        <w:rPr>
          <w:noProof/>
        </w:rPr>
        <w:t>275</w:t>
      </w:r>
      <w:r>
        <w:rPr>
          <w:noProof/>
          <w:rtl/>
        </w:rPr>
        <w:t xml:space="preserve">، </w:t>
      </w:r>
      <w:r>
        <w:rPr>
          <w:noProof/>
        </w:rPr>
        <w:t>276</w:t>
      </w:r>
    </w:p>
    <w:p w:rsidR="002002F4" w:rsidRDefault="002002F4" w:rsidP="00074DA4">
      <w:pPr>
        <w:spacing w:line="192" w:lineRule="auto"/>
        <w:ind w:firstLine="0"/>
        <w:rPr>
          <w:noProof/>
        </w:rPr>
      </w:pPr>
      <w:r>
        <w:rPr>
          <w:noProof/>
          <w:rtl/>
        </w:rPr>
        <w:t xml:space="preserve">العقائد الإمامية، </w:t>
      </w:r>
      <w:r>
        <w:rPr>
          <w:noProof/>
        </w:rPr>
        <w:t>64</w:t>
      </w:r>
      <w:r>
        <w:rPr>
          <w:noProof/>
          <w:rtl/>
        </w:rPr>
        <w:t xml:space="preserve">، </w:t>
      </w:r>
      <w:r>
        <w:rPr>
          <w:noProof/>
        </w:rPr>
        <w:t>427</w:t>
      </w:r>
    </w:p>
    <w:p w:rsidR="002002F4" w:rsidRDefault="002002F4" w:rsidP="00074DA4">
      <w:pPr>
        <w:spacing w:line="192" w:lineRule="auto"/>
        <w:ind w:firstLine="0"/>
        <w:rPr>
          <w:noProof/>
        </w:rPr>
      </w:pPr>
      <w:r>
        <w:rPr>
          <w:noProof/>
          <w:rtl/>
        </w:rPr>
        <w:t xml:space="preserve">علل الشرائع، </w:t>
      </w:r>
      <w:r>
        <w:rPr>
          <w:noProof/>
        </w:rPr>
        <w:t>314</w:t>
      </w:r>
    </w:p>
    <w:p w:rsidR="002002F4" w:rsidRDefault="002002F4" w:rsidP="00074DA4">
      <w:pPr>
        <w:spacing w:line="192" w:lineRule="auto"/>
        <w:ind w:firstLine="0"/>
        <w:rPr>
          <w:noProof/>
        </w:rPr>
      </w:pPr>
      <w:r>
        <w:rPr>
          <w:noProof/>
          <w:rtl/>
        </w:rPr>
        <w:t xml:space="preserve">علم اليقين، </w:t>
      </w:r>
      <w:r>
        <w:rPr>
          <w:noProof/>
        </w:rPr>
        <w:t>50</w:t>
      </w:r>
    </w:p>
    <w:p w:rsidR="002002F4" w:rsidRDefault="002002F4" w:rsidP="00074DA4">
      <w:pPr>
        <w:spacing w:line="192" w:lineRule="auto"/>
        <w:ind w:firstLine="0"/>
        <w:rPr>
          <w:noProof/>
        </w:rPr>
      </w:pPr>
      <w:r>
        <w:rPr>
          <w:noProof/>
          <w:rtl/>
        </w:rPr>
        <w:t xml:space="preserve">علي وفلسفه إلهي، </w:t>
      </w:r>
      <w:r>
        <w:rPr>
          <w:noProof/>
        </w:rPr>
        <w:t>61</w:t>
      </w:r>
    </w:p>
    <w:p w:rsidR="002002F4" w:rsidRDefault="002002F4" w:rsidP="00074DA4">
      <w:pPr>
        <w:spacing w:line="192" w:lineRule="auto"/>
        <w:ind w:firstLine="0"/>
        <w:rPr>
          <w:noProof/>
        </w:rPr>
      </w:pPr>
      <w:r>
        <w:rPr>
          <w:noProof/>
          <w:rtl/>
        </w:rPr>
        <w:t xml:space="preserve">العناوين، </w:t>
      </w:r>
      <w:r>
        <w:rPr>
          <w:noProof/>
        </w:rPr>
        <w:t>70</w:t>
      </w:r>
      <w:r>
        <w:rPr>
          <w:noProof/>
          <w:rtl/>
        </w:rPr>
        <w:t xml:space="preserve">، </w:t>
      </w:r>
      <w:r>
        <w:rPr>
          <w:noProof/>
        </w:rPr>
        <w:t>74</w:t>
      </w:r>
      <w:r>
        <w:rPr>
          <w:noProof/>
          <w:rtl/>
        </w:rPr>
        <w:t xml:space="preserve">، </w:t>
      </w:r>
      <w:r>
        <w:rPr>
          <w:noProof/>
        </w:rPr>
        <w:t>134</w:t>
      </w:r>
      <w:r>
        <w:rPr>
          <w:noProof/>
          <w:rtl/>
        </w:rPr>
        <w:t xml:space="preserve">، </w:t>
      </w:r>
      <w:r>
        <w:rPr>
          <w:noProof/>
        </w:rPr>
        <w:t>135</w:t>
      </w:r>
      <w:r>
        <w:rPr>
          <w:noProof/>
          <w:rtl/>
        </w:rPr>
        <w:t xml:space="preserve">، </w:t>
      </w:r>
      <w:r>
        <w:rPr>
          <w:noProof/>
        </w:rPr>
        <w:t>157</w:t>
      </w:r>
      <w:r>
        <w:rPr>
          <w:noProof/>
          <w:rtl/>
        </w:rPr>
        <w:t xml:space="preserve">، </w:t>
      </w:r>
      <w:r>
        <w:rPr>
          <w:noProof/>
        </w:rPr>
        <w:t>191</w:t>
      </w:r>
      <w:r>
        <w:rPr>
          <w:noProof/>
          <w:rtl/>
        </w:rPr>
        <w:t xml:space="preserve">، </w:t>
      </w:r>
      <w:r>
        <w:rPr>
          <w:noProof/>
        </w:rPr>
        <w:t>303</w:t>
      </w:r>
      <w:r>
        <w:rPr>
          <w:noProof/>
          <w:rtl/>
        </w:rPr>
        <w:t xml:space="preserve">، </w:t>
      </w:r>
      <w:r>
        <w:rPr>
          <w:noProof/>
        </w:rPr>
        <w:t>313</w:t>
      </w:r>
      <w:r>
        <w:rPr>
          <w:noProof/>
          <w:rtl/>
        </w:rPr>
        <w:t xml:space="preserve">، </w:t>
      </w:r>
      <w:r>
        <w:rPr>
          <w:noProof/>
        </w:rPr>
        <w:t>353</w:t>
      </w:r>
      <w:r>
        <w:rPr>
          <w:noProof/>
          <w:rtl/>
        </w:rPr>
        <w:t xml:space="preserve">، </w:t>
      </w:r>
      <w:r>
        <w:rPr>
          <w:noProof/>
        </w:rPr>
        <w:t>358</w:t>
      </w:r>
      <w:r>
        <w:rPr>
          <w:noProof/>
          <w:rtl/>
        </w:rPr>
        <w:t xml:space="preserve">، </w:t>
      </w:r>
      <w:r>
        <w:rPr>
          <w:noProof/>
        </w:rPr>
        <w:t>390</w:t>
      </w:r>
    </w:p>
    <w:p w:rsidR="002002F4" w:rsidRDefault="002002F4" w:rsidP="00074DA4">
      <w:pPr>
        <w:spacing w:line="192" w:lineRule="auto"/>
        <w:ind w:firstLine="0"/>
        <w:rPr>
          <w:noProof/>
        </w:rPr>
      </w:pPr>
      <w:r>
        <w:rPr>
          <w:noProof/>
          <w:rtl/>
        </w:rPr>
        <w:t xml:space="preserve">العوالم، </w:t>
      </w:r>
      <w:r>
        <w:rPr>
          <w:noProof/>
        </w:rPr>
        <w:t>109</w:t>
      </w:r>
    </w:p>
    <w:p w:rsidR="002002F4" w:rsidRDefault="002002F4" w:rsidP="00074DA4">
      <w:pPr>
        <w:spacing w:line="192" w:lineRule="auto"/>
        <w:ind w:firstLine="0"/>
        <w:rPr>
          <w:noProof/>
        </w:rPr>
      </w:pPr>
      <w:r>
        <w:rPr>
          <w:noProof/>
          <w:rtl/>
        </w:rPr>
        <w:t xml:space="preserve">عوالي اللآلي، </w:t>
      </w:r>
      <w:r>
        <w:rPr>
          <w:noProof/>
        </w:rPr>
        <w:t>303</w:t>
      </w:r>
      <w:r>
        <w:rPr>
          <w:noProof/>
          <w:rtl/>
        </w:rPr>
        <w:t xml:space="preserve">، </w:t>
      </w:r>
      <w:r>
        <w:rPr>
          <w:noProof/>
        </w:rPr>
        <w:t>321</w:t>
      </w:r>
    </w:p>
    <w:p w:rsidR="002002F4" w:rsidRDefault="002002F4" w:rsidP="00074DA4">
      <w:pPr>
        <w:spacing w:line="192" w:lineRule="auto"/>
        <w:ind w:firstLine="0"/>
        <w:rPr>
          <w:noProof/>
        </w:rPr>
      </w:pPr>
      <w:r>
        <w:rPr>
          <w:noProof/>
          <w:rtl/>
        </w:rPr>
        <w:t xml:space="preserve">عوائد الأيّام، </w:t>
      </w:r>
      <w:r>
        <w:rPr>
          <w:noProof/>
        </w:rPr>
        <w:t>117</w:t>
      </w:r>
      <w:r>
        <w:rPr>
          <w:noProof/>
          <w:rtl/>
        </w:rPr>
        <w:t xml:space="preserve">، </w:t>
      </w:r>
      <w:r>
        <w:rPr>
          <w:noProof/>
        </w:rPr>
        <w:t>130</w:t>
      </w:r>
      <w:r>
        <w:rPr>
          <w:noProof/>
          <w:rtl/>
        </w:rPr>
        <w:t xml:space="preserve">، </w:t>
      </w:r>
      <w:r>
        <w:rPr>
          <w:noProof/>
        </w:rPr>
        <w:t>134</w:t>
      </w:r>
      <w:r>
        <w:rPr>
          <w:noProof/>
          <w:rtl/>
        </w:rPr>
        <w:t xml:space="preserve">، </w:t>
      </w:r>
      <w:r>
        <w:rPr>
          <w:noProof/>
        </w:rPr>
        <w:t>135</w:t>
      </w:r>
      <w:r>
        <w:rPr>
          <w:noProof/>
          <w:rtl/>
        </w:rPr>
        <w:t xml:space="preserve">، </w:t>
      </w:r>
      <w:r>
        <w:rPr>
          <w:noProof/>
        </w:rPr>
        <w:t>140</w:t>
      </w:r>
      <w:r>
        <w:rPr>
          <w:noProof/>
          <w:rtl/>
        </w:rPr>
        <w:t xml:space="preserve">، </w:t>
      </w:r>
      <w:r>
        <w:rPr>
          <w:noProof/>
        </w:rPr>
        <w:t>141</w:t>
      </w:r>
      <w:r>
        <w:rPr>
          <w:noProof/>
          <w:rtl/>
        </w:rPr>
        <w:t xml:space="preserve">، </w:t>
      </w:r>
      <w:r>
        <w:rPr>
          <w:noProof/>
        </w:rPr>
        <w:t>157</w:t>
      </w:r>
      <w:r>
        <w:rPr>
          <w:noProof/>
          <w:rtl/>
        </w:rPr>
        <w:t xml:space="preserve">، </w:t>
      </w:r>
      <w:r>
        <w:rPr>
          <w:noProof/>
        </w:rPr>
        <w:t>293</w:t>
      </w:r>
      <w:r>
        <w:rPr>
          <w:noProof/>
          <w:rtl/>
        </w:rPr>
        <w:t xml:space="preserve">، </w:t>
      </w:r>
      <w:r>
        <w:rPr>
          <w:noProof/>
        </w:rPr>
        <w:t>294</w:t>
      </w:r>
      <w:r>
        <w:rPr>
          <w:noProof/>
          <w:rtl/>
        </w:rPr>
        <w:t xml:space="preserve">، </w:t>
      </w:r>
      <w:r>
        <w:rPr>
          <w:noProof/>
        </w:rPr>
        <w:t>295</w:t>
      </w:r>
      <w:r>
        <w:rPr>
          <w:noProof/>
          <w:rtl/>
        </w:rPr>
        <w:t xml:space="preserve">، </w:t>
      </w:r>
      <w:r>
        <w:rPr>
          <w:noProof/>
        </w:rPr>
        <w:t>303</w:t>
      </w:r>
      <w:r>
        <w:rPr>
          <w:noProof/>
          <w:rtl/>
        </w:rPr>
        <w:t xml:space="preserve">، </w:t>
      </w:r>
      <w:r>
        <w:rPr>
          <w:noProof/>
        </w:rPr>
        <w:t>313</w:t>
      </w:r>
      <w:r>
        <w:rPr>
          <w:noProof/>
          <w:rtl/>
        </w:rPr>
        <w:t xml:space="preserve">، </w:t>
      </w:r>
      <w:r>
        <w:rPr>
          <w:noProof/>
        </w:rPr>
        <w:t>326</w:t>
      </w:r>
      <w:r>
        <w:rPr>
          <w:noProof/>
          <w:rtl/>
        </w:rPr>
        <w:t xml:space="preserve">، </w:t>
      </w:r>
      <w:r>
        <w:rPr>
          <w:noProof/>
        </w:rPr>
        <w:t>334</w:t>
      </w:r>
      <w:r>
        <w:rPr>
          <w:noProof/>
          <w:rtl/>
        </w:rPr>
        <w:t xml:space="preserve">، </w:t>
      </w:r>
      <w:r>
        <w:rPr>
          <w:noProof/>
        </w:rPr>
        <w:t>339</w:t>
      </w:r>
      <w:r>
        <w:rPr>
          <w:noProof/>
          <w:rtl/>
        </w:rPr>
        <w:t xml:space="preserve">، </w:t>
      </w:r>
      <w:r>
        <w:rPr>
          <w:noProof/>
        </w:rPr>
        <w:t>345</w:t>
      </w:r>
      <w:r>
        <w:rPr>
          <w:noProof/>
          <w:rtl/>
        </w:rPr>
        <w:t xml:space="preserve">، </w:t>
      </w:r>
      <w:r>
        <w:rPr>
          <w:noProof/>
        </w:rPr>
        <w:t>377</w:t>
      </w:r>
      <w:r>
        <w:rPr>
          <w:noProof/>
          <w:rtl/>
        </w:rPr>
        <w:t xml:space="preserve">، </w:t>
      </w:r>
      <w:r>
        <w:rPr>
          <w:noProof/>
        </w:rPr>
        <w:t>391</w:t>
      </w:r>
      <w:r>
        <w:rPr>
          <w:noProof/>
          <w:rtl/>
        </w:rPr>
        <w:t xml:space="preserve">، </w:t>
      </w:r>
      <w:r>
        <w:rPr>
          <w:noProof/>
        </w:rPr>
        <w:t>415</w:t>
      </w:r>
      <w:r>
        <w:rPr>
          <w:noProof/>
          <w:rtl/>
        </w:rPr>
        <w:t xml:space="preserve">، </w:t>
      </w:r>
      <w:r>
        <w:rPr>
          <w:noProof/>
        </w:rPr>
        <w:t>434</w:t>
      </w:r>
    </w:p>
    <w:p w:rsidR="002002F4" w:rsidRDefault="002002F4" w:rsidP="00074DA4">
      <w:pPr>
        <w:spacing w:line="192" w:lineRule="auto"/>
        <w:ind w:firstLine="0"/>
        <w:rPr>
          <w:noProof/>
        </w:rPr>
      </w:pPr>
      <w:r>
        <w:rPr>
          <w:noProof/>
          <w:rtl/>
        </w:rPr>
        <w:t xml:space="preserve">عين الحياة، </w:t>
      </w:r>
      <w:r>
        <w:rPr>
          <w:noProof/>
        </w:rPr>
        <w:t>128</w:t>
      </w:r>
      <w:r>
        <w:rPr>
          <w:noProof/>
          <w:rtl/>
        </w:rPr>
        <w:t xml:space="preserve">، </w:t>
      </w:r>
      <w:r>
        <w:rPr>
          <w:noProof/>
        </w:rPr>
        <w:t>199</w:t>
      </w:r>
    </w:p>
    <w:p w:rsidR="002002F4" w:rsidRDefault="002002F4" w:rsidP="00074DA4">
      <w:pPr>
        <w:spacing w:line="192" w:lineRule="auto"/>
        <w:ind w:firstLine="0"/>
        <w:rPr>
          <w:noProof/>
        </w:rPr>
      </w:pPr>
      <w:r>
        <w:rPr>
          <w:noProof/>
          <w:rtl/>
        </w:rPr>
        <w:t xml:space="preserve">عيون أخبار الرضا(ع)، </w:t>
      </w:r>
      <w:r>
        <w:rPr>
          <w:noProof/>
        </w:rPr>
        <w:t>302</w:t>
      </w:r>
      <w:r>
        <w:rPr>
          <w:noProof/>
          <w:rtl/>
        </w:rPr>
        <w:t xml:space="preserve">، </w:t>
      </w:r>
      <w:r>
        <w:rPr>
          <w:noProof/>
        </w:rPr>
        <w:t>307</w:t>
      </w:r>
    </w:p>
    <w:p w:rsidR="002002F4" w:rsidRDefault="002002F4" w:rsidP="00074DA4">
      <w:pPr>
        <w:spacing w:line="192" w:lineRule="auto"/>
        <w:ind w:firstLine="0"/>
        <w:rPr>
          <w:noProof/>
        </w:rPr>
      </w:pPr>
      <w:r>
        <w:rPr>
          <w:noProof/>
          <w:rtl/>
        </w:rPr>
        <w:t xml:space="preserve">العيون، </w:t>
      </w:r>
      <w:r>
        <w:rPr>
          <w:noProof/>
        </w:rPr>
        <w:t>307</w:t>
      </w:r>
    </w:p>
    <w:p w:rsidR="002002F4" w:rsidRDefault="002002F4" w:rsidP="00074DA4">
      <w:pPr>
        <w:spacing w:line="192" w:lineRule="auto"/>
        <w:ind w:firstLine="0"/>
        <w:rPr>
          <w:noProof/>
        </w:rPr>
      </w:pPr>
      <w:r>
        <w:rPr>
          <w:noProof/>
          <w:rtl/>
        </w:rPr>
        <w:t xml:space="preserve">غاية الآمال، </w:t>
      </w:r>
      <w:r>
        <w:rPr>
          <w:noProof/>
        </w:rPr>
        <w:t>353</w:t>
      </w:r>
      <w:r>
        <w:rPr>
          <w:noProof/>
          <w:rtl/>
        </w:rPr>
        <w:t xml:space="preserve">، </w:t>
      </w:r>
      <w:r>
        <w:rPr>
          <w:noProof/>
        </w:rPr>
        <w:t>377</w:t>
      </w:r>
    </w:p>
    <w:p w:rsidR="002002F4" w:rsidRDefault="002002F4" w:rsidP="00074DA4">
      <w:pPr>
        <w:spacing w:line="192" w:lineRule="auto"/>
        <w:ind w:firstLine="0"/>
        <w:rPr>
          <w:noProof/>
        </w:rPr>
      </w:pPr>
      <w:r>
        <w:rPr>
          <w:noProof/>
          <w:rtl/>
        </w:rPr>
        <w:t xml:space="preserve">الغدير، </w:t>
      </w:r>
      <w:r>
        <w:rPr>
          <w:noProof/>
        </w:rPr>
        <w:t>113</w:t>
      </w:r>
    </w:p>
    <w:p w:rsidR="002002F4" w:rsidRDefault="002002F4" w:rsidP="00074DA4">
      <w:pPr>
        <w:spacing w:line="192" w:lineRule="auto"/>
        <w:ind w:firstLine="0"/>
        <w:rPr>
          <w:noProof/>
        </w:rPr>
      </w:pPr>
      <w:r>
        <w:rPr>
          <w:noProof/>
          <w:rtl/>
        </w:rPr>
        <w:t xml:space="preserve">غرر الحكم ودرر الكلم، </w:t>
      </w:r>
      <w:r>
        <w:rPr>
          <w:noProof/>
        </w:rPr>
        <w:t>320</w:t>
      </w:r>
      <w:r>
        <w:rPr>
          <w:noProof/>
          <w:rtl/>
        </w:rPr>
        <w:t xml:space="preserve">، </w:t>
      </w:r>
      <w:r>
        <w:rPr>
          <w:noProof/>
        </w:rPr>
        <w:t>333</w:t>
      </w:r>
    </w:p>
    <w:p w:rsidR="002002F4" w:rsidRDefault="002002F4" w:rsidP="00074DA4">
      <w:pPr>
        <w:spacing w:line="192" w:lineRule="auto"/>
        <w:ind w:firstLine="0"/>
        <w:rPr>
          <w:noProof/>
        </w:rPr>
      </w:pPr>
      <w:r>
        <w:rPr>
          <w:noProof/>
          <w:rtl/>
        </w:rPr>
        <w:t xml:space="preserve">الفتوحات المكية، </w:t>
      </w:r>
      <w:r>
        <w:rPr>
          <w:noProof/>
        </w:rPr>
        <w:t>43</w:t>
      </w:r>
      <w:r>
        <w:rPr>
          <w:noProof/>
          <w:rtl/>
        </w:rPr>
        <w:t xml:space="preserve">، </w:t>
      </w:r>
      <w:r>
        <w:rPr>
          <w:noProof/>
        </w:rPr>
        <w:t>44</w:t>
      </w:r>
      <w:r>
        <w:rPr>
          <w:noProof/>
          <w:rtl/>
        </w:rPr>
        <w:t xml:space="preserve">، </w:t>
      </w:r>
      <w:r>
        <w:rPr>
          <w:noProof/>
        </w:rPr>
        <w:t>47</w:t>
      </w:r>
      <w:r>
        <w:rPr>
          <w:noProof/>
          <w:rtl/>
        </w:rPr>
        <w:t xml:space="preserve">، </w:t>
      </w:r>
      <w:r>
        <w:rPr>
          <w:noProof/>
        </w:rPr>
        <w:t>51</w:t>
      </w:r>
    </w:p>
    <w:p w:rsidR="002002F4" w:rsidRDefault="002002F4" w:rsidP="00074DA4">
      <w:pPr>
        <w:spacing w:line="192" w:lineRule="auto"/>
        <w:ind w:firstLine="0"/>
        <w:rPr>
          <w:noProof/>
        </w:rPr>
      </w:pPr>
      <w:r>
        <w:rPr>
          <w:noProof/>
          <w:rtl/>
        </w:rPr>
        <w:t xml:space="preserve">الفردوس الأعلى، </w:t>
      </w:r>
      <w:r>
        <w:rPr>
          <w:noProof/>
        </w:rPr>
        <w:t>157</w:t>
      </w:r>
      <w:r>
        <w:rPr>
          <w:noProof/>
          <w:rtl/>
        </w:rPr>
        <w:t xml:space="preserve">، </w:t>
      </w:r>
      <w:r>
        <w:rPr>
          <w:noProof/>
        </w:rPr>
        <w:t>339</w:t>
      </w:r>
      <w:r>
        <w:rPr>
          <w:noProof/>
          <w:rtl/>
        </w:rPr>
        <w:t xml:space="preserve">، </w:t>
      </w:r>
      <w:r>
        <w:rPr>
          <w:noProof/>
        </w:rPr>
        <w:t>377</w:t>
      </w:r>
    </w:p>
    <w:p w:rsidR="002002F4" w:rsidRDefault="002002F4" w:rsidP="00074DA4">
      <w:pPr>
        <w:spacing w:line="192" w:lineRule="auto"/>
        <w:ind w:firstLine="0"/>
        <w:rPr>
          <w:noProof/>
        </w:rPr>
      </w:pPr>
      <w:r>
        <w:rPr>
          <w:noProof/>
          <w:rtl/>
        </w:rPr>
        <w:t xml:space="preserve">فصل المقال وتقرير ما بين الشريعة والحكمة من الاتصال، </w:t>
      </w:r>
      <w:r>
        <w:rPr>
          <w:noProof/>
        </w:rPr>
        <w:t>328</w:t>
      </w:r>
    </w:p>
    <w:p w:rsidR="002002F4" w:rsidRDefault="002002F4" w:rsidP="00074DA4">
      <w:pPr>
        <w:spacing w:line="192" w:lineRule="auto"/>
        <w:ind w:firstLine="0"/>
        <w:rPr>
          <w:noProof/>
        </w:rPr>
      </w:pPr>
      <w:r>
        <w:rPr>
          <w:noProof/>
          <w:rtl/>
        </w:rPr>
        <w:t xml:space="preserve">فصوص الحكم، </w:t>
      </w:r>
      <w:r>
        <w:rPr>
          <w:noProof/>
        </w:rPr>
        <w:t>49</w:t>
      </w:r>
      <w:r>
        <w:rPr>
          <w:noProof/>
          <w:rtl/>
        </w:rPr>
        <w:t xml:space="preserve">، </w:t>
      </w:r>
      <w:r>
        <w:rPr>
          <w:noProof/>
        </w:rPr>
        <w:t>50</w:t>
      </w:r>
    </w:p>
    <w:p w:rsidR="002002F4" w:rsidRDefault="002002F4" w:rsidP="00074DA4">
      <w:pPr>
        <w:spacing w:line="192" w:lineRule="auto"/>
        <w:ind w:firstLine="0"/>
        <w:rPr>
          <w:noProof/>
        </w:rPr>
      </w:pPr>
      <w:r>
        <w:rPr>
          <w:noProof/>
          <w:rtl/>
        </w:rPr>
        <w:t xml:space="preserve">فقه الرضا(ع)، </w:t>
      </w:r>
      <w:r>
        <w:rPr>
          <w:noProof/>
        </w:rPr>
        <w:t>321</w:t>
      </w:r>
      <w:r>
        <w:rPr>
          <w:noProof/>
          <w:rtl/>
        </w:rPr>
        <w:t xml:space="preserve">، </w:t>
      </w:r>
      <w:r>
        <w:rPr>
          <w:noProof/>
        </w:rPr>
        <w:t>326</w:t>
      </w:r>
    </w:p>
    <w:p w:rsidR="002002F4" w:rsidRDefault="002002F4" w:rsidP="00074DA4">
      <w:pPr>
        <w:spacing w:line="192" w:lineRule="auto"/>
        <w:ind w:firstLine="0"/>
        <w:rPr>
          <w:noProof/>
        </w:rPr>
      </w:pPr>
      <w:r>
        <w:rPr>
          <w:noProof/>
          <w:rtl/>
        </w:rPr>
        <w:t xml:space="preserve">فلاح السائل، </w:t>
      </w:r>
      <w:r>
        <w:rPr>
          <w:noProof/>
        </w:rPr>
        <w:t>112</w:t>
      </w:r>
    </w:p>
    <w:p w:rsidR="002002F4" w:rsidRDefault="002002F4" w:rsidP="00074DA4">
      <w:pPr>
        <w:spacing w:line="192" w:lineRule="auto"/>
        <w:ind w:firstLine="0"/>
        <w:rPr>
          <w:noProof/>
        </w:rPr>
      </w:pPr>
      <w:r>
        <w:rPr>
          <w:noProof/>
          <w:rtl/>
        </w:rPr>
        <w:t xml:space="preserve">الفهرست، </w:t>
      </w:r>
      <w:r>
        <w:rPr>
          <w:noProof/>
        </w:rPr>
        <w:t>346</w:t>
      </w:r>
      <w:r>
        <w:rPr>
          <w:noProof/>
          <w:rtl/>
        </w:rPr>
        <w:t xml:space="preserve">، </w:t>
      </w:r>
      <w:r>
        <w:rPr>
          <w:noProof/>
        </w:rPr>
        <w:t>364</w:t>
      </w:r>
    </w:p>
    <w:p w:rsidR="002002F4" w:rsidRDefault="002002F4" w:rsidP="00074DA4">
      <w:pPr>
        <w:spacing w:line="192" w:lineRule="auto"/>
        <w:ind w:firstLine="0"/>
        <w:rPr>
          <w:noProof/>
        </w:rPr>
      </w:pPr>
      <w:r>
        <w:rPr>
          <w:noProof/>
          <w:rtl/>
        </w:rPr>
        <w:t xml:space="preserve">قاموس الرجال، </w:t>
      </w:r>
      <w:r>
        <w:rPr>
          <w:noProof/>
        </w:rPr>
        <w:t>379</w:t>
      </w:r>
    </w:p>
    <w:p w:rsidR="002002F4" w:rsidRDefault="002002F4" w:rsidP="00074DA4">
      <w:pPr>
        <w:spacing w:line="192" w:lineRule="auto"/>
        <w:ind w:firstLine="0"/>
        <w:rPr>
          <w:noProof/>
        </w:rPr>
      </w:pPr>
      <w:r>
        <w:rPr>
          <w:noProof/>
          <w:rtl/>
        </w:rPr>
        <w:t xml:space="preserve">قدس (صحيفة)، </w:t>
      </w:r>
      <w:r>
        <w:rPr>
          <w:noProof/>
        </w:rPr>
        <w:t>259</w:t>
      </w:r>
    </w:p>
    <w:p w:rsidR="002002F4" w:rsidRDefault="002002F4" w:rsidP="00074DA4">
      <w:pPr>
        <w:spacing w:line="192" w:lineRule="auto"/>
        <w:ind w:firstLine="0"/>
        <w:rPr>
          <w:noProof/>
        </w:rPr>
      </w:pPr>
      <w:r>
        <w:rPr>
          <w:noProof/>
          <w:rtl/>
        </w:rPr>
        <w:t xml:space="preserve">قرآن در إسلام، </w:t>
      </w:r>
      <w:r>
        <w:rPr>
          <w:noProof/>
        </w:rPr>
        <w:t>61</w:t>
      </w:r>
    </w:p>
    <w:p w:rsidR="002002F4" w:rsidRDefault="002002F4" w:rsidP="00074DA4">
      <w:pPr>
        <w:spacing w:line="192" w:lineRule="auto"/>
        <w:ind w:firstLine="0"/>
        <w:rPr>
          <w:noProof/>
        </w:rPr>
      </w:pPr>
      <w:r>
        <w:rPr>
          <w:noProof/>
          <w:rtl/>
        </w:rPr>
        <w:t xml:space="preserve">قضايا إسلامية معاصرة (مجلة)، </w:t>
      </w:r>
      <w:r>
        <w:rPr>
          <w:noProof/>
        </w:rPr>
        <w:t>139</w:t>
      </w:r>
      <w:r>
        <w:rPr>
          <w:noProof/>
          <w:rtl/>
        </w:rPr>
        <w:t xml:space="preserve">، </w:t>
      </w:r>
      <w:r>
        <w:rPr>
          <w:noProof/>
        </w:rPr>
        <w:t>148</w:t>
      </w:r>
      <w:r>
        <w:rPr>
          <w:noProof/>
          <w:rtl/>
        </w:rPr>
        <w:t xml:space="preserve">، </w:t>
      </w:r>
      <w:r>
        <w:rPr>
          <w:noProof/>
        </w:rPr>
        <w:t>152</w:t>
      </w:r>
      <w:r>
        <w:rPr>
          <w:noProof/>
          <w:rtl/>
        </w:rPr>
        <w:t xml:space="preserve">، </w:t>
      </w:r>
      <w:r>
        <w:rPr>
          <w:noProof/>
        </w:rPr>
        <w:t>189</w:t>
      </w:r>
      <w:r>
        <w:rPr>
          <w:noProof/>
          <w:rtl/>
        </w:rPr>
        <w:t xml:space="preserve">، </w:t>
      </w:r>
      <w:r>
        <w:rPr>
          <w:noProof/>
        </w:rPr>
        <w:t>192</w:t>
      </w:r>
      <w:r>
        <w:rPr>
          <w:noProof/>
          <w:rtl/>
        </w:rPr>
        <w:t xml:space="preserve">، </w:t>
      </w:r>
      <w:r>
        <w:rPr>
          <w:noProof/>
        </w:rPr>
        <w:t>255</w:t>
      </w:r>
      <w:r>
        <w:rPr>
          <w:noProof/>
          <w:rtl/>
        </w:rPr>
        <w:t xml:space="preserve">، </w:t>
      </w:r>
      <w:r>
        <w:rPr>
          <w:noProof/>
        </w:rPr>
        <w:t>284</w:t>
      </w:r>
      <w:r>
        <w:rPr>
          <w:noProof/>
          <w:rtl/>
        </w:rPr>
        <w:t xml:space="preserve">، </w:t>
      </w:r>
      <w:r>
        <w:rPr>
          <w:noProof/>
        </w:rPr>
        <w:t>454</w:t>
      </w:r>
      <w:r>
        <w:rPr>
          <w:noProof/>
          <w:rtl/>
        </w:rPr>
        <w:t>کتاب</w:t>
      </w:r>
    </w:p>
    <w:p w:rsidR="002002F4" w:rsidRDefault="002002F4" w:rsidP="00074DA4">
      <w:pPr>
        <w:spacing w:line="192" w:lineRule="auto"/>
        <w:ind w:firstLine="0"/>
        <w:rPr>
          <w:noProof/>
        </w:rPr>
      </w:pPr>
      <w:r>
        <w:rPr>
          <w:noProof/>
          <w:rtl/>
        </w:rPr>
        <w:t xml:space="preserve">کتاب الغَيْبة، </w:t>
      </w:r>
      <w:r>
        <w:rPr>
          <w:noProof/>
        </w:rPr>
        <w:t>376</w:t>
      </w:r>
      <w:r>
        <w:rPr>
          <w:noProof/>
          <w:rtl/>
        </w:rPr>
        <w:t xml:space="preserve">، </w:t>
      </w:r>
      <w:r>
        <w:rPr>
          <w:noProof/>
        </w:rPr>
        <w:t>383</w:t>
      </w:r>
    </w:p>
    <w:p w:rsidR="002002F4" w:rsidRDefault="002002F4" w:rsidP="00074DA4">
      <w:pPr>
        <w:spacing w:line="192" w:lineRule="auto"/>
        <w:ind w:firstLine="0"/>
        <w:rPr>
          <w:noProof/>
        </w:rPr>
      </w:pPr>
      <w:r>
        <w:rPr>
          <w:noProof/>
          <w:rtl/>
        </w:rPr>
        <w:t xml:space="preserve">کتاب مَنْ لا يحضره الفقيه، </w:t>
      </w:r>
      <w:r>
        <w:rPr>
          <w:noProof/>
        </w:rPr>
        <w:t>109</w:t>
      </w:r>
      <w:r>
        <w:rPr>
          <w:noProof/>
          <w:rtl/>
        </w:rPr>
        <w:t xml:space="preserve">، </w:t>
      </w:r>
      <w:r>
        <w:rPr>
          <w:noProof/>
        </w:rPr>
        <w:t>297</w:t>
      </w:r>
      <w:r>
        <w:rPr>
          <w:noProof/>
          <w:rtl/>
        </w:rPr>
        <w:t xml:space="preserve">، </w:t>
      </w:r>
      <w:r>
        <w:rPr>
          <w:noProof/>
        </w:rPr>
        <w:t>302</w:t>
      </w:r>
      <w:r>
        <w:rPr>
          <w:noProof/>
          <w:rtl/>
        </w:rPr>
        <w:t xml:space="preserve">، </w:t>
      </w:r>
      <w:r>
        <w:rPr>
          <w:noProof/>
        </w:rPr>
        <w:t>308</w:t>
      </w:r>
      <w:r>
        <w:rPr>
          <w:noProof/>
          <w:rtl/>
        </w:rPr>
        <w:t xml:space="preserve">، </w:t>
      </w:r>
      <w:r>
        <w:rPr>
          <w:noProof/>
        </w:rPr>
        <w:t>363</w:t>
      </w:r>
      <w:r>
        <w:rPr>
          <w:noProof/>
          <w:rtl/>
        </w:rPr>
        <w:t xml:space="preserve">، </w:t>
      </w:r>
      <w:r>
        <w:rPr>
          <w:noProof/>
        </w:rPr>
        <w:t>366</w:t>
      </w:r>
    </w:p>
    <w:p w:rsidR="002002F4" w:rsidRDefault="002002F4" w:rsidP="00074DA4">
      <w:pPr>
        <w:spacing w:line="192" w:lineRule="auto"/>
        <w:ind w:firstLine="0"/>
        <w:rPr>
          <w:noProof/>
        </w:rPr>
      </w:pPr>
      <w:r>
        <w:rPr>
          <w:noProof/>
          <w:rtl/>
        </w:rPr>
        <w:t xml:space="preserve">الكافي، </w:t>
      </w:r>
      <w:r>
        <w:rPr>
          <w:noProof/>
        </w:rPr>
        <w:t>48</w:t>
      </w:r>
      <w:r>
        <w:rPr>
          <w:noProof/>
          <w:rtl/>
        </w:rPr>
        <w:t xml:space="preserve">، </w:t>
      </w:r>
      <w:r>
        <w:rPr>
          <w:noProof/>
        </w:rPr>
        <w:t>85</w:t>
      </w:r>
      <w:r>
        <w:rPr>
          <w:noProof/>
          <w:rtl/>
        </w:rPr>
        <w:t xml:space="preserve">، </w:t>
      </w:r>
      <w:r>
        <w:rPr>
          <w:noProof/>
        </w:rPr>
        <w:t>96</w:t>
      </w:r>
      <w:r>
        <w:rPr>
          <w:noProof/>
          <w:rtl/>
        </w:rPr>
        <w:t xml:space="preserve">، </w:t>
      </w:r>
      <w:r>
        <w:rPr>
          <w:noProof/>
        </w:rPr>
        <w:t>107</w:t>
      </w:r>
      <w:r>
        <w:rPr>
          <w:noProof/>
          <w:rtl/>
        </w:rPr>
        <w:t xml:space="preserve">، </w:t>
      </w:r>
      <w:r>
        <w:rPr>
          <w:noProof/>
        </w:rPr>
        <w:t>108</w:t>
      </w:r>
      <w:r>
        <w:rPr>
          <w:noProof/>
          <w:rtl/>
        </w:rPr>
        <w:t xml:space="preserve">، </w:t>
      </w:r>
      <w:r>
        <w:rPr>
          <w:noProof/>
        </w:rPr>
        <w:t>109</w:t>
      </w:r>
      <w:r>
        <w:rPr>
          <w:noProof/>
          <w:rtl/>
        </w:rPr>
        <w:t xml:space="preserve">، </w:t>
      </w:r>
      <w:r>
        <w:rPr>
          <w:noProof/>
        </w:rPr>
        <w:t>112</w:t>
      </w:r>
      <w:r>
        <w:rPr>
          <w:noProof/>
          <w:rtl/>
        </w:rPr>
        <w:t xml:space="preserve">، </w:t>
      </w:r>
      <w:r>
        <w:rPr>
          <w:noProof/>
        </w:rPr>
        <w:t>114</w:t>
      </w:r>
      <w:r>
        <w:rPr>
          <w:noProof/>
          <w:rtl/>
        </w:rPr>
        <w:t xml:space="preserve">، </w:t>
      </w:r>
      <w:r>
        <w:rPr>
          <w:noProof/>
        </w:rPr>
        <w:t>115</w:t>
      </w:r>
      <w:r>
        <w:rPr>
          <w:noProof/>
          <w:rtl/>
        </w:rPr>
        <w:t xml:space="preserve">، </w:t>
      </w:r>
      <w:r>
        <w:rPr>
          <w:noProof/>
        </w:rPr>
        <w:t>120</w:t>
      </w:r>
      <w:r>
        <w:rPr>
          <w:noProof/>
          <w:rtl/>
        </w:rPr>
        <w:t xml:space="preserve">، </w:t>
      </w:r>
      <w:r>
        <w:rPr>
          <w:noProof/>
        </w:rPr>
        <w:t>123</w:t>
      </w:r>
      <w:r>
        <w:rPr>
          <w:noProof/>
          <w:rtl/>
        </w:rPr>
        <w:t xml:space="preserve">، </w:t>
      </w:r>
      <w:r>
        <w:rPr>
          <w:noProof/>
        </w:rPr>
        <w:t>297</w:t>
      </w:r>
      <w:r>
        <w:rPr>
          <w:noProof/>
          <w:rtl/>
        </w:rPr>
        <w:t xml:space="preserve">، </w:t>
      </w:r>
      <w:r>
        <w:rPr>
          <w:noProof/>
        </w:rPr>
        <w:t>312</w:t>
      </w:r>
      <w:r>
        <w:rPr>
          <w:noProof/>
          <w:rtl/>
        </w:rPr>
        <w:t xml:space="preserve">، </w:t>
      </w:r>
      <w:r>
        <w:rPr>
          <w:noProof/>
        </w:rPr>
        <w:t>318</w:t>
      </w:r>
      <w:r>
        <w:rPr>
          <w:noProof/>
          <w:rtl/>
        </w:rPr>
        <w:t xml:space="preserve">، </w:t>
      </w:r>
      <w:r>
        <w:rPr>
          <w:noProof/>
        </w:rPr>
        <w:t>319</w:t>
      </w:r>
      <w:r>
        <w:rPr>
          <w:noProof/>
          <w:rtl/>
        </w:rPr>
        <w:t xml:space="preserve">، </w:t>
      </w:r>
      <w:r>
        <w:rPr>
          <w:noProof/>
        </w:rPr>
        <w:t>320</w:t>
      </w:r>
      <w:r>
        <w:rPr>
          <w:noProof/>
          <w:rtl/>
        </w:rPr>
        <w:t xml:space="preserve">، </w:t>
      </w:r>
      <w:r>
        <w:rPr>
          <w:noProof/>
        </w:rPr>
        <w:t>323</w:t>
      </w:r>
      <w:r>
        <w:rPr>
          <w:noProof/>
          <w:rtl/>
        </w:rPr>
        <w:t xml:space="preserve">، </w:t>
      </w:r>
      <w:r>
        <w:rPr>
          <w:noProof/>
        </w:rPr>
        <w:t>325</w:t>
      </w:r>
      <w:r>
        <w:rPr>
          <w:noProof/>
          <w:rtl/>
        </w:rPr>
        <w:t xml:space="preserve">، </w:t>
      </w:r>
      <w:r>
        <w:rPr>
          <w:noProof/>
        </w:rPr>
        <w:t>326</w:t>
      </w:r>
      <w:r>
        <w:rPr>
          <w:noProof/>
          <w:rtl/>
        </w:rPr>
        <w:t xml:space="preserve">، </w:t>
      </w:r>
      <w:r>
        <w:rPr>
          <w:noProof/>
        </w:rPr>
        <w:t>328</w:t>
      </w:r>
      <w:r>
        <w:rPr>
          <w:noProof/>
          <w:rtl/>
        </w:rPr>
        <w:t xml:space="preserve">، </w:t>
      </w:r>
      <w:r>
        <w:rPr>
          <w:noProof/>
        </w:rPr>
        <w:t>344</w:t>
      </w:r>
      <w:r>
        <w:rPr>
          <w:noProof/>
          <w:rtl/>
        </w:rPr>
        <w:t xml:space="preserve">، </w:t>
      </w:r>
      <w:r>
        <w:rPr>
          <w:noProof/>
        </w:rPr>
        <w:t>345</w:t>
      </w:r>
      <w:r>
        <w:rPr>
          <w:noProof/>
          <w:rtl/>
        </w:rPr>
        <w:t xml:space="preserve">، </w:t>
      </w:r>
      <w:r>
        <w:rPr>
          <w:noProof/>
        </w:rPr>
        <w:t>347</w:t>
      </w:r>
      <w:r>
        <w:rPr>
          <w:noProof/>
          <w:rtl/>
        </w:rPr>
        <w:t xml:space="preserve">، </w:t>
      </w:r>
      <w:r>
        <w:rPr>
          <w:noProof/>
        </w:rPr>
        <w:t>348</w:t>
      </w:r>
      <w:r>
        <w:rPr>
          <w:noProof/>
          <w:rtl/>
        </w:rPr>
        <w:t xml:space="preserve">، </w:t>
      </w:r>
      <w:r>
        <w:rPr>
          <w:noProof/>
        </w:rPr>
        <w:t>354</w:t>
      </w:r>
      <w:r>
        <w:rPr>
          <w:noProof/>
          <w:rtl/>
        </w:rPr>
        <w:t xml:space="preserve">، </w:t>
      </w:r>
      <w:r>
        <w:rPr>
          <w:noProof/>
        </w:rPr>
        <w:t>363</w:t>
      </w:r>
      <w:r>
        <w:rPr>
          <w:noProof/>
          <w:rtl/>
        </w:rPr>
        <w:t xml:space="preserve">، </w:t>
      </w:r>
      <w:r>
        <w:rPr>
          <w:noProof/>
        </w:rPr>
        <w:t>366</w:t>
      </w:r>
      <w:r>
        <w:rPr>
          <w:noProof/>
          <w:rtl/>
        </w:rPr>
        <w:t xml:space="preserve">، </w:t>
      </w:r>
      <w:r>
        <w:rPr>
          <w:noProof/>
        </w:rPr>
        <w:t>368</w:t>
      </w:r>
      <w:r>
        <w:rPr>
          <w:noProof/>
          <w:rtl/>
        </w:rPr>
        <w:t xml:space="preserve">، </w:t>
      </w:r>
      <w:r>
        <w:rPr>
          <w:noProof/>
        </w:rPr>
        <w:t>370</w:t>
      </w:r>
      <w:r>
        <w:rPr>
          <w:noProof/>
          <w:rtl/>
        </w:rPr>
        <w:t xml:space="preserve">، </w:t>
      </w:r>
      <w:r>
        <w:rPr>
          <w:noProof/>
        </w:rPr>
        <w:t>378</w:t>
      </w:r>
      <w:r>
        <w:rPr>
          <w:noProof/>
          <w:rtl/>
        </w:rPr>
        <w:t xml:space="preserve">، </w:t>
      </w:r>
      <w:r>
        <w:rPr>
          <w:noProof/>
        </w:rPr>
        <w:t>382</w:t>
      </w:r>
      <w:r>
        <w:rPr>
          <w:noProof/>
          <w:rtl/>
        </w:rPr>
        <w:t xml:space="preserve">، </w:t>
      </w:r>
      <w:r>
        <w:rPr>
          <w:noProof/>
        </w:rPr>
        <w:t>383</w:t>
      </w:r>
      <w:r>
        <w:rPr>
          <w:noProof/>
          <w:rtl/>
        </w:rPr>
        <w:t xml:space="preserve">، </w:t>
      </w:r>
      <w:r>
        <w:rPr>
          <w:noProof/>
        </w:rPr>
        <w:t>401</w:t>
      </w:r>
    </w:p>
    <w:p w:rsidR="002002F4" w:rsidRDefault="002002F4" w:rsidP="00074DA4">
      <w:pPr>
        <w:spacing w:line="192" w:lineRule="auto"/>
        <w:ind w:firstLine="0"/>
        <w:rPr>
          <w:noProof/>
        </w:rPr>
      </w:pPr>
      <w:r>
        <w:rPr>
          <w:noProof/>
          <w:rtl/>
        </w:rPr>
        <w:t xml:space="preserve">كامل الزيارات، </w:t>
      </w:r>
      <w:r>
        <w:rPr>
          <w:noProof/>
        </w:rPr>
        <w:t>315</w:t>
      </w:r>
      <w:r>
        <w:rPr>
          <w:noProof/>
          <w:rtl/>
        </w:rPr>
        <w:t xml:space="preserve">، </w:t>
      </w:r>
      <w:r>
        <w:rPr>
          <w:noProof/>
        </w:rPr>
        <w:t>369</w:t>
      </w:r>
    </w:p>
    <w:p w:rsidR="002002F4" w:rsidRDefault="002002F4" w:rsidP="00074DA4">
      <w:pPr>
        <w:spacing w:line="192" w:lineRule="auto"/>
        <w:ind w:firstLine="0"/>
        <w:rPr>
          <w:noProof/>
        </w:rPr>
      </w:pPr>
      <w:r>
        <w:rPr>
          <w:noProof/>
          <w:rtl/>
        </w:rPr>
        <w:t xml:space="preserve">كتاب البيع، </w:t>
      </w:r>
      <w:r>
        <w:rPr>
          <w:noProof/>
        </w:rPr>
        <w:t>35</w:t>
      </w:r>
      <w:r>
        <w:rPr>
          <w:noProof/>
          <w:rtl/>
        </w:rPr>
        <w:t xml:space="preserve">، </w:t>
      </w:r>
      <w:r>
        <w:rPr>
          <w:noProof/>
        </w:rPr>
        <w:t>68</w:t>
      </w:r>
      <w:r>
        <w:rPr>
          <w:noProof/>
          <w:rtl/>
        </w:rPr>
        <w:t xml:space="preserve">، </w:t>
      </w:r>
      <w:r>
        <w:rPr>
          <w:noProof/>
        </w:rPr>
        <w:t>75</w:t>
      </w:r>
      <w:r>
        <w:rPr>
          <w:noProof/>
          <w:rtl/>
        </w:rPr>
        <w:t xml:space="preserve">، </w:t>
      </w:r>
      <w:r>
        <w:rPr>
          <w:noProof/>
        </w:rPr>
        <w:t>77</w:t>
      </w:r>
      <w:r>
        <w:rPr>
          <w:noProof/>
          <w:rtl/>
        </w:rPr>
        <w:t xml:space="preserve">، </w:t>
      </w:r>
      <w:r>
        <w:rPr>
          <w:noProof/>
        </w:rPr>
        <w:t>133</w:t>
      </w:r>
      <w:r>
        <w:rPr>
          <w:noProof/>
          <w:rtl/>
        </w:rPr>
        <w:t xml:space="preserve">، </w:t>
      </w:r>
      <w:r>
        <w:rPr>
          <w:noProof/>
        </w:rPr>
        <w:t>135</w:t>
      </w:r>
      <w:r>
        <w:rPr>
          <w:noProof/>
          <w:rtl/>
        </w:rPr>
        <w:t xml:space="preserve">، </w:t>
      </w:r>
      <w:r>
        <w:rPr>
          <w:noProof/>
        </w:rPr>
        <w:t>137</w:t>
      </w:r>
      <w:r>
        <w:rPr>
          <w:noProof/>
          <w:rtl/>
        </w:rPr>
        <w:t xml:space="preserve">، </w:t>
      </w:r>
      <w:r>
        <w:rPr>
          <w:noProof/>
        </w:rPr>
        <w:t>140</w:t>
      </w:r>
      <w:r>
        <w:rPr>
          <w:noProof/>
          <w:rtl/>
        </w:rPr>
        <w:t xml:space="preserve">، </w:t>
      </w:r>
      <w:r>
        <w:rPr>
          <w:noProof/>
        </w:rPr>
        <w:t>142</w:t>
      </w:r>
      <w:r>
        <w:rPr>
          <w:noProof/>
          <w:rtl/>
        </w:rPr>
        <w:t xml:space="preserve">، </w:t>
      </w:r>
      <w:r>
        <w:rPr>
          <w:noProof/>
        </w:rPr>
        <w:t>145</w:t>
      </w:r>
      <w:r>
        <w:rPr>
          <w:noProof/>
          <w:rtl/>
        </w:rPr>
        <w:t xml:space="preserve">، </w:t>
      </w:r>
      <w:r>
        <w:rPr>
          <w:noProof/>
        </w:rPr>
        <w:t>150</w:t>
      </w:r>
      <w:r>
        <w:rPr>
          <w:noProof/>
          <w:rtl/>
        </w:rPr>
        <w:t xml:space="preserve">، </w:t>
      </w:r>
      <w:r>
        <w:rPr>
          <w:noProof/>
        </w:rPr>
        <w:t>153</w:t>
      </w:r>
      <w:r>
        <w:rPr>
          <w:noProof/>
          <w:rtl/>
        </w:rPr>
        <w:t xml:space="preserve">، </w:t>
      </w:r>
      <w:r>
        <w:rPr>
          <w:noProof/>
        </w:rPr>
        <w:t>157</w:t>
      </w:r>
      <w:r>
        <w:rPr>
          <w:noProof/>
          <w:rtl/>
        </w:rPr>
        <w:t xml:space="preserve">، </w:t>
      </w:r>
      <w:r>
        <w:rPr>
          <w:noProof/>
        </w:rPr>
        <w:t>203</w:t>
      </w:r>
      <w:r>
        <w:rPr>
          <w:noProof/>
          <w:rtl/>
        </w:rPr>
        <w:t xml:space="preserve">، </w:t>
      </w:r>
      <w:r>
        <w:rPr>
          <w:noProof/>
        </w:rPr>
        <w:t>204</w:t>
      </w:r>
      <w:r>
        <w:rPr>
          <w:noProof/>
          <w:rtl/>
        </w:rPr>
        <w:t xml:space="preserve">، </w:t>
      </w:r>
      <w:r>
        <w:rPr>
          <w:noProof/>
        </w:rPr>
        <w:t>272</w:t>
      </w:r>
      <w:r>
        <w:rPr>
          <w:noProof/>
          <w:rtl/>
        </w:rPr>
        <w:t xml:space="preserve">، </w:t>
      </w:r>
      <w:r>
        <w:rPr>
          <w:noProof/>
        </w:rPr>
        <w:t>298</w:t>
      </w:r>
      <w:r>
        <w:rPr>
          <w:noProof/>
          <w:rtl/>
        </w:rPr>
        <w:t xml:space="preserve">، </w:t>
      </w:r>
      <w:r>
        <w:rPr>
          <w:noProof/>
        </w:rPr>
        <w:t>300</w:t>
      </w:r>
      <w:r>
        <w:rPr>
          <w:noProof/>
          <w:rtl/>
        </w:rPr>
        <w:t xml:space="preserve">، </w:t>
      </w:r>
      <w:r>
        <w:rPr>
          <w:noProof/>
        </w:rPr>
        <w:t>301</w:t>
      </w:r>
      <w:r>
        <w:rPr>
          <w:noProof/>
          <w:rtl/>
        </w:rPr>
        <w:t xml:space="preserve">، </w:t>
      </w:r>
      <w:r>
        <w:rPr>
          <w:noProof/>
        </w:rPr>
        <w:t>303</w:t>
      </w:r>
      <w:r>
        <w:rPr>
          <w:noProof/>
          <w:rtl/>
        </w:rPr>
        <w:t xml:space="preserve">، </w:t>
      </w:r>
      <w:r>
        <w:rPr>
          <w:noProof/>
        </w:rPr>
        <w:t>304</w:t>
      </w:r>
      <w:r>
        <w:rPr>
          <w:noProof/>
          <w:rtl/>
        </w:rPr>
        <w:t xml:space="preserve">، </w:t>
      </w:r>
      <w:r>
        <w:rPr>
          <w:noProof/>
        </w:rPr>
        <w:t>306</w:t>
      </w:r>
      <w:r>
        <w:rPr>
          <w:noProof/>
          <w:rtl/>
        </w:rPr>
        <w:t xml:space="preserve">، </w:t>
      </w:r>
      <w:r>
        <w:rPr>
          <w:noProof/>
        </w:rPr>
        <w:t>310</w:t>
      </w:r>
      <w:r>
        <w:rPr>
          <w:noProof/>
          <w:rtl/>
        </w:rPr>
        <w:t xml:space="preserve">، </w:t>
      </w:r>
      <w:r>
        <w:rPr>
          <w:noProof/>
        </w:rPr>
        <w:t>313</w:t>
      </w:r>
      <w:r>
        <w:rPr>
          <w:noProof/>
          <w:rtl/>
        </w:rPr>
        <w:t xml:space="preserve">، </w:t>
      </w:r>
      <w:r>
        <w:rPr>
          <w:noProof/>
        </w:rPr>
        <w:t>314</w:t>
      </w:r>
      <w:r>
        <w:rPr>
          <w:noProof/>
          <w:rtl/>
        </w:rPr>
        <w:t xml:space="preserve">، </w:t>
      </w:r>
      <w:r>
        <w:rPr>
          <w:noProof/>
        </w:rPr>
        <w:t>315</w:t>
      </w:r>
      <w:r>
        <w:rPr>
          <w:noProof/>
          <w:rtl/>
        </w:rPr>
        <w:t xml:space="preserve">، </w:t>
      </w:r>
      <w:r>
        <w:rPr>
          <w:noProof/>
        </w:rPr>
        <w:t>317</w:t>
      </w:r>
      <w:r>
        <w:rPr>
          <w:noProof/>
          <w:rtl/>
        </w:rPr>
        <w:t xml:space="preserve">، </w:t>
      </w:r>
      <w:r>
        <w:rPr>
          <w:noProof/>
        </w:rPr>
        <w:t>321</w:t>
      </w:r>
      <w:r>
        <w:rPr>
          <w:noProof/>
          <w:rtl/>
        </w:rPr>
        <w:t xml:space="preserve">، </w:t>
      </w:r>
      <w:r>
        <w:rPr>
          <w:noProof/>
        </w:rPr>
        <w:t>322</w:t>
      </w:r>
      <w:r>
        <w:rPr>
          <w:noProof/>
          <w:rtl/>
        </w:rPr>
        <w:t xml:space="preserve">، </w:t>
      </w:r>
      <w:r>
        <w:rPr>
          <w:noProof/>
        </w:rPr>
        <w:t>323</w:t>
      </w:r>
      <w:r>
        <w:rPr>
          <w:noProof/>
          <w:rtl/>
        </w:rPr>
        <w:t xml:space="preserve">، </w:t>
      </w:r>
      <w:r>
        <w:rPr>
          <w:noProof/>
        </w:rPr>
        <w:t>324</w:t>
      </w:r>
      <w:r>
        <w:rPr>
          <w:noProof/>
          <w:rtl/>
        </w:rPr>
        <w:t xml:space="preserve">، </w:t>
      </w:r>
      <w:r>
        <w:rPr>
          <w:noProof/>
        </w:rPr>
        <w:t>326</w:t>
      </w:r>
      <w:r>
        <w:rPr>
          <w:noProof/>
          <w:rtl/>
        </w:rPr>
        <w:t xml:space="preserve">، </w:t>
      </w:r>
      <w:r>
        <w:rPr>
          <w:noProof/>
        </w:rPr>
        <w:t>330</w:t>
      </w:r>
      <w:r>
        <w:rPr>
          <w:noProof/>
          <w:rtl/>
        </w:rPr>
        <w:t xml:space="preserve">، </w:t>
      </w:r>
      <w:r>
        <w:rPr>
          <w:noProof/>
        </w:rPr>
        <w:t>334</w:t>
      </w:r>
      <w:r>
        <w:rPr>
          <w:noProof/>
          <w:rtl/>
        </w:rPr>
        <w:t xml:space="preserve">، </w:t>
      </w:r>
      <w:r>
        <w:rPr>
          <w:noProof/>
        </w:rPr>
        <w:t>335</w:t>
      </w:r>
      <w:r>
        <w:rPr>
          <w:noProof/>
          <w:rtl/>
        </w:rPr>
        <w:t xml:space="preserve">، </w:t>
      </w:r>
      <w:r>
        <w:rPr>
          <w:noProof/>
        </w:rPr>
        <w:t>336</w:t>
      </w:r>
      <w:r>
        <w:rPr>
          <w:noProof/>
          <w:rtl/>
        </w:rPr>
        <w:t xml:space="preserve">، </w:t>
      </w:r>
      <w:r>
        <w:rPr>
          <w:noProof/>
        </w:rPr>
        <w:t>338</w:t>
      </w:r>
      <w:r>
        <w:rPr>
          <w:noProof/>
          <w:rtl/>
        </w:rPr>
        <w:t xml:space="preserve">، </w:t>
      </w:r>
      <w:r>
        <w:rPr>
          <w:noProof/>
        </w:rPr>
        <w:t>339</w:t>
      </w:r>
      <w:r>
        <w:rPr>
          <w:noProof/>
          <w:rtl/>
        </w:rPr>
        <w:t xml:space="preserve">، </w:t>
      </w:r>
      <w:r>
        <w:rPr>
          <w:noProof/>
        </w:rPr>
        <w:t>340</w:t>
      </w:r>
      <w:r>
        <w:rPr>
          <w:noProof/>
          <w:rtl/>
        </w:rPr>
        <w:t xml:space="preserve">، </w:t>
      </w:r>
      <w:r>
        <w:rPr>
          <w:noProof/>
        </w:rPr>
        <w:t>346</w:t>
      </w:r>
      <w:r>
        <w:rPr>
          <w:noProof/>
          <w:rtl/>
        </w:rPr>
        <w:t xml:space="preserve">، </w:t>
      </w:r>
      <w:r>
        <w:rPr>
          <w:noProof/>
        </w:rPr>
        <w:t>349</w:t>
      </w:r>
      <w:r>
        <w:rPr>
          <w:noProof/>
          <w:rtl/>
        </w:rPr>
        <w:t xml:space="preserve">، </w:t>
      </w:r>
      <w:r>
        <w:rPr>
          <w:noProof/>
        </w:rPr>
        <w:t>350</w:t>
      </w:r>
      <w:r>
        <w:rPr>
          <w:noProof/>
          <w:rtl/>
        </w:rPr>
        <w:t xml:space="preserve">، </w:t>
      </w:r>
      <w:r>
        <w:rPr>
          <w:noProof/>
        </w:rPr>
        <w:t>351</w:t>
      </w:r>
      <w:r>
        <w:rPr>
          <w:noProof/>
          <w:rtl/>
        </w:rPr>
        <w:t xml:space="preserve">، </w:t>
      </w:r>
      <w:r>
        <w:rPr>
          <w:noProof/>
        </w:rPr>
        <w:t>353</w:t>
      </w:r>
      <w:r>
        <w:rPr>
          <w:noProof/>
          <w:rtl/>
        </w:rPr>
        <w:t xml:space="preserve">، </w:t>
      </w:r>
      <w:r>
        <w:rPr>
          <w:noProof/>
        </w:rPr>
        <w:t>361</w:t>
      </w:r>
      <w:r>
        <w:rPr>
          <w:noProof/>
          <w:rtl/>
        </w:rPr>
        <w:t xml:space="preserve">، </w:t>
      </w:r>
      <w:r>
        <w:rPr>
          <w:noProof/>
        </w:rPr>
        <w:t>363</w:t>
      </w:r>
      <w:r>
        <w:rPr>
          <w:noProof/>
          <w:rtl/>
        </w:rPr>
        <w:t xml:space="preserve">، </w:t>
      </w:r>
      <w:r>
        <w:rPr>
          <w:noProof/>
        </w:rPr>
        <w:t>365</w:t>
      </w:r>
      <w:r>
        <w:rPr>
          <w:noProof/>
          <w:rtl/>
        </w:rPr>
        <w:t xml:space="preserve">، </w:t>
      </w:r>
      <w:r>
        <w:rPr>
          <w:noProof/>
        </w:rPr>
        <w:t>369</w:t>
      </w:r>
      <w:r>
        <w:rPr>
          <w:noProof/>
          <w:rtl/>
        </w:rPr>
        <w:t xml:space="preserve">، </w:t>
      </w:r>
      <w:r>
        <w:rPr>
          <w:noProof/>
        </w:rPr>
        <w:t>370</w:t>
      </w:r>
      <w:r>
        <w:rPr>
          <w:noProof/>
          <w:rtl/>
        </w:rPr>
        <w:t xml:space="preserve">، </w:t>
      </w:r>
      <w:r>
        <w:rPr>
          <w:noProof/>
        </w:rPr>
        <w:t>371</w:t>
      </w:r>
      <w:r>
        <w:rPr>
          <w:noProof/>
          <w:rtl/>
        </w:rPr>
        <w:t xml:space="preserve">، </w:t>
      </w:r>
      <w:r>
        <w:rPr>
          <w:noProof/>
        </w:rPr>
        <w:t>373</w:t>
      </w:r>
      <w:r>
        <w:rPr>
          <w:noProof/>
          <w:rtl/>
        </w:rPr>
        <w:t xml:space="preserve">، </w:t>
      </w:r>
      <w:r>
        <w:rPr>
          <w:noProof/>
        </w:rPr>
        <w:t>377</w:t>
      </w:r>
      <w:r>
        <w:rPr>
          <w:noProof/>
          <w:rtl/>
        </w:rPr>
        <w:t xml:space="preserve">، </w:t>
      </w:r>
      <w:r>
        <w:rPr>
          <w:noProof/>
        </w:rPr>
        <w:t>378</w:t>
      </w:r>
      <w:r>
        <w:rPr>
          <w:noProof/>
          <w:rtl/>
        </w:rPr>
        <w:t xml:space="preserve">، </w:t>
      </w:r>
      <w:r>
        <w:rPr>
          <w:noProof/>
        </w:rPr>
        <w:t>380</w:t>
      </w:r>
      <w:r>
        <w:rPr>
          <w:noProof/>
          <w:rtl/>
        </w:rPr>
        <w:t xml:space="preserve">، </w:t>
      </w:r>
      <w:r>
        <w:rPr>
          <w:noProof/>
        </w:rPr>
        <w:t>381</w:t>
      </w:r>
      <w:r>
        <w:rPr>
          <w:noProof/>
          <w:rtl/>
        </w:rPr>
        <w:t xml:space="preserve">، </w:t>
      </w:r>
      <w:r>
        <w:rPr>
          <w:noProof/>
        </w:rPr>
        <w:t>385</w:t>
      </w:r>
      <w:r>
        <w:rPr>
          <w:noProof/>
          <w:rtl/>
        </w:rPr>
        <w:t xml:space="preserve">، </w:t>
      </w:r>
      <w:r>
        <w:rPr>
          <w:noProof/>
        </w:rPr>
        <w:t>420</w:t>
      </w:r>
      <w:r>
        <w:rPr>
          <w:noProof/>
          <w:rtl/>
        </w:rPr>
        <w:t xml:space="preserve">، </w:t>
      </w:r>
      <w:r>
        <w:rPr>
          <w:noProof/>
        </w:rPr>
        <w:t>445</w:t>
      </w:r>
      <w:r>
        <w:rPr>
          <w:noProof/>
          <w:rtl/>
        </w:rPr>
        <w:t xml:space="preserve">، </w:t>
      </w:r>
      <w:r>
        <w:rPr>
          <w:noProof/>
        </w:rPr>
        <w:t>447</w:t>
      </w:r>
    </w:p>
    <w:p w:rsidR="002002F4" w:rsidRDefault="002002F4" w:rsidP="00074DA4">
      <w:pPr>
        <w:spacing w:line="192" w:lineRule="auto"/>
        <w:ind w:firstLine="0"/>
        <w:rPr>
          <w:noProof/>
        </w:rPr>
      </w:pPr>
      <w:r>
        <w:rPr>
          <w:noProof/>
          <w:rtl/>
        </w:rPr>
        <w:t xml:space="preserve">كتاب حكم نافذ، </w:t>
      </w:r>
      <w:r>
        <w:rPr>
          <w:noProof/>
        </w:rPr>
        <w:t>353</w:t>
      </w:r>
    </w:p>
    <w:p w:rsidR="002002F4" w:rsidRDefault="002002F4" w:rsidP="00074DA4">
      <w:pPr>
        <w:spacing w:line="192" w:lineRule="auto"/>
        <w:ind w:firstLine="0"/>
        <w:rPr>
          <w:noProof/>
        </w:rPr>
      </w:pPr>
      <w:r>
        <w:rPr>
          <w:noProof/>
          <w:rtl/>
        </w:rPr>
        <w:t xml:space="preserve">كتاب العين، </w:t>
      </w:r>
      <w:r>
        <w:rPr>
          <w:noProof/>
        </w:rPr>
        <w:t>40</w:t>
      </w:r>
    </w:p>
    <w:p w:rsidR="002002F4" w:rsidRDefault="002002F4" w:rsidP="00074DA4">
      <w:pPr>
        <w:spacing w:line="192" w:lineRule="auto"/>
        <w:ind w:firstLine="0"/>
        <w:rPr>
          <w:noProof/>
        </w:rPr>
      </w:pPr>
      <w:r>
        <w:rPr>
          <w:noProof/>
          <w:rtl/>
        </w:rPr>
        <w:t xml:space="preserve">كتاب الغَيْبة، </w:t>
      </w:r>
      <w:r>
        <w:rPr>
          <w:noProof/>
        </w:rPr>
        <w:t>123</w:t>
      </w:r>
      <w:r>
        <w:rPr>
          <w:noProof/>
          <w:rtl/>
        </w:rPr>
        <w:t xml:space="preserve">، </w:t>
      </w:r>
      <w:r>
        <w:rPr>
          <w:noProof/>
        </w:rPr>
        <w:t>376</w:t>
      </w:r>
    </w:p>
    <w:p w:rsidR="002002F4" w:rsidRDefault="002002F4" w:rsidP="00074DA4">
      <w:pPr>
        <w:spacing w:line="192" w:lineRule="auto"/>
        <w:ind w:firstLine="0"/>
        <w:rPr>
          <w:noProof/>
        </w:rPr>
      </w:pPr>
      <w:r>
        <w:rPr>
          <w:noProof/>
          <w:rtl/>
        </w:rPr>
        <w:t xml:space="preserve">كتاب القضاء والشهادات، </w:t>
      </w:r>
      <w:r>
        <w:rPr>
          <w:noProof/>
        </w:rPr>
        <w:t>317</w:t>
      </w:r>
      <w:r>
        <w:rPr>
          <w:noProof/>
          <w:rtl/>
        </w:rPr>
        <w:t xml:space="preserve">، </w:t>
      </w:r>
      <w:r>
        <w:rPr>
          <w:noProof/>
        </w:rPr>
        <w:t>327</w:t>
      </w:r>
      <w:r>
        <w:rPr>
          <w:noProof/>
          <w:rtl/>
        </w:rPr>
        <w:t xml:space="preserve">، </w:t>
      </w:r>
      <w:r>
        <w:rPr>
          <w:noProof/>
        </w:rPr>
        <w:t>340</w:t>
      </w:r>
      <w:r>
        <w:rPr>
          <w:noProof/>
          <w:rtl/>
        </w:rPr>
        <w:t xml:space="preserve">، </w:t>
      </w:r>
      <w:r>
        <w:rPr>
          <w:noProof/>
        </w:rPr>
        <w:t>346</w:t>
      </w:r>
      <w:r>
        <w:rPr>
          <w:noProof/>
          <w:rtl/>
        </w:rPr>
        <w:t xml:space="preserve">، </w:t>
      </w:r>
      <w:r>
        <w:rPr>
          <w:noProof/>
        </w:rPr>
        <w:t>353</w:t>
      </w:r>
      <w:r>
        <w:rPr>
          <w:noProof/>
          <w:rtl/>
        </w:rPr>
        <w:t xml:space="preserve">، </w:t>
      </w:r>
      <w:r>
        <w:rPr>
          <w:noProof/>
        </w:rPr>
        <w:t>377</w:t>
      </w:r>
      <w:r>
        <w:rPr>
          <w:noProof/>
          <w:rtl/>
        </w:rPr>
        <w:t xml:space="preserve">، </w:t>
      </w:r>
      <w:r>
        <w:rPr>
          <w:noProof/>
        </w:rPr>
        <w:t>382</w:t>
      </w:r>
    </w:p>
    <w:p w:rsidR="002002F4" w:rsidRDefault="002002F4" w:rsidP="00074DA4">
      <w:pPr>
        <w:spacing w:line="192" w:lineRule="auto"/>
        <w:ind w:firstLine="0"/>
        <w:rPr>
          <w:noProof/>
        </w:rPr>
      </w:pPr>
      <w:r>
        <w:rPr>
          <w:noProof/>
          <w:rtl/>
        </w:rPr>
        <w:t xml:space="preserve">كتاب مَنْ لا يحضره الفقيه، </w:t>
      </w:r>
      <w:r>
        <w:rPr>
          <w:noProof/>
        </w:rPr>
        <w:t>115</w:t>
      </w:r>
      <w:r>
        <w:rPr>
          <w:noProof/>
          <w:rtl/>
        </w:rPr>
        <w:t xml:space="preserve">، </w:t>
      </w:r>
      <w:r>
        <w:rPr>
          <w:noProof/>
        </w:rPr>
        <w:t>286</w:t>
      </w:r>
      <w:r>
        <w:rPr>
          <w:noProof/>
          <w:rtl/>
        </w:rPr>
        <w:t xml:space="preserve">، </w:t>
      </w:r>
      <w:r>
        <w:rPr>
          <w:noProof/>
        </w:rPr>
        <w:t>302</w:t>
      </w:r>
      <w:r>
        <w:rPr>
          <w:noProof/>
          <w:rtl/>
        </w:rPr>
        <w:t xml:space="preserve">، </w:t>
      </w:r>
      <w:r>
        <w:rPr>
          <w:noProof/>
        </w:rPr>
        <w:t>363</w:t>
      </w:r>
    </w:p>
    <w:p w:rsidR="002002F4" w:rsidRDefault="002002F4" w:rsidP="00074DA4">
      <w:pPr>
        <w:spacing w:line="192" w:lineRule="auto"/>
        <w:ind w:firstLine="0"/>
        <w:rPr>
          <w:noProof/>
        </w:rPr>
      </w:pPr>
      <w:r>
        <w:rPr>
          <w:noProof/>
          <w:rtl/>
        </w:rPr>
        <w:t xml:space="preserve">كشف الأسرار، </w:t>
      </w:r>
      <w:r>
        <w:rPr>
          <w:noProof/>
        </w:rPr>
        <w:t>138</w:t>
      </w:r>
      <w:r>
        <w:rPr>
          <w:noProof/>
          <w:rtl/>
        </w:rPr>
        <w:t xml:space="preserve">، </w:t>
      </w:r>
      <w:r>
        <w:rPr>
          <w:noProof/>
        </w:rPr>
        <w:t>172</w:t>
      </w:r>
      <w:r>
        <w:rPr>
          <w:noProof/>
          <w:rtl/>
        </w:rPr>
        <w:t xml:space="preserve">، </w:t>
      </w:r>
      <w:r>
        <w:rPr>
          <w:noProof/>
        </w:rPr>
        <w:t>214</w:t>
      </w:r>
      <w:r>
        <w:rPr>
          <w:noProof/>
          <w:rtl/>
        </w:rPr>
        <w:t xml:space="preserve">، </w:t>
      </w:r>
      <w:r>
        <w:rPr>
          <w:noProof/>
        </w:rPr>
        <w:t>215</w:t>
      </w:r>
      <w:r>
        <w:rPr>
          <w:noProof/>
          <w:rtl/>
        </w:rPr>
        <w:t xml:space="preserve">، </w:t>
      </w:r>
      <w:r>
        <w:rPr>
          <w:noProof/>
        </w:rPr>
        <w:t>281</w:t>
      </w:r>
      <w:r>
        <w:rPr>
          <w:noProof/>
          <w:rtl/>
        </w:rPr>
        <w:t xml:space="preserve">، </w:t>
      </w:r>
      <w:r>
        <w:rPr>
          <w:noProof/>
        </w:rPr>
        <w:t>287</w:t>
      </w:r>
      <w:r>
        <w:rPr>
          <w:noProof/>
          <w:rtl/>
        </w:rPr>
        <w:t xml:space="preserve">، </w:t>
      </w:r>
      <w:r>
        <w:rPr>
          <w:noProof/>
        </w:rPr>
        <w:t>417</w:t>
      </w:r>
    </w:p>
    <w:p w:rsidR="002002F4" w:rsidRDefault="002002F4" w:rsidP="00074DA4">
      <w:pPr>
        <w:spacing w:line="192" w:lineRule="auto"/>
        <w:ind w:firstLine="0"/>
        <w:rPr>
          <w:noProof/>
        </w:rPr>
      </w:pPr>
      <w:r>
        <w:rPr>
          <w:noProof/>
          <w:rtl/>
        </w:rPr>
        <w:t xml:space="preserve">كشف الغايات في شرح ما اكتنفت عليه التجلّيات، </w:t>
      </w:r>
      <w:r>
        <w:rPr>
          <w:noProof/>
        </w:rPr>
        <w:t>46</w:t>
      </w:r>
    </w:p>
    <w:p w:rsidR="002002F4" w:rsidRDefault="002002F4" w:rsidP="00074DA4">
      <w:pPr>
        <w:spacing w:line="192" w:lineRule="auto"/>
        <w:ind w:firstLine="0"/>
        <w:rPr>
          <w:noProof/>
        </w:rPr>
      </w:pPr>
      <w:r>
        <w:rPr>
          <w:noProof/>
          <w:rtl/>
        </w:rPr>
        <w:t xml:space="preserve">كشف الغطاء عن مبهمات الشريعة الغراء، </w:t>
      </w:r>
      <w:r>
        <w:rPr>
          <w:noProof/>
        </w:rPr>
        <w:t>83</w:t>
      </w:r>
      <w:r>
        <w:rPr>
          <w:noProof/>
          <w:rtl/>
        </w:rPr>
        <w:t xml:space="preserve">، </w:t>
      </w:r>
      <w:r>
        <w:rPr>
          <w:noProof/>
        </w:rPr>
        <w:t>130</w:t>
      </w:r>
      <w:r>
        <w:rPr>
          <w:noProof/>
          <w:rtl/>
        </w:rPr>
        <w:t xml:space="preserve">، </w:t>
      </w:r>
      <w:r>
        <w:rPr>
          <w:noProof/>
        </w:rPr>
        <w:t>134</w:t>
      </w:r>
      <w:r>
        <w:rPr>
          <w:noProof/>
          <w:rtl/>
        </w:rPr>
        <w:t xml:space="preserve">، </w:t>
      </w:r>
      <w:r>
        <w:rPr>
          <w:noProof/>
        </w:rPr>
        <w:t>275</w:t>
      </w:r>
      <w:r>
        <w:rPr>
          <w:noProof/>
          <w:rtl/>
        </w:rPr>
        <w:t xml:space="preserve">، </w:t>
      </w:r>
      <w:r>
        <w:rPr>
          <w:noProof/>
        </w:rPr>
        <w:t>291</w:t>
      </w:r>
      <w:r>
        <w:rPr>
          <w:noProof/>
          <w:rtl/>
        </w:rPr>
        <w:t xml:space="preserve">، </w:t>
      </w:r>
      <w:r>
        <w:rPr>
          <w:noProof/>
        </w:rPr>
        <w:t>415</w:t>
      </w:r>
      <w:r>
        <w:rPr>
          <w:noProof/>
          <w:rtl/>
        </w:rPr>
        <w:t xml:space="preserve">، </w:t>
      </w:r>
      <w:r>
        <w:rPr>
          <w:noProof/>
        </w:rPr>
        <w:t>428</w:t>
      </w:r>
    </w:p>
    <w:p w:rsidR="002002F4" w:rsidRDefault="002002F4" w:rsidP="00074DA4">
      <w:pPr>
        <w:spacing w:line="192" w:lineRule="auto"/>
        <w:ind w:firstLine="0"/>
        <w:rPr>
          <w:noProof/>
        </w:rPr>
      </w:pPr>
      <w:r>
        <w:rPr>
          <w:noProof/>
          <w:rtl/>
        </w:rPr>
        <w:t xml:space="preserve">كشف الغمّة، </w:t>
      </w:r>
      <w:r>
        <w:rPr>
          <w:noProof/>
        </w:rPr>
        <w:t>376</w:t>
      </w:r>
      <w:r>
        <w:rPr>
          <w:noProof/>
          <w:rtl/>
        </w:rPr>
        <w:t xml:space="preserve">، </w:t>
      </w:r>
      <w:r>
        <w:rPr>
          <w:noProof/>
        </w:rPr>
        <w:t>383</w:t>
      </w:r>
    </w:p>
    <w:p w:rsidR="002002F4" w:rsidRDefault="002002F4" w:rsidP="00074DA4">
      <w:pPr>
        <w:spacing w:line="192" w:lineRule="auto"/>
        <w:ind w:firstLine="0"/>
        <w:rPr>
          <w:noProof/>
        </w:rPr>
      </w:pPr>
      <w:r>
        <w:rPr>
          <w:noProof/>
          <w:rtl/>
        </w:rPr>
        <w:t xml:space="preserve">كشف المراد في شرح تجريد الإعتقاد، </w:t>
      </w:r>
      <w:r>
        <w:rPr>
          <w:noProof/>
        </w:rPr>
        <w:t>58</w:t>
      </w:r>
      <w:r>
        <w:rPr>
          <w:noProof/>
          <w:rtl/>
        </w:rPr>
        <w:t xml:space="preserve">، </w:t>
      </w:r>
      <w:r>
        <w:rPr>
          <w:noProof/>
        </w:rPr>
        <w:t>59</w:t>
      </w:r>
      <w:r>
        <w:rPr>
          <w:noProof/>
          <w:rtl/>
        </w:rPr>
        <w:t xml:space="preserve">، </w:t>
      </w:r>
      <w:r>
        <w:rPr>
          <w:noProof/>
        </w:rPr>
        <w:t>137</w:t>
      </w:r>
      <w:r>
        <w:rPr>
          <w:noProof/>
          <w:rtl/>
        </w:rPr>
        <w:t xml:space="preserve">، </w:t>
      </w:r>
      <w:r>
        <w:rPr>
          <w:noProof/>
        </w:rPr>
        <w:t>427</w:t>
      </w:r>
    </w:p>
    <w:p w:rsidR="002002F4" w:rsidRDefault="002002F4" w:rsidP="00074DA4">
      <w:pPr>
        <w:spacing w:line="192" w:lineRule="auto"/>
        <w:ind w:firstLine="0"/>
        <w:rPr>
          <w:noProof/>
          <w:rtl/>
        </w:rPr>
      </w:pPr>
      <w:r>
        <w:rPr>
          <w:noProof/>
          <w:rtl/>
        </w:rPr>
        <w:t xml:space="preserve">كفاية الأصول، </w:t>
      </w:r>
      <w:r>
        <w:rPr>
          <w:noProof/>
        </w:rPr>
        <w:t>68</w:t>
      </w:r>
      <w:r>
        <w:rPr>
          <w:noProof/>
          <w:rtl/>
        </w:rPr>
        <w:t xml:space="preserve">، </w:t>
      </w:r>
      <w:r>
        <w:rPr>
          <w:noProof/>
        </w:rPr>
        <w:t>410</w:t>
      </w:r>
      <w:r>
        <w:rPr>
          <w:noProof/>
          <w:rtl/>
        </w:rPr>
        <w:t xml:space="preserve">، </w:t>
      </w:r>
      <w:r>
        <w:rPr>
          <w:noProof/>
        </w:rPr>
        <w:t>381</w:t>
      </w:r>
      <w:r>
        <w:rPr>
          <w:noProof/>
          <w:rtl/>
        </w:rPr>
        <w:t xml:space="preserve">، </w:t>
      </w:r>
      <w:r>
        <w:rPr>
          <w:noProof/>
        </w:rPr>
        <w:t>417</w:t>
      </w:r>
    </w:p>
    <w:p w:rsidR="002002F4" w:rsidRDefault="002002F4" w:rsidP="00074DA4">
      <w:pPr>
        <w:spacing w:line="192" w:lineRule="auto"/>
        <w:ind w:firstLine="0"/>
        <w:rPr>
          <w:noProof/>
        </w:rPr>
      </w:pPr>
      <w:r>
        <w:rPr>
          <w:noProof/>
          <w:rtl/>
        </w:rPr>
        <w:t xml:space="preserve">كلمات سديدة في مسائل جديدة، </w:t>
      </w:r>
      <w:r>
        <w:rPr>
          <w:noProof/>
        </w:rPr>
        <w:t>73</w:t>
      </w:r>
      <w:r>
        <w:rPr>
          <w:noProof/>
          <w:rtl/>
        </w:rPr>
        <w:t xml:space="preserve">، </w:t>
      </w:r>
      <w:r>
        <w:rPr>
          <w:noProof/>
        </w:rPr>
        <w:t>143</w:t>
      </w:r>
      <w:r>
        <w:rPr>
          <w:noProof/>
          <w:rtl/>
        </w:rPr>
        <w:t xml:space="preserve">، </w:t>
      </w:r>
      <w:r>
        <w:rPr>
          <w:noProof/>
        </w:rPr>
        <w:t>144</w:t>
      </w:r>
      <w:r>
        <w:rPr>
          <w:noProof/>
          <w:rtl/>
        </w:rPr>
        <w:t xml:space="preserve">، </w:t>
      </w:r>
      <w:r>
        <w:rPr>
          <w:noProof/>
        </w:rPr>
        <w:t>145</w:t>
      </w:r>
      <w:r>
        <w:rPr>
          <w:noProof/>
          <w:rtl/>
        </w:rPr>
        <w:t xml:space="preserve">، </w:t>
      </w:r>
      <w:r>
        <w:rPr>
          <w:noProof/>
        </w:rPr>
        <w:t>146</w:t>
      </w:r>
    </w:p>
    <w:p w:rsidR="002002F4" w:rsidRDefault="002002F4" w:rsidP="00074DA4">
      <w:pPr>
        <w:spacing w:line="192" w:lineRule="auto"/>
        <w:ind w:firstLine="0"/>
        <w:rPr>
          <w:noProof/>
        </w:rPr>
      </w:pPr>
      <w:r>
        <w:rPr>
          <w:noProof/>
          <w:rtl/>
        </w:rPr>
        <w:t xml:space="preserve">كلمة نافذ، </w:t>
      </w:r>
      <w:r>
        <w:rPr>
          <w:noProof/>
        </w:rPr>
        <w:t>330</w:t>
      </w:r>
    </w:p>
    <w:p w:rsidR="002002F4" w:rsidRDefault="002002F4" w:rsidP="00074DA4">
      <w:pPr>
        <w:spacing w:line="192" w:lineRule="auto"/>
        <w:ind w:firstLine="0"/>
        <w:rPr>
          <w:noProof/>
        </w:rPr>
      </w:pPr>
      <w:r>
        <w:rPr>
          <w:noProof/>
          <w:rtl/>
        </w:rPr>
        <w:t xml:space="preserve">كمال الدين، </w:t>
      </w:r>
      <w:r>
        <w:rPr>
          <w:noProof/>
        </w:rPr>
        <w:t>123</w:t>
      </w:r>
      <w:r>
        <w:rPr>
          <w:noProof/>
          <w:rtl/>
        </w:rPr>
        <w:t xml:space="preserve">، </w:t>
      </w:r>
      <w:r>
        <w:rPr>
          <w:noProof/>
        </w:rPr>
        <w:t>375</w:t>
      </w:r>
      <w:r>
        <w:rPr>
          <w:noProof/>
          <w:rtl/>
        </w:rPr>
        <w:t xml:space="preserve">، </w:t>
      </w:r>
      <w:r>
        <w:rPr>
          <w:noProof/>
        </w:rPr>
        <w:t>376</w:t>
      </w:r>
      <w:r>
        <w:rPr>
          <w:noProof/>
          <w:rtl/>
        </w:rPr>
        <w:t xml:space="preserve">، </w:t>
      </w:r>
      <w:r>
        <w:rPr>
          <w:noProof/>
        </w:rPr>
        <w:t>383</w:t>
      </w:r>
      <w:r>
        <w:rPr>
          <w:noProof/>
          <w:rtl/>
        </w:rPr>
        <w:t xml:space="preserve">، </w:t>
      </w:r>
      <w:r>
        <w:rPr>
          <w:noProof/>
        </w:rPr>
        <w:t>384</w:t>
      </w:r>
    </w:p>
    <w:p w:rsidR="002002F4" w:rsidRDefault="002002F4" w:rsidP="00074DA4">
      <w:pPr>
        <w:spacing w:line="192" w:lineRule="auto"/>
        <w:ind w:firstLine="0"/>
        <w:rPr>
          <w:noProof/>
        </w:rPr>
      </w:pPr>
      <w:r>
        <w:rPr>
          <w:noProof/>
          <w:rtl/>
        </w:rPr>
        <w:t xml:space="preserve">كنز العرفان في فقه القرآن، </w:t>
      </w:r>
      <w:r>
        <w:rPr>
          <w:noProof/>
        </w:rPr>
        <w:t>97</w:t>
      </w:r>
      <w:r>
        <w:rPr>
          <w:noProof/>
          <w:rtl/>
        </w:rPr>
        <w:t xml:space="preserve">، </w:t>
      </w:r>
      <w:r>
        <w:rPr>
          <w:noProof/>
        </w:rPr>
        <w:t>98</w:t>
      </w:r>
    </w:p>
    <w:p w:rsidR="002002F4" w:rsidRDefault="002002F4" w:rsidP="00074DA4">
      <w:pPr>
        <w:spacing w:line="192" w:lineRule="auto"/>
        <w:ind w:firstLine="0"/>
        <w:rPr>
          <w:noProof/>
        </w:rPr>
      </w:pPr>
      <w:r>
        <w:rPr>
          <w:noProof/>
          <w:rtl/>
        </w:rPr>
        <w:t xml:space="preserve">كنز العمال، </w:t>
      </w:r>
      <w:r>
        <w:rPr>
          <w:noProof/>
        </w:rPr>
        <w:t>303</w:t>
      </w:r>
      <w:r>
        <w:rPr>
          <w:noProof/>
          <w:rtl/>
        </w:rPr>
        <w:t xml:space="preserve">، </w:t>
      </w:r>
      <w:r>
        <w:rPr>
          <w:noProof/>
        </w:rPr>
        <w:t>312</w:t>
      </w:r>
    </w:p>
    <w:p w:rsidR="002002F4" w:rsidRDefault="002002F4" w:rsidP="00074DA4">
      <w:pPr>
        <w:spacing w:line="192" w:lineRule="auto"/>
        <w:ind w:firstLine="0"/>
        <w:rPr>
          <w:noProof/>
        </w:rPr>
      </w:pPr>
      <w:r>
        <w:rPr>
          <w:noProof/>
          <w:rtl/>
        </w:rPr>
        <w:t xml:space="preserve">كنز الفوائد، </w:t>
      </w:r>
      <w:r>
        <w:rPr>
          <w:noProof/>
        </w:rPr>
        <w:t>117</w:t>
      </w:r>
      <w:r>
        <w:rPr>
          <w:noProof/>
          <w:rtl/>
        </w:rPr>
        <w:t xml:space="preserve">، </w:t>
      </w:r>
      <w:r>
        <w:rPr>
          <w:noProof/>
        </w:rPr>
        <w:t>333</w:t>
      </w:r>
    </w:p>
    <w:p w:rsidR="002002F4" w:rsidRDefault="002002F4" w:rsidP="00074DA4">
      <w:pPr>
        <w:spacing w:line="192" w:lineRule="auto"/>
        <w:ind w:firstLine="0"/>
        <w:rPr>
          <w:noProof/>
        </w:rPr>
      </w:pPr>
      <w:r>
        <w:rPr>
          <w:noProof/>
          <w:rtl/>
        </w:rPr>
        <w:t xml:space="preserve">كيهان (صحيفة)، </w:t>
      </w:r>
      <w:r>
        <w:rPr>
          <w:noProof/>
        </w:rPr>
        <w:t>220</w:t>
      </w:r>
      <w:r>
        <w:rPr>
          <w:noProof/>
          <w:rtl/>
        </w:rPr>
        <w:t xml:space="preserve">، </w:t>
      </w:r>
      <w:r>
        <w:rPr>
          <w:noProof/>
        </w:rPr>
        <w:t>221</w:t>
      </w:r>
      <w:r>
        <w:rPr>
          <w:noProof/>
          <w:rtl/>
        </w:rPr>
        <w:t xml:space="preserve">، </w:t>
      </w:r>
      <w:r>
        <w:rPr>
          <w:noProof/>
        </w:rPr>
        <w:t>222</w:t>
      </w:r>
      <w:r>
        <w:rPr>
          <w:noProof/>
          <w:rtl/>
        </w:rPr>
        <w:t xml:space="preserve">، </w:t>
      </w:r>
      <w:r>
        <w:rPr>
          <w:noProof/>
        </w:rPr>
        <w:t>223</w:t>
      </w:r>
      <w:r>
        <w:rPr>
          <w:noProof/>
          <w:rtl/>
        </w:rPr>
        <w:t xml:space="preserve">، </w:t>
      </w:r>
      <w:r>
        <w:rPr>
          <w:noProof/>
        </w:rPr>
        <w:t>224</w:t>
      </w:r>
      <w:r>
        <w:rPr>
          <w:noProof/>
          <w:rtl/>
        </w:rPr>
        <w:t xml:space="preserve">، </w:t>
      </w:r>
      <w:r>
        <w:rPr>
          <w:noProof/>
        </w:rPr>
        <w:t>228</w:t>
      </w:r>
      <w:r>
        <w:rPr>
          <w:noProof/>
          <w:rtl/>
        </w:rPr>
        <w:t xml:space="preserve">، </w:t>
      </w:r>
      <w:r>
        <w:rPr>
          <w:noProof/>
        </w:rPr>
        <w:t>229</w:t>
      </w:r>
    </w:p>
    <w:p w:rsidR="002002F4" w:rsidRDefault="002002F4" w:rsidP="00074DA4">
      <w:pPr>
        <w:spacing w:line="192" w:lineRule="auto"/>
        <w:ind w:firstLine="0"/>
        <w:rPr>
          <w:noProof/>
        </w:rPr>
      </w:pPr>
      <w:r>
        <w:rPr>
          <w:noProof/>
          <w:rtl/>
        </w:rPr>
        <w:t xml:space="preserve">گلستان سعدي، </w:t>
      </w:r>
      <w:r>
        <w:rPr>
          <w:noProof/>
        </w:rPr>
        <w:t>199</w:t>
      </w:r>
    </w:p>
    <w:p w:rsidR="002002F4" w:rsidRDefault="002002F4" w:rsidP="00074DA4">
      <w:pPr>
        <w:spacing w:line="192" w:lineRule="auto"/>
        <w:ind w:firstLine="0"/>
        <w:rPr>
          <w:noProof/>
        </w:rPr>
      </w:pPr>
      <w:r>
        <w:rPr>
          <w:noProof/>
          <w:rtl/>
        </w:rPr>
        <w:t xml:space="preserve">گوهر مراد، </w:t>
      </w:r>
      <w:r>
        <w:rPr>
          <w:noProof/>
        </w:rPr>
        <w:t>63</w:t>
      </w:r>
      <w:r>
        <w:rPr>
          <w:noProof/>
          <w:rtl/>
        </w:rPr>
        <w:t xml:space="preserve">، </w:t>
      </w:r>
      <w:r>
        <w:rPr>
          <w:noProof/>
        </w:rPr>
        <w:t>137</w:t>
      </w:r>
      <w:r>
        <w:rPr>
          <w:noProof/>
          <w:rtl/>
        </w:rPr>
        <w:t xml:space="preserve">، </w:t>
      </w:r>
      <w:r>
        <w:rPr>
          <w:noProof/>
        </w:rPr>
        <w:t>275</w:t>
      </w:r>
      <w:r>
        <w:rPr>
          <w:noProof/>
          <w:rtl/>
        </w:rPr>
        <w:t xml:space="preserve">، </w:t>
      </w:r>
      <w:r>
        <w:rPr>
          <w:noProof/>
        </w:rPr>
        <w:t>277</w:t>
      </w:r>
    </w:p>
    <w:p w:rsidR="002002F4" w:rsidRDefault="002002F4" w:rsidP="00074DA4">
      <w:pPr>
        <w:spacing w:line="192" w:lineRule="auto"/>
        <w:ind w:firstLine="0"/>
        <w:rPr>
          <w:noProof/>
        </w:rPr>
      </w:pPr>
      <w:r>
        <w:rPr>
          <w:noProof/>
          <w:rtl/>
        </w:rPr>
        <w:t xml:space="preserve">لبّ اللباب، </w:t>
      </w:r>
      <w:r>
        <w:rPr>
          <w:noProof/>
        </w:rPr>
        <w:t>303</w:t>
      </w:r>
    </w:p>
    <w:p w:rsidR="002002F4" w:rsidRDefault="002002F4" w:rsidP="00074DA4">
      <w:pPr>
        <w:spacing w:line="192" w:lineRule="auto"/>
        <w:ind w:firstLine="0"/>
        <w:rPr>
          <w:noProof/>
        </w:rPr>
      </w:pPr>
      <w:r>
        <w:rPr>
          <w:noProof/>
          <w:rtl/>
        </w:rPr>
        <w:t xml:space="preserve">لسان العرب، </w:t>
      </w:r>
      <w:r>
        <w:rPr>
          <w:noProof/>
        </w:rPr>
        <w:t>40</w:t>
      </w:r>
      <w:r>
        <w:rPr>
          <w:noProof/>
          <w:rtl/>
        </w:rPr>
        <w:t xml:space="preserve">، </w:t>
      </w:r>
      <w:r>
        <w:rPr>
          <w:noProof/>
        </w:rPr>
        <w:t>357</w:t>
      </w:r>
    </w:p>
    <w:p w:rsidR="002002F4" w:rsidRDefault="002002F4" w:rsidP="00074DA4">
      <w:pPr>
        <w:spacing w:line="192" w:lineRule="auto"/>
        <w:ind w:firstLine="0"/>
        <w:rPr>
          <w:noProof/>
        </w:rPr>
      </w:pPr>
      <w:r>
        <w:rPr>
          <w:noProof/>
          <w:rtl/>
        </w:rPr>
        <w:t xml:space="preserve">لغتنامه دهخدا، </w:t>
      </w:r>
      <w:r>
        <w:rPr>
          <w:noProof/>
        </w:rPr>
        <w:t>41</w:t>
      </w:r>
    </w:p>
    <w:p w:rsidR="002002F4" w:rsidRDefault="002002F4" w:rsidP="00074DA4">
      <w:pPr>
        <w:spacing w:line="192" w:lineRule="auto"/>
        <w:ind w:firstLine="0"/>
        <w:rPr>
          <w:noProof/>
        </w:rPr>
      </w:pPr>
      <w:r>
        <w:rPr>
          <w:noProof/>
          <w:rtl/>
        </w:rPr>
        <w:t xml:space="preserve">اللوموند (صحيفة)، </w:t>
      </w:r>
      <w:r>
        <w:rPr>
          <w:noProof/>
        </w:rPr>
        <w:t>210</w:t>
      </w:r>
      <w:r>
        <w:rPr>
          <w:noProof/>
          <w:rtl/>
        </w:rPr>
        <w:t xml:space="preserve">، </w:t>
      </w:r>
      <w:r>
        <w:rPr>
          <w:noProof/>
        </w:rPr>
        <w:t>212</w:t>
      </w:r>
      <w:r>
        <w:rPr>
          <w:noProof/>
          <w:rtl/>
        </w:rPr>
        <w:t xml:space="preserve">، </w:t>
      </w:r>
      <w:r>
        <w:rPr>
          <w:noProof/>
        </w:rPr>
        <w:t>213</w:t>
      </w:r>
    </w:p>
    <w:p w:rsidR="002002F4" w:rsidRDefault="002002F4" w:rsidP="00074DA4">
      <w:pPr>
        <w:spacing w:line="192" w:lineRule="auto"/>
        <w:ind w:firstLine="0"/>
        <w:rPr>
          <w:noProof/>
        </w:rPr>
      </w:pPr>
      <w:r>
        <w:rPr>
          <w:noProof/>
          <w:rtl/>
        </w:rPr>
        <w:t xml:space="preserve">مباني تكملة المنهاج، </w:t>
      </w:r>
      <w:r>
        <w:rPr>
          <w:noProof/>
        </w:rPr>
        <w:t>74</w:t>
      </w:r>
      <w:r>
        <w:rPr>
          <w:noProof/>
          <w:rtl/>
        </w:rPr>
        <w:t xml:space="preserve">، </w:t>
      </w:r>
      <w:r>
        <w:rPr>
          <w:noProof/>
        </w:rPr>
        <w:t>75</w:t>
      </w:r>
    </w:p>
    <w:p w:rsidR="002002F4" w:rsidRDefault="002002F4" w:rsidP="00074DA4">
      <w:pPr>
        <w:spacing w:line="192" w:lineRule="auto"/>
        <w:ind w:firstLine="0"/>
        <w:rPr>
          <w:noProof/>
        </w:rPr>
      </w:pPr>
      <w:r>
        <w:rPr>
          <w:noProof/>
          <w:rtl/>
        </w:rPr>
        <w:t xml:space="preserve">مباني وكليات، </w:t>
      </w:r>
      <w:r>
        <w:rPr>
          <w:noProof/>
        </w:rPr>
        <w:t>247</w:t>
      </w:r>
    </w:p>
    <w:p w:rsidR="002002F4" w:rsidRDefault="002002F4" w:rsidP="00074DA4">
      <w:pPr>
        <w:spacing w:line="192" w:lineRule="auto"/>
        <w:ind w:firstLine="0"/>
        <w:rPr>
          <w:noProof/>
          <w:rtl/>
        </w:rPr>
      </w:pPr>
      <w:r>
        <w:rPr>
          <w:noProof/>
          <w:rtl/>
        </w:rPr>
        <w:t xml:space="preserve">المثنوي، </w:t>
      </w:r>
      <w:r>
        <w:rPr>
          <w:noProof/>
        </w:rPr>
        <w:t>51</w:t>
      </w:r>
    </w:p>
    <w:p w:rsidR="002002F4" w:rsidRDefault="002002F4" w:rsidP="00074DA4">
      <w:pPr>
        <w:spacing w:line="192" w:lineRule="auto"/>
        <w:ind w:firstLine="0"/>
        <w:rPr>
          <w:noProof/>
        </w:rPr>
      </w:pPr>
      <w:r>
        <w:rPr>
          <w:noProof/>
          <w:rtl/>
        </w:rPr>
        <w:t xml:space="preserve">مجلة كلية الآداب والعلوم الإنسانية في تبريز، </w:t>
      </w:r>
      <w:r>
        <w:rPr>
          <w:noProof/>
        </w:rPr>
        <w:t>130</w:t>
      </w:r>
      <w:r>
        <w:rPr>
          <w:noProof/>
          <w:rtl/>
        </w:rPr>
        <w:t xml:space="preserve">، </w:t>
      </w:r>
      <w:r>
        <w:rPr>
          <w:noProof/>
        </w:rPr>
        <w:t>199</w:t>
      </w:r>
    </w:p>
    <w:p w:rsidR="002002F4" w:rsidRDefault="002002F4" w:rsidP="00074DA4">
      <w:pPr>
        <w:spacing w:line="192" w:lineRule="auto"/>
        <w:ind w:firstLine="0"/>
        <w:rPr>
          <w:noProof/>
        </w:rPr>
      </w:pPr>
      <w:r>
        <w:rPr>
          <w:noProof/>
          <w:rtl/>
        </w:rPr>
        <w:t xml:space="preserve">مجمع البيان، </w:t>
      </w:r>
      <w:r>
        <w:rPr>
          <w:noProof/>
        </w:rPr>
        <w:t>88</w:t>
      </w:r>
      <w:r>
        <w:rPr>
          <w:noProof/>
          <w:rtl/>
        </w:rPr>
        <w:t xml:space="preserve">، </w:t>
      </w:r>
      <w:r>
        <w:rPr>
          <w:noProof/>
        </w:rPr>
        <w:t>92</w:t>
      </w:r>
      <w:r>
        <w:rPr>
          <w:noProof/>
          <w:rtl/>
        </w:rPr>
        <w:t xml:space="preserve">، </w:t>
      </w:r>
      <w:r>
        <w:rPr>
          <w:noProof/>
        </w:rPr>
        <w:t>94</w:t>
      </w:r>
      <w:r>
        <w:rPr>
          <w:noProof/>
          <w:rtl/>
        </w:rPr>
        <w:t xml:space="preserve">، </w:t>
      </w:r>
      <w:r>
        <w:rPr>
          <w:noProof/>
        </w:rPr>
        <w:t>97</w:t>
      </w:r>
      <w:r>
        <w:rPr>
          <w:noProof/>
          <w:rtl/>
        </w:rPr>
        <w:t xml:space="preserve">، </w:t>
      </w:r>
      <w:r>
        <w:rPr>
          <w:noProof/>
        </w:rPr>
        <w:t>98</w:t>
      </w:r>
      <w:r>
        <w:rPr>
          <w:noProof/>
          <w:rtl/>
        </w:rPr>
        <w:t xml:space="preserve">، </w:t>
      </w:r>
      <w:r>
        <w:rPr>
          <w:noProof/>
        </w:rPr>
        <w:t>316</w:t>
      </w:r>
      <w:r>
        <w:rPr>
          <w:noProof/>
          <w:rtl/>
        </w:rPr>
        <w:t xml:space="preserve">، </w:t>
      </w:r>
      <w:r>
        <w:rPr>
          <w:noProof/>
        </w:rPr>
        <w:t>320</w:t>
      </w:r>
      <w:r>
        <w:rPr>
          <w:noProof/>
          <w:rtl/>
        </w:rPr>
        <w:t xml:space="preserve">، </w:t>
      </w:r>
      <w:r>
        <w:rPr>
          <w:noProof/>
        </w:rPr>
        <w:t>328</w:t>
      </w:r>
      <w:r>
        <w:rPr>
          <w:noProof/>
          <w:rtl/>
        </w:rPr>
        <w:t xml:space="preserve">، </w:t>
      </w:r>
      <w:r>
        <w:rPr>
          <w:noProof/>
        </w:rPr>
        <w:t>400</w:t>
      </w:r>
      <w:r>
        <w:rPr>
          <w:noProof/>
          <w:rtl/>
        </w:rPr>
        <w:t xml:space="preserve">، </w:t>
      </w:r>
      <w:r>
        <w:rPr>
          <w:noProof/>
        </w:rPr>
        <w:t>401</w:t>
      </w:r>
      <w:r>
        <w:rPr>
          <w:noProof/>
          <w:rtl/>
        </w:rPr>
        <w:t xml:space="preserve">، </w:t>
      </w:r>
      <w:r>
        <w:rPr>
          <w:noProof/>
        </w:rPr>
        <w:t>410</w:t>
      </w:r>
    </w:p>
    <w:p w:rsidR="002002F4" w:rsidRDefault="002002F4" w:rsidP="00074DA4">
      <w:pPr>
        <w:spacing w:line="192" w:lineRule="auto"/>
        <w:ind w:firstLine="0"/>
        <w:rPr>
          <w:noProof/>
        </w:rPr>
      </w:pPr>
      <w:r>
        <w:rPr>
          <w:noProof/>
          <w:rtl/>
        </w:rPr>
        <w:t xml:space="preserve">مجمع الزوائد، </w:t>
      </w:r>
      <w:r>
        <w:rPr>
          <w:noProof/>
        </w:rPr>
        <w:t>303</w:t>
      </w:r>
    </w:p>
    <w:p w:rsidR="002002F4" w:rsidRDefault="002002F4" w:rsidP="00074DA4">
      <w:pPr>
        <w:spacing w:line="192" w:lineRule="auto"/>
        <w:ind w:firstLine="0"/>
        <w:rPr>
          <w:noProof/>
        </w:rPr>
      </w:pPr>
      <w:r>
        <w:rPr>
          <w:noProof/>
          <w:rtl/>
        </w:rPr>
        <w:t xml:space="preserve">مجمع الفائدة والبرهان، </w:t>
      </w:r>
      <w:r>
        <w:rPr>
          <w:noProof/>
        </w:rPr>
        <w:t>415</w:t>
      </w:r>
    </w:p>
    <w:p w:rsidR="002002F4" w:rsidRDefault="002002F4" w:rsidP="00074DA4">
      <w:pPr>
        <w:spacing w:line="192" w:lineRule="auto"/>
        <w:ind w:firstLine="0"/>
        <w:rPr>
          <w:noProof/>
        </w:rPr>
      </w:pPr>
      <w:r>
        <w:rPr>
          <w:noProof/>
          <w:rtl/>
        </w:rPr>
        <w:t xml:space="preserve">مجموعة آثار المؤتمر العالمي الثاني للإمام الرضا(ع) ، </w:t>
      </w:r>
      <w:r>
        <w:rPr>
          <w:noProof/>
        </w:rPr>
        <w:t>56</w:t>
      </w:r>
      <w:r>
        <w:rPr>
          <w:noProof/>
          <w:rtl/>
        </w:rPr>
        <w:t xml:space="preserve">، </w:t>
      </w:r>
      <w:r>
        <w:rPr>
          <w:noProof/>
        </w:rPr>
        <w:t>119</w:t>
      </w:r>
    </w:p>
    <w:p w:rsidR="002002F4" w:rsidRDefault="002002F4" w:rsidP="00074DA4">
      <w:pPr>
        <w:spacing w:line="192" w:lineRule="auto"/>
        <w:ind w:firstLine="0"/>
        <w:rPr>
          <w:noProof/>
        </w:rPr>
      </w:pPr>
      <w:r>
        <w:rPr>
          <w:noProof/>
          <w:rtl/>
        </w:rPr>
        <w:t xml:space="preserve">مجموعة مصنفات شيخ الإشراق، </w:t>
      </w:r>
      <w:r>
        <w:rPr>
          <w:noProof/>
        </w:rPr>
        <w:t>51</w:t>
      </w:r>
    </w:p>
    <w:p w:rsidR="002002F4" w:rsidRDefault="002002F4" w:rsidP="00074DA4">
      <w:pPr>
        <w:spacing w:line="192" w:lineRule="auto"/>
        <w:ind w:firstLine="0"/>
        <w:rPr>
          <w:noProof/>
        </w:rPr>
      </w:pPr>
      <w:r>
        <w:rPr>
          <w:noProof/>
          <w:rtl/>
        </w:rPr>
        <w:t xml:space="preserve">مجموعه آثار (علل گرايش به ماديگري)، </w:t>
      </w:r>
      <w:r>
        <w:rPr>
          <w:noProof/>
        </w:rPr>
        <w:t>252</w:t>
      </w:r>
    </w:p>
    <w:p w:rsidR="002002F4" w:rsidRDefault="002002F4" w:rsidP="00074DA4">
      <w:pPr>
        <w:spacing w:line="192" w:lineRule="auto"/>
        <w:ind w:firstLine="0"/>
        <w:rPr>
          <w:noProof/>
        </w:rPr>
      </w:pPr>
      <w:r>
        <w:rPr>
          <w:noProof/>
          <w:rtl/>
        </w:rPr>
        <w:t xml:space="preserve">محاضرات في فقه الإمامية، </w:t>
      </w:r>
      <w:r>
        <w:rPr>
          <w:noProof/>
        </w:rPr>
        <w:t>308</w:t>
      </w:r>
      <w:r>
        <w:rPr>
          <w:noProof/>
          <w:rtl/>
        </w:rPr>
        <w:t xml:space="preserve">، </w:t>
      </w:r>
      <w:r>
        <w:rPr>
          <w:noProof/>
        </w:rPr>
        <w:t>310</w:t>
      </w:r>
      <w:r>
        <w:rPr>
          <w:noProof/>
          <w:rtl/>
        </w:rPr>
        <w:t xml:space="preserve">، </w:t>
      </w:r>
      <w:r>
        <w:rPr>
          <w:noProof/>
        </w:rPr>
        <w:t>317</w:t>
      </w:r>
      <w:r>
        <w:rPr>
          <w:noProof/>
          <w:rtl/>
        </w:rPr>
        <w:t xml:space="preserve">، </w:t>
      </w:r>
      <w:r>
        <w:rPr>
          <w:noProof/>
        </w:rPr>
        <w:t>327</w:t>
      </w:r>
      <w:r>
        <w:rPr>
          <w:noProof/>
          <w:rtl/>
        </w:rPr>
        <w:t xml:space="preserve">، </w:t>
      </w:r>
      <w:r>
        <w:rPr>
          <w:noProof/>
        </w:rPr>
        <w:t>339</w:t>
      </w:r>
      <w:r>
        <w:rPr>
          <w:noProof/>
          <w:rtl/>
        </w:rPr>
        <w:t xml:space="preserve">، </w:t>
      </w:r>
      <w:r>
        <w:rPr>
          <w:noProof/>
        </w:rPr>
        <w:t>353</w:t>
      </w:r>
      <w:r>
        <w:rPr>
          <w:noProof/>
          <w:rtl/>
        </w:rPr>
        <w:t xml:space="preserve">، </w:t>
      </w:r>
      <w:r>
        <w:rPr>
          <w:noProof/>
        </w:rPr>
        <w:t>377</w:t>
      </w:r>
    </w:p>
    <w:p w:rsidR="002002F4" w:rsidRDefault="002002F4" w:rsidP="00074DA4">
      <w:pPr>
        <w:spacing w:line="192" w:lineRule="auto"/>
        <w:ind w:firstLine="0"/>
        <w:rPr>
          <w:noProof/>
        </w:rPr>
      </w:pPr>
      <w:r>
        <w:rPr>
          <w:noProof/>
          <w:rtl/>
        </w:rPr>
        <w:t xml:space="preserve">المحجة البيضاء في تهذيب الأحياء، </w:t>
      </w:r>
      <w:r>
        <w:rPr>
          <w:noProof/>
        </w:rPr>
        <w:t>327</w:t>
      </w:r>
    </w:p>
    <w:p w:rsidR="002002F4" w:rsidRDefault="002002F4" w:rsidP="00074DA4">
      <w:pPr>
        <w:spacing w:line="192" w:lineRule="auto"/>
        <w:ind w:firstLine="0"/>
        <w:rPr>
          <w:noProof/>
        </w:rPr>
      </w:pPr>
      <w:r>
        <w:rPr>
          <w:noProof/>
          <w:rtl/>
        </w:rPr>
        <w:t xml:space="preserve">المحدث الفاضل، </w:t>
      </w:r>
      <w:r>
        <w:rPr>
          <w:noProof/>
        </w:rPr>
        <w:t>303</w:t>
      </w:r>
    </w:p>
    <w:p w:rsidR="002002F4" w:rsidRDefault="002002F4" w:rsidP="00074DA4">
      <w:pPr>
        <w:spacing w:line="192" w:lineRule="auto"/>
        <w:ind w:firstLine="0"/>
        <w:rPr>
          <w:noProof/>
        </w:rPr>
      </w:pPr>
      <w:r>
        <w:rPr>
          <w:noProof/>
          <w:rtl/>
        </w:rPr>
        <w:t xml:space="preserve">مختار الخرائج، </w:t>
      </w:r>
      <w:r>
        <w:rPr>
          <w:noProof/>
        </w:rPr>
        <w:t>383</w:t>
      </w:r>
    </w:p>
    <w:p w:rsidR="002002F4" w:rsidRDefault="002002F4" w:rsidP="00074DA4">
      <w:pPr>
        <w:spacing w:line="192" w:lineRule="auto"/>
        <w:ind w:firstLine="0"/>
        <w:rPr>
          <w:noProof/>
        </w:rPr>
      </w:pPr>
      <w:r>
        <w:rPr>
          <w:noProof/>
          <w:rtl/>
        </w:rPr>
        <w:t xml:space="preserve">المختصر النافع، </w:t>
      </w:r>
      <w:r>
        <w:rPr>
          <w:noProof/>
        </w:rPr>
        <w:t>126</w:t>
      </w:r>
    </w:p>
    <w:p w:rsidR="002002F4" w:rsidRDefault="002002F4" w:rsidP="00074DA4">
      <w:pPr>
        <w:spacing w:line="192" w:lineRule="auto"/>
        <w:ind w:firstLine="0"/>
        <w:rPr>
          <w:noProof/>
        </w:rPr>
      </w:pPr>
      <w:r>
        <w:rPr>
          <w:noProof/>
          <w:rtl/>
        </w:rPr>
        <w:t xml:space="preserve">مختلف الشيعة، </w:t>
      </w:r>
      <w:r>
        <w:rPr>
          <w:noProof/>
        </w:rPr>
        <w:t>364</w:t>
      </w:r>
    </w:p>
    <w:p w:rsidR="002002F4" w:rsidRDefault="002002F4" w:rsidP="00074DA4">
      <w:pPr>
        <w:spacing w:line="192" w:lineRule="auto"/>
        <w:ind w:firstLine="0"/>
        <w:rPr>
          <w:noProof/>
        </w:rPr>
      </w:pPr>
      <w:r>
        <w:rPr>
          <w:noProof/>
          <w:rtl/>
        </w:rPr>
        <w:t xml:space="preserve">مرآة العقول، </w:t>
      </w:r>
      <w:r>
        <w:rPr>
          <w:noProof/>
        </w:rPr>
        <w:t>114</w:t>
      </w:r>
    </w:p>
    <w:p w:rsidR="002002F4" w:rsidRDefault="002002F4" w:rsidP="00074DA4">
      <w:pPr>
        <w:spacing w:line="192" w:lineRule="auto"/>
        <w:ind w:firstLine="0"/>
        <w:rPr>
          <w:noProof/>
        </w:rPr>
      </w:pPr>
      <w:r>
        <w:rPr>
          <w:noProof/>
          <w:rtl/>
        </w:rPr>
        <w:t xml:space="preserve">مسالك الإفهام إلى تنقيح ك الإسلام، </w:t>
      </w:r>
      <w:r>
        <w:rPr>
          <w:noProof/>
        </w:rPr>
        <w:t>128</w:t>
      </w:r>
      <w:r>
        <w:rPr>
          <w:noProof/>
          <w:rtl/>
        </w:rPr>
        <w:t xml:space="preserve">، </w:t>
      </w:r>
      <w:r>
        <w:rPr>
          <w:noProof/>
        </w:rPr>
        <w:t>295</w:t>
      </w:r>
      <w:r>
        <w:rPr>
          <w:noProof/>
          <w:rtl/>
        </w:rPr>
        <w:t xml:space="preserve">، </w:t>
      </w:r>
      <w:r>
        <w:rPr>
          <w:noProof/>
        </w:rPr>
        <w:t>355</w:t>
      </w:r>
      <w:r>
        <w:rPr>
          <w:noProof/>
          <w:rtl/>
        </w:rPr>
        <w:t xml:space="preserve">، </w:t>
      </w:r>
      <w:r>
        <w:rPr>
          <w:noProof/>
        </w:rPr>
        <w:t>364</w:t>
      </w:r>
    </w:p>
    <w:p w:rsidR="002002F4" w:rsidRDefault="002002F4" w:rsidP="00074DA4">
      <w:pPr>
        <w:spacing w:line="192" w:lineRule="auto"/>
        <w:ind w:firstLine="0"/>
        <w:rPr>
          <w:noProof/>
        </w:rPr>
      </w:pPr>
      <w:r>
        <w:rPr>
          <w:noProof/>
          <w:rtl/>
        </w:rPr>
        <w:t xml:space="preserve">مستدرك وسائل الشيعة، </w:t>
      </w:r>
      <w:r>
        <w:rPr>
          <w:noProof/>
        </w:rPr>
        <w:t>61</w:t>
      </w:r>
      <w:r>
        <w:rPr>
          <w:noProof/>
          <w:rtl/>
        </w:rPr>
        <w:t xml:space="preserve">، </w:t>
      </w:r>
      <w:r>
        <w:rPr>
          <w:noProof/>
        </w:rPr>
        <w:t>109</w:t>
      </w:r>
      <w:r>
        <w:rPr>
          <w:noProof/>
          <w:rtl/>
        </w:rPr>
        <w:t xml:space="preserve">، </w:t>
      </w:r>
      <w:r>
        <w:rPr>
          <w:noProof/>
        </w:rPr>
        <w:t>303</w:t>
      </w:r>
      <w:r>
        <w:rPr>
          <w:noProof/>
          <w:rtl/>
        </w:rPr>
        <w:t xml:space="preserve">، </w:t>
      </w:r>
      <w:r>
        <w:rPr>
          <w:noProof/>
        </w:rPr>
        <w:t>312</w:t>
      </w:r>
      <w:r>
        <w:rPr>
          <w:noProof/>
          <w:rtl/>
        </w:rPr>
        <w:t xml:space="preserve">، </w:t>
      </w:r>
      <w:r>
        <w:rPr>
          <w:noProof/>
        </w:rPr>
        <w:t>333</w:t>
      </w:r>
    </w:p>
    <w:p w:rsidR="002002F4" w:rsidRDefault="002002F4" w:rsidP="00074DA4">
      <w:pPr>
        <w:spacing w:line="192" w:lineRule="auto"/>
        <w:ind w:firstLine="0"/>
        <w:rPr>
          <w:noProof/>
        </w:rPr>
      </w:pPr>
      <w:r>
        <w:rPr>
          <w:noProof/>
          <w:rtl/>
        </w:rPr>
        <w:t xml:space="preserve">مستند العروة الوثقى، </w:t>
      </w:r>
      <w:r>
        <w:rPr>
          <w:noProof/>
        </w:rPr>
        <w:t>75</w:t>
      </w:r>
      <w:r>
        <w:rPr>
          <w:noProof/>
          <w:rtl/>
        </w:rPr>
        <w:t xml:space="preserve">، </w:t>
      </w:r>
      <w:r>
        <w:rPr>
          <w:noProof/>
        </w:rPr>
        <w:t>76</w:t>
      </w:r>
      <w:r>
        <w:rPr>
          <w:noProof/>
          <w:rtl/>
        </w:rPr>
        <w:t xml:space="preserve">، </w:t>
      </w:r>
      <w:r>
        <w:rPr>
          <w:noProof/>
        </w:rPr>
        <w:t>78</w:t>
      </w:r>
    </w:p>
    <w:p w:rsidR="002002F4" w:rsidRDefault="002002F4" w:rsidP="00074DA4">
      <w:pPr>
        <w:spacing w:line="192" w:lineRule="auto"/>
        <w:ind w:firstLine="0"/>
        <w:rPr>
          <w:noProof/>
        </w:rPr>
      </w:pPr>
      <w:r>
        <w:rPr>
          <w:noProof/>
          <w:rtl/>
        </w:rPr>
        <w:t xml:space="preserve">مسند أحمد بن حنبل، </w:t>
      </w:r>
      <w:r>
        <w:rPr>
          <w:noProof/>
        </w:rPr>
        <w:t>95</w:t>
      </w:r>
    </w:p>
    <w:p w:rsidR="002002F4" w:rsidRDefault="002002F4" w:rsidP="00074DA4">
      <w:pPr>
        <w:spacing w:line="192" w:lineRule="auto"/>
        <w:ind w:firstLine="0"/>
        <w:rPr>
          <w:noProof/>
        </w:rPr>
      </w:pPr>
      <w:r>
        <w:rPr>
          <w:noProof/>
          <w:rtl/>
        </w:rPr>
        <w:t xml:space="preserve">مسودة الدستور وقائمة أصول الدستور، </w:t>
      </w:r>
      <w:r>
        <w:rPr>
          <w:noProof/>
        </w:rPr>
        <w:t>229</w:t>
      </w:r>
    </w:p>
    <w:p w:rsidR="002002F4" w:rsidRDefault="002002F4" w:rsidP="00074DA4">
      <w:pPr>
        <w:spacing w:line="192" w:lineRule="auto"/>
        <w:ind w:firstLine="0"/>
        <w:rPr>
          <w:noProof/>
        </w:rPr>
      </w:pPr>
      <w:r>
        <w:rPr>
          <w:noProof/>
          <w:rtl/>
        </w:rPr>
        <w:t xml:space="preserve">مشروح مذاكرات شوراي بازنگرى قانون أساس جمهوري إسلامي إيران، </w:t>
      </w:r>
      <w:r>
        <w:rPr>
          <w:noProof/>
        </w:rPr>
        <w:t>149</w:t>
      </w:r>
    </w:p>
    <w:p w:rsidR="002002F4" w:rsidRDefault="002002F4" w:rsidP="00074DA4">
      <w:pPr>
        <w:spacing w:line="192" w:lineRule="auto"/>
        <w:ind w:firstLine="0"/>
        <w:rPr>
          <w:noProof/>
        </w:rPr>
      </w:pPr>
      <w:r>
        <w:rPr>
          <w:noProof/>
          <w:rtl/>
        </w:rPr>
        <w:t xml:space="preserve">مشروح مذاكرات مجلس بررسي نهايي قانون أساسي جمهوري إسلامي إيران، </w:t>
      </w:r>
      <w:r>
        <w:rPr>
          <w:noProof/>
        </w:rPr>
        <w:t>229</w:t>
      </w:r>
      <w:r>
        <w:rPr>
          <w:noProof/>
          <w:rtl/>
        </w:rPr>
        <w:t xml:space="preserve">، </w:t>
      </w:r>
      <w:r>
        <w:rPr>
          <w:noProof/>
        </w:rPr>
        <w:t>234</w:t>
      </w:r>
    </w:p>
    <w:p w:rsidR="002002F4" w:rsidRDefault="002002F4" w:rsidP="00074DA4">
      <w:pPr>
        <w:spacing w:line="192" w:lineRule="auto"/>
        <w:ind w:firstLine="0"/>
        <w:rPr>
          <w:noProof/>
        </w:rPr>
      </w:pPr>
      <w:r>
        <w:rPr>
          <w:noProof/>
          <w:rtl/>
        </w:rPr>
        <w:t xml:space="preserve">مصباح الأصول، </w:t>
      </w:r>
      <w:r>
        <w:rPr>
          <w:noProof/>
        </w:rPr>
        <w:t>298</w:t>
      </w:r>
    </w:p>
    <w:p w:rsidR="002002F4" w:rsidRDefault="002002F4" w:rsidP="00074DA4">
      <w:pPr>
        <w:spacing w:line="192" w:lineRule="auto"/>
        <w:ind w:firstLine="0"/>
        <w:rPr>
          <w:noProof/>
        </w:rPr>
      </w:pPr>
      <w:r>
        <w:rPr>
          <w:noProof/>
          <w:rtl/>
        </w:rPr>
        <w:t xml:space="preserve">مصباح الفقاهة، </w:t>
      </w:r>
      <w:r>
        <w:rPr>
          <w:noProof/>
        </w:rPr>
        <w:t>68</w:t>
      </w:r>
      <w:r>
        <w:rPr>
          <w:noProof/>
          <w:rtl/>
        </w:rPr>
        <w:t xml:space="preserve">، </w:t>
      </w:r>
      <w:r>
        <w:rPr>
          <w:noProof/>
        </w:rPr>
        <w:t>74</w:t>
      </w:r>
      <w:r>
        <w:rPr>
          <w:noProof/>
          <w:rtl/>
        </w:rPr>
        <w:t xml:space="preserve">، </w:t>
      </w:r>
      <w:r>
        <w:rPr>
          <w:noProof/>
        </w:rPr>
        <w:t>75</w:t>
      </w:r>
      <w:r>
        <w:rPr>
          <w:noProof/>
          <w:rtl/>
        </w:rPr>
        <w:t xml:space="preserve">، </w:t>
      </w:r>
      <w:r>
        <w:rPr>
          <w:noProof/>
        </w:rPr>
        <w:t>77</w:t>
      </w:r>
      <w:r>
        <w:rPr>
          <w:noProof/>
          <w:rtl/>
        </w:rPr>
        <w:t xml:space="preserve">، </w:t>
      </w:r>
      <w:r>
        <w:rPr>
          <w:noProof/>
        </w:rPr>
        <w:t>132</w:t>
      </w:r>
      <w:r>
        <w:rPr>
          <w:noProof/>
          <w:rtl/>
        </w:rPr>
        <w:t xml:space="preserve">، </w:t>
      </w:r>
      <w:r>
        <w:rPr>
          <w:noProof/>
        </w:rPr>
        <w:t>310</w:t>
      </w:r>
      <w:r>
        <w:rPr>
          <w:noProof/>
          <w:rtl/>
        </w:rPr>
        <w:t xml:space="preserve">، </w:t>
      </w:r>
      <w:r>
        <w:rPr>
          <w:noProof/>
        </w:rPr>
        <w:t>330</w:t>
      </w:r>
      <w:r>
        <w:rPr>
          <w:noProof/>
          <w:rtl/>
        </w:rPr>
        <w:t xml:space="preserve">، </w:t>
      </w:r>
      <w:r>
        <w:rPr>
          <w:noProof/>
        </w:rPr>
        <w:t>353</w:t>
      </w:r>
      <w:r>
        <w:rPr>
          <w:noProof/>
          <w:rtl/>
        </w:rPr>
        <w:t xml:space="preserve">، </w:t>
      </w:r>
      <w:r>
        <w:rPr>
          <w:noProof/>
        </w:rPr>
        <w:t>382</w:t>
      </w:r>
      <w:r>
        <w:rPr>
          <w:noProof/>
          <w:rtl/>
        </w:rPr>
        <w:t xml:space="preserve">، </w:t>
      </w:r>
      <w:r>
        <w:rPr>
          <w:noProof/>
        </w:rPr>
        <w:t>404</w:t>
      </w:r>
      <w:r>
        <w:rPr>
          <w:noProof/>
          <w:rtl/>
        </w:rPr>
        <w:t xml:space="preserve">، </w:t>
      </w:r>
      <w:r>
        <w:rPr>
          <w:noProof/>
        </w:rPr>
        <w:t>418</w:t>
      </w:r>
    </w:p>
    <w:p w:rsidR="002002F4" w:rsidRDefault="002002F4" w:rsidP="00074DA4">
      <w:pPr>
        <w:spacing w:line="192" w:lineRule="auto"/>
        <w:ind w:firstLine="0"/>
        <w:rPr>
          <w:noProof/>
        </w:rPr>
      </w:pPr>
      <w:r>
        <w:rPr>
          <w:noProof/>
          <w:rtl/>
        </w:rPr>
        <w:t xml:space="preserve">مصباح الفقيه، </w:t>
      </w:r>
      <w:r>
        <w:rPr>
          <w:noProof/>
        </w:rPr>
        <w:t>157</w:t>
      </w:r>
      <w:r>
        <w:rPr>
          <w:noProof/>
          <w:rtl/>
        </w:rPr>
        <w:t xml:space="preserve">، </w:t>
      </w:r>
      <w:r>
        <w:rPr>
          <w:noProof/>
        </w:rPr>
        <w:t>376</w:t>
      </w:r>
      <w:r>
        <w:rPr>
          <w:noProof/>
          <w:rtl/>
        </w:rPr>
        <w:t xml:space="preserve">، </w:t>
      </w:r>
      <w:r>
        <w:rPr>
          <w:noProof/>
        </w:rPr>
        <w:t>416</w:t>
      </w:r>
    </w:p>
    <w:p w:rsidR="002002F4" w:rsidRDefault="002002F4" w:rsidP="00074DA4">
      <w:pPr>
        <w:spacing w:line="192" w:lineRule="auto"/>
        <w:ind w:firstLine="0"/>
        <w:rPr>
          <w:noProof/>
        </w:rPr>
      </w:pPr>
      <w:r>
        <w:rPr>
          <w:noProof/>
          <w:rtl/>
        </w:rPr>
        <w:t xml:space="preserve">مصباح الهداية إلى الخلافة والولاية، </w:t>
      </w:r>
      <w:r>
        <w:rPr>
          <w:noProof/>
        </w:rPr>
        <w:t>50</w:t>
      </w:r>
    </w:p>
    <w:p w:rsidR="002002F4" w:rsidRDefault="002002F4" w:rsidP="00074DA4">
      <w:pPr>
        <w:spacing w:line="192" w:lineRule="auto"/>
        <w:ind w:firstLine="0"/>
        <w:rPr>
          <w:noProof/>
        </w:rPr>
      </w:pPr>
      <w:r>
        <w:rPr>
          <w:noProof/>
          <w:rtl/>
        </w:rPr>
        <w:t xml:space="preserve">مصنفات الشيخ المفيد، </w:t>
      </w:r>
      <w:r>
        <w:rPr>
          <w:noProof/>
        </w:rPr>
        <w:t>287</w:t>
      </w:r>
    </w:p>
    <w:p w:rsidR="002002F4" w:rsidRDefault="002002F4" w:rsidP="00074DA4">
      <w:pPr>
        <w:spacing w:line="192" w:lineRule="auto"/>
        <w:ind w:firstLine="0"/>
        <w:rPr>
          <w:noProof/>
        </w:rPr>
      </w:pPr>
      <w:r>
        <w:rPr>
          <w:noProof/>
          <w:rtl/>
        </w:rPr>
        <w:t xml:space="preserve">مصنفات شيخ الإشراق، كتاب حكمة الإشراق، </w:t>
      </w:r>
      <w:r>
        <w:rPr>
          <w:noProof/>
        </w:rPr>
        <w:t>52</w:t>
      </w:r>
    </w:p>
    <w:p w:rsidR="002002F4" w:rsidRDefault="002002F4" w:rsidP="00074DA4">
      <w:pPr>
        <w:spacing w:line="192" w:lineRule="auto"/>
        <w:ind w:firstLine="0"/>
        <w:rPr>
          <w:noProof/>
        </w:rPr>
      </w:pPr>
      <w:r>
        <w:rPr>
          <w:noProof/>
          <w:rtl/>
        </w:rPr>
        <w:t xml:space="preserve">معالم الحكومة الإسلامية، </w:t>
      </w:r>
      <w:r>
        <w:rPr>
          <w:noProof/>
        </w:rPr>
        <w:t>253</w:t>
      </w:r>
    </w:p>
    <w:p w:rsidR="002002F4" w:rsidRDefault="002002F4" w:rsidP="00074DA4">
      <w:pPr>
        <w:spacing w:line="192" w:lineRule="auto"/>
        <w:ind w:firstLine="0"/>
        <w:rPr>
          <w:noProof/>
        </w:rPr>
      </w:pPr>
      <w:r>
        <w:rPr>
          <w:noProof/>
          <w:rtl/>
        </w:rPr>
        <w:t xml:space="preserve">معاني الأخبار، </w:t>
      </w:r>
      <w:r>
        <w:rPr>
          <w:noProof/>
        </w:rPr>
        <w:t>302</w:t>
      </w:r>
      <w:r>
        <w:rPr>
          <w:noProof/>
          <w:rtl/>
        </w:rPr>
        <w:t xml:space="preserve">، </w:t>
      </w:r>
      <w:r>
        <w:rPr>
          <w:noProof/>
        </w:rPr>
        <w:t>307</w:t>
      </w:r>
    </w:p>
    <w:p w:rsidR="002002F4" w:rsidRDefault="002002F4" w:rsidP="00074DA4">
      <w:pPr>
        <w:spacing w:line="192" w:lineRule="auto"/>
        <w:ind w:firstLine="0"/>
        <w:rPr>
          <w:noProof/>
        </w:rPr>
      </w:pPr>
      <w:r>
        <w:rPr>
          <w:noProof/>
          <w:rtl/>
        </w:rPr>
        <w:t xml:space="preserve">المعجم المفهرس لألفاظ أحاديث الكتب الأربعة، </w:t>
      </w:r>
      <w:r>
        <w:rPr>
          <w:noProof/>
        </w:rPr>
        <w:t>110</w:t>
      </w:r>
    </w:p>
    <w:p w:rsidR="002002F4" w:rsidRDefault="002002F4" w:rsidP="00074DA4">
      <w:pPr>
        <w:spacing w:line="192" w:lineRule="auto"/>
        <w:ind w:firstLine="0"/>
        <w:rPr>
          <w:noProof/>
        </w:rPr>
      </w:pPr>
      <w:r>
        <w:rPr>
          <w:noProof/>
          <w:rtl/>
        </w:rPr>
        <w:t xml:space="preserve">المعجم المفهرس لألفاظ أحاديث بحار الأنوار، </w:t>
      </w:r>
      <w:r>
        <w:rPr>
          <w:noProof/>
        </w:rPr>
        <w:t>110</w:t>
      </w:r>
    </w:p>
    <w:p w:rsidR="002002F4" w:rsidRDefault="002002F4" w:rsidP="00074DA4">
      <w:pPr>
        <w:spacing w:line="192" w:lineRule="auto"/>
        <w:ind w:firstLine="0"/>
        <w:rPr>
          <w:noProof/>
        </w:rPr>
      </w:pPr>
      <w:r>
        <w:rPr>
          <w:noProof/>
          <w:rtl/>
        </w:rPr>
        <w:t xml:space="preserve">المعجم المفهرس لألفاظ أحاديث مستدرك الوسائل، </w:t>
      </w:r>
      <w:r>
        <w:rPr>
          <w:noProof/>
        </w:rPr>
        <w:t>110</w:t>
      </w:r>
    </w:p>
    <w:p w:rsidR="002002F4" w:rsidRDefault="002002F4" w:rsidP="00074DA4">
      <w:pPr>
        <w:spacing w:line="192" w:lineRule="auto"/>
        <w:ind w:firstLine="0"/>
        <w:rPr>
          <w:noProof/>
        </w:rPr>
      </w:pPr>
      <w:r>
        <w:rPr>
          <w:noProof/>
          <w:rtl/>
        </w:rPr>
        <w:t xml:space="preserve">المعجم المفهرس لألفاظ أحاديث وسائل الشيعة، </w:t>
      </w:r>
      <w:r>
        <w:rPr>
          <w:noProof/>
        </w:rPr>
        <w:t>110</w:t>
      </w:r>
    </w:p>
    <w:p w:rsidR="002002F4" w:rsidRDefault="002002F4" w:rsidP="00074DA4">
      <w:pPr>
        <w:spacing w:line="192" w:lineRule="auto"/>
        <w:ind w:firstLine="0"/>
        <w:rPr>
          <w:noProof/>
        </w:rPr>
      </w:pPr>
      <w:r>
        <w:rPr>
          <w:noProof/>
          <w:rtl/>
        </w:rPr>
        <w:t xml:space="preserve">معجم رجال الحديث، </w:t>
      </w:r>
      <w:r>
        <w:rPr>
          <w:noProof/>
        </w:rPr>
        <w:t>308</w:t>
      </w:r>
      <w:r>
        <w:rPr>
          <w:noProof/>
          <w:rtl/>
        </w:rPr>
        <w:t xml:space="preserve">، </w:t>
      </w:r>
      <w:r>
        <w:rPr>
          <w:noProof/>
        </w:rPr>
        <w:t>315</w:t>
      </w:r>
      <w:r>
        <w:rPr>
          <w:noProof/>
          <w:rtl/>
        </w:rPr>
        <w:t xml:space="preserve">، </w:t>
      </w:r>
      <w:r>
        <w:rPr>
          <w:noProof/>
        </w:rPr>
        <w:t>348</w:t>
      </w:r>
      <w:r>
        <w:rPr>
          <w:noProof/>
          <w:rtl/>
        </w:rPr>
        <w:t xml:space="preserve">، </w:t>
      </w:r>
      <w:r>
        <w:rPr>
          <w:noProof/>
        </w:rPr>
        <w:t>353</w:t>
      </w:r>
      <w:r>
        <w:rPr>
          <w:noProof/>
          <w:rtl/>
        </w:rPr>
        <w:t xml:space="preserve">، </w:t>
      </w:r>
      <w:r>
        <w:rPr>
          <w:noProof/>
        </w:rPr>
        <w:t>355</w:t>
      </w:r>
      <w:r>
        <w:rPr>
          <w:noProof/>
          <w:rtl/>
        </w:rPr>
        <w:t xml:space="preserve">، </w:t>
      </w:r>
      <w:r>
        <w:rPr>
          <w:noProof/>
        </w:rPr>
        <w:t>364</w:t>
      </w:r>
      <w:r>
        <w:rPr>
          <w:noProof/>
          <w:rtl/>
        </w:rPr>
        <w:t xml:space="preserve">، </w:t>
      </w:r>
      <w:r>
        <w:rPr>
          <w:noProof/>
        </w:rPr>
        <w:t>369</w:t>
      </w:r>
      <w:r>
        <w:rPr>
          <w:noProof/>
          <w:rtl/>
        </w:rPr>
        <w:t xml:space="preserve">، </w:t>
      </w:r>
      <w:r>
        <w:rPr>
          <w:noProof/>
        </w:rPr>
        <w:t>370</w:t>
      </w:r>
      <w:r>
        <w:rPr>
          <w:noProof/>
          <w:rtl/>
        </w:rPr>
        <w:t xml:space="preserve">، </w:t>
      </w:r>
      <w:r>
        <w:rPr>
          <w:noProof/>
        </w:rPr>
        <w:t>372</w:t>
      </w:r>
      <w:r>
        <w:rPr>
          <w:noProof/>
          <w:rtl/>
        </w:rPr>
        <w:t xml:space="preserve">، </w:t>
      </w:r>
      <w:r>
        <w:rPr>
          <w:noProof/>
        </w:rPr>
        <w:t>383</w:t>
      </w:r>
    </w:p>
    <w:p w:rsidR="002002F4" w:rsidRDefault="002002F4" w:rsidP="00074DA4">
      <w:pPr>
        <w:spacing w:line="192" w:lineRule="auto"/>
        <w:ind w:firstLine="0"/>
        <w:rPr>
          <w:noProof/>
        </w:rPr>
      </w:pPr>
      <w:r>
        <w:rPr>
          <w:noProof/>
          <w:rtl/>
        </w:rPr>
        <w:t xml:space="preserve">معجم مفردات الألفاظ القرآن، </w:t>
      </w:r>
      <w:r>
        <w:rPr>
          <w:noProof/>
        </w:rPr>
        <w:t>40</w:t>
      </w:r>
      <w:r>
        <w:rPr>
          <w:noProof/>
          <w:rtl/>
        </w:rPr>
        <w:t xml:space="preserve">، </w:t>
      </w:r>
      <w:r>
        <w:rPr>
          <w:noProof/>
        </w:rPr>
        <w:t>88</w:t>
      </w:r>
    </w:p>
    <w:p w:rsidR="002002F4" w:rsidRDefault="002002F4" w:rsidP="00074DA4">
      <w:pPr>
        <w:spacing w:line="192" w:lineRule="auto"/>
        <w:ind w:firstLine="0"/>
        <w:rPr>
          <w:noProof/>
        </w:rPr>
      </w:pPr>
      <w:r>
        <w:rPr>
          <w:noProof/>
          <w:rtl/>
        </w:rPr>
        <w:t xml:space="preserve">مفاتيح الإعجاز في شرح ﮔلشن راز، </w:t>
      </w:r>
      <w:r>
        <w:rPr>
          <w:noProof/>
        </w:rPr>
        <w:t>46</w:t>
      </w:r>
      <w:r>
        <w:rPr>
          <w:noProof/>
          <w:rtl/>
        </w:rPr>
        <w:t xml:space="preserve">، </w:t>
      </w:r>
      <w:r>
        <w:rPr>
          <w:noProof/>
        </w:rPr>
        <w:t>51</w:t>
      </w:r>
    </w:p>
    <w:p w:rsidR="002002F4" w:rsidRDefault="002002F4" w:rsidP="00074DA4">
      <w:pPr>
        <w:spacing w:line="192" w:lineRule="auto"/>
        <w:ind w:firstLine="0"/>
        <w:rPr>
          <w:noProof/>
        </w:rPr>
      </w:pPr>
      <w:r>
        <w:rPr>
          <w:noProof/>
          <w:rtl/>
        </w:rPr>
        <w:t xml:space="preserve">مفتاح الكرامة، </w:t>
      </w:r>
      <w:r>
        <w:rPr>
          <w:noProof/>
        </w:rPr>
        <w:t>415</w:t>
      </w:r>
      <w:r>
        <w:rPr>
          <w:noProof/>
          <w:rtl/>
        </w:rPr>
        <w:t xml:space="preserve">، </w:t>
      </w:r>
      <w:r>
        <w:rPr>
          <w:noProof/>
        </w:rPr>
        <w:t>416</w:t>
      </w:r>
    </w:p>
    <w:p w:rsidR="002002F4" w:rsidRDefault="002002F4" w:rsidP="00074DA4">
      <w:pPr>
        <w:spacing w:line="192" w:lineRule="auto"/>
        <w:ind w:firstLine="0"/>
        <w:rPr>
          <w:noProof/>
        </w:rPr>
      </w:pPr>
      <w:r>
        <w:rPr>
          <w:noProof/>
          <w:rtl/>
        </w:rPr>
        <w:t xml:space="preserve">مقاييس اللغة، </w:t>
      </w:r>
      <w:r>
        <w:rPr>
          <w:noProof/>
        </w:rPr>
        <w:t>40</w:t>
      </w:r>
    </w:p>
    <w:p w:rsidR="002002F4" w:rsidRDefault="002002F4" w:rsidP="00074DA4">
      <w:pPr>
        <w:spacing w:line="192" w:lineRule="auto"/>
        <w:ind w:firstLine="0"/>
        <w:rPr>
          <w:noProof/>
        </w:rPr>
      </w:pPr>
      <w:r>
        <w:rPr>
          <w:noProof/>
          <w:rtl/>
        </w:rPr>
        <w:t xml:space="preserve">مقتبس من مناقشات الشيخ منتظري في كتاب دراسات في ولاية الفقيه، </w:t>
      </w:r>
      <w:r>
        <w:rPr>
          <w:noProof/>
        </w:rPr>
        <w:t>360</w:t>
      </w:r>
    </w:p>
    <w:p w:rsidR="002002F4" w:rsidRDefault="002002F4" w:rsidP="00074DA4">
      <w:pPr>
        <w:spacing w:line="192" w:lineRule="auto"/>
        <w:ind w:firstLine="0"/>
        <w:rPr>
          <w:noProof/>
        </w:rPr>
      </w:pPr>
      <w:r>
        <w:rPr>
          <w:noProof/>
          <w:rtl/>
        </w:rPr>
        <w:t xml:space="preserve">مقدمة شرح فصوص الحكم، </w:t>
      </w:r>
      <w:r>
        <w:rPr>
          <w:noProof/>
        </w:rPr>
        <w:t>48</w:t>
      </w:r>
    </w:p>
    <w:p w:rsidR="002002F4" w:rsidRDefault="002002F4" w:rsidP="00074DA4">
      <w:pPr>
        <w:spacing w:line="192" w:lineRule="auto"/>
        <w:ind w:firstLine="0"/>
        <w:rPr>
          <w:noProof/>
        </w:rPr>
      </w:pPr>
      <w:r>
        <w:rPr>
          <w:noProof/>
          <w:rtl/>
        </w:rPr>
        <w:t xml:space="preserve">المقنعة، </w:t>
      </w:r>
      <w:r>
        <w:rPr>
          <w:noProof/>
        </w:rPr>
        <w:t>126</w:t>
      </w:r>
    </w:p>
    <w:p w:rsidR="002002F4" w:rsidRDefault="002002F4" w:rsidP="00074DA4">
      <w:pPr>
        <w:spacing w:line="192" w:lineRule="auto"/>
        <w:ind w:firstLine="0"/>
        <w:rPr>
          <w:noProof/>
        </w:rPr>
      </w:pPr>
      <w:r>
        <w:rPr>
          <w:noProof/>
          <w:rtl/>
        </w:rPr>
        <w:t xml:space="preserve">المكاسب المحرمة، </w:t>
      </w:r>
      <w:r>
        <w:rPr>
          <w:noProof/>
        </w:rPr>
        <w:t>68</w:t>
      </w:r>
      <w:r>
        <w:rPr>
          <w:noProof/>
          <w:rtl/>
        </w:rPr>
        <w:t xml:space="preserve">، </w:t>
      </w:r>
      <w:r>
        <w:rPr>
          <w:noProof/>
        </w:rPr>
        <w:t>69</w:t>
      </w:r>
      <w:r>
        <w:rPr>
          <w:noProof/>
          <w:rtl/>
        </w:rPr>
        <w:t xml:space="preserve">، </w:t>
      </w:r>
      <w:r>
        <w:rPr>
          <w:noProof/>
        </w:rPr>
        <w:t>139</w:t>
      </w:r>
      <w:r>
        <w:rPr>
          <w:noProof/>
          <w:rtl/>
        </w:rPr>
        <w:t xml:space="preserve">، </w:t>
      </w:r>
      <w:r>
        <w:rPr>
          <w:noProof/>
        </w:rPr>
        <w:t>156</w:t>
      </w:r>
      <w:r>
        <w:rPr>
          <w:noProof/>
          <w:rtl/>
        </w:rPr>
        <w:t xml:space="preserve">، </w:t>
      </w:r>
      <w:r>
        <w:rPr>
          <w:noProof/>
        </w:rPr>
        <w:t>191</w:t>
      </w:r>
      <w:r>
        <w:rPr>
          <w:noProof/>
          <w:rtl/>
        </w:rPr>
        <w:t xml:space="preserve">، </w:t>
      </w:r>
      <w:r>
        <w:rPr>
          <w:noProof/>
        </w:rPr>
        <w:t>204</w:t>
      </w:r>
      <w:r>
        <w:rPr>
          <w:noProof/>
          <w:rtl/>
        </w:rPr>
        <w:t xml:space="preserve">، </w:t>
      </w:r>
      <w:r>
        <w:rPr>
          <w:noProof/>
        </w:rPr>
        <w:t>280</w:t>
      </w:r>
      <w:r>
        <w:rPr>
          <w:noProof/>
          <w:rtl/>
        </w:rPr>
        <w:t xml:space="preserve">، </w:t>
      </w:r>
      <w:r>
        <w:rPr>
          <w:noProof/>
        </w:rPr>
        <w:t>440</w:t>
      </w:r>
    </w:p>
    <w:p w:rsidR="002002F4" w:rsidRDefault="002002F4" w:rsidP="00074DA4">
      <w:pPr>
        <w:spacing w:line="192" w:lineRule="auto"/>
        <w:ind w:firstLine="0"/>
        <w:rPr>
          <w:noProof/>
        </w:rPr>
      </w:pPr>
      <w:r>
        <w:rPr>
          <w:noProof/>
          <w:rtl/>
        </w:rPr>
        <w:t xml:space="preserve">المكاسب والبيع  (آملي) ، </w:t>
      </w:r>
      <w:r>
        <w:rPr>
          <w:noProof/>
        </w:rPr>
        <w:t>131</w:t>
      </w:r>
      <w:r>
        <w:rPr>
          <w:noProof/>
          <w:rtl/>
        </w:rPr>
        <w:t xml:space="preserve">، </w:t>
      </w:r>
      <w:r>
        <w:rPr>
          <w:noProof/>
        </w:rPr>
        <w:t>157</w:t>
      </w:r>
    </w:p>
    <w:p w:rsidR="002002F4" w:rsidRDefault="002002F4" w:rsidP="00074DA4">
      <w:pPr>
        <w:spacing w:line="192" w:lineRule="auto"/>
        <w:ind w:firstLine="0"/>
        <w:rPr>
          <w:noProof/>
        </w:rPr>
      </w:pPr>
      <w:r>
        <w:rPr>
          <w:noProof/>
          <w:rtl/>
        </w:rPr>
        <w:t xml:space="preserve">المكاسب والبيع (النائيني)، </w:t>
      </w:r>
      <w:r>
        <w:rPr>
          <w:noProof/>
        </w:rPr>
        <w:t>328</w:t>
      </w:r>
      <w:r>
        <w:rPr>
          <w:noProof/>
          <w:rtl/>
        </w:rPr>
        <w:t xml:space="preserve">، </w:t>
      </w:r>
      <w:r>
        <w:rPr>
          <w:noProof/>
        </w:rPr>
        <w:t>382</w:t>
      </w:r>
    </w:p>
    <w:p w:rsidR="002002F4" w:rsidRDefault="002002F4" w:rsidP="00074DA4">
      <w:pPr>
        <w:spacing w:line="192" w:lineRule="auto"/>
        <w:ind w:firstLine="0"/>
        <w:rPr>
          <w:noProof/>
        </w:rPr>
      </w:pPr>
      <w:r>
        <w:rPr>
          <w:noProof/>
          <w:rtl/>
        </w:rPr>
        <w:t xml:space="preserve">المكاسب والبيع، </w:t>
      </w:r>
      <w:r>
        <w:rPr>
          <w:noProof/>
        </w:rPr>
        <w:t>214</w:t>
      </w:r>
      <w:r>
        <w:rPr>
          <w:noProof/>
          <w:rtl/>
        </w:rPr>
        <w:t xml:space="preserve">، </w:t>
      </w:r>
      <w:r>
        <w:rPr>
          <w:noProof/>
        </w:rPr>
        <w:t>310</w:t>
      </w:r>
      <w:r>
        <w:rPr>
          <w:noProof/>
          <w:rtl/>
        </w:rPr>
        <w:t xml:space="preserve">، </w:t>
      </w:r>
      <w:r>
        <w:rPr>
          <w:noProof/>
        </w:rPr>
        <w:t>317</w:t>
      </w:r>
      <w:r>
        <w:rPr>
          <w:noProof/>
          <w:rtl/>
        </w:rPr>
        <w:t xml:space="preserve">، </w:t>
      </w:r>
      <w:r>
        <w:rPr>
          <w:noProof/>
        </w:rPr>
        <w:t>330</w:t>
      </w:r>
      <w:r>
        <w:rPr>
          <w:noProof/>
          <w:rtl/>
        </w:rPr>
        <w:t xml:space="preserve">، </w:t>
      </w:r>
      <w:r>
        <w:rPr>
          <w:noProof/>
        </w:rPr>
        <w:t>346</w:t>
      </w:r>
      <w:r>
        <w:rPr>
          <w:noProof/>
          <w:rtl/>
        </w:rPr>
        <w:t xml:space="preserve">، </w:t>
      </w:r>
      <w:r>
        <w:rPr>
          <w:noProof/>
        </w:rPr>
        <w:t>366</w:t>
      </w:r>
    </w:p>
    <w:p w:rsidR="002002F4" w:rsidRDefault="002002F4" w:rsidP="00074DA4">
      <w:pPr>
        <w:spacing w:line="192" w:lineRule="auto"/>
        <w:ind w:firstLine="0"/>
        <w:rPr>
          <w:noProof/>
        </w:rPr>
      </w:pPr>
      <w:r>
        <w:rPr>
          <w:noProof/>
          <w:rtl/>
        </w:rPr>
        <w:t xml:space="preserve">المكاسب، </w:t>
      </w:r>
      <w:r>
        <w:rPr>
          <w:noProof/>
        </w:rPr>
        <w:t>81</w:t>
      </w:r>
      <w:r>
        <w:rPr>
          <w:noProof/>
          <w:rtl/>
        </w:rPr>
        <w:t xml:space="preserve">، </w:t>
      </w:r>
      <w:r>
        <w:rPr>
          <w:noProof/>
        </w:rPr>
        <w:t>132</w:t>
      </w:r>
      <w:r>
        <w:rPr>
          <w:noProof/>
          <w:rtl/>
        </w:rPr>
        <w:t xml:space="preserve">، </w:t>
      </w:r>
      <w:r>
        <w:rPr>
          <w:noProof/>
        </w:rPr>
        <w:t>134</w:t>
      </w:r>
      <w:r>
        <w:rPr>
          <w:noProof/>
          <w:rtl/>
        </w:rPr>
        <w:t xml:space="preserve">، </w:t>
      </w:r>
      <w:r>
        <w:rPr>
          <w:noProof/>
        </w:rPr>
        <w:t>135</w:t>
      </w:r>
      <w:r>
        <w:rPr>
          <w:noProof/>
          <w:rtl/>
        </w:rPr>
        <w:t xml:space="preserve">، </w:t>
      </w:r>
      <w:r>
        <w:rPr>
          <w:noProof/>
        </w:rPr>
        <w:t>137</w:t>
      </w:r>
      <w:r>
        <w:rPr>
          <w:noProof/>
          <w:rtl/>
        </w:rPr>
        <w:t xml:space="preserve">، </w:t>
      </w:r>
      <w:r>
        <w:rPr>
          <w:noProof/>
        </w:rPr>
        <w:t>280</w:t>
      </w:r>
      <w:r>
        <w:rPr>
          <w:noProof/>
          <w:rtl/>
        </w:rPr>
        <w:t xml:space="preserve">، </w:t>
      </w:r>
      <w:r>
        <w:rPr>
          <w:noProof/>
        </w:rPr>
        <w:t>291</w:t>
      </w:r>
      <w:r>
        <w:rPr>
          <w:noProof/>
          <w:rtl/>
        </w:rPr>
        <w:t xml:space="preserve">، </w:t>
      </w:r>
      <w:r>
        <w:rPr>
          <w:noProof/>
        </w:rPr>
        <w:t>293</w:t>
      </w:r>
      <w:r>
        <w:rPr>
          <w:noProof/>
          <w:rtl/>
        </w:rPr>
        <w:t xml:space="preserve">، </w:t>
      </w:r>
      <w:r>
        <w:rPr>
          <w:noProof/>
        </w:rPr>
        <w:t>296</w:t>
      </w:r>
      <w:r>
        <w:rPr>
          <w:noProof/>
          <w:rtl/>
        </w:rPr>
        <w:t xml:space="preserve">، </w:t>
      </w:r>
      <w:r>
        <w:rPr>
          <w:noProof/>
        </w:rPr>
        <w:t>298</w:t>
      </w:r>
      <w:r>
        <w:rPr>
          <w:noProof/>
          <w:rtl/>
        </w:rPr>
        <w:t xml:space="preserve">، </w:t>
      </w:r>
      <w:r>
        <w:rPr>
          <w:noProof/>
        </w:rPr>
        <w:t>299</w:t>
      </w:r>
      <w:r>
        <w:rPr>
          <w:noProof/>
          <w:rtl/>
        </w:rPr>
        <w:t xml:space="preserve">، </w:t>
      </w:r>
      <w:r>
        <w:rPr>
          <w:noProof/>
        </w:rPr>
        <w:t>316</w:t>
      </w:r>
    </w:p>
    <w:p w:rsidR="002002F4" w:rsidRDefault="002002F4" w:rsidP="00074DA4">
      <w:pPr>
        <w:spacing w:line="192" w:lineRule="auto"/>
        <w:ind w:firstLine="0"/>
        <w:rPr>
          <w:noProof/>
        </w:rPr>
      </w:pPr>
      <w:r>
        <w:rPr>
          <w:noProof/>
          <w:rtl/>
        </w:rPr>
        <w:t xml:space="preserve">من استفتاءات السيّد الخامنئي في كتاب توضيح المسائل مراجع (فارسي)، </w:t>
      </w:r>
      <w:r>
        <w:rPr>
          <w:noProof/>
        </w:rPr>
        <w:t>278</w:t>
      </w:r>
      <w:r>
        <w:rPr>
          <w:noProof/>
          <w:rtl/>
        </w:rPr>
        <w:t xml:space="preserve">، </w:t>
      </w:r>
      <w:r>
        <w:rPr>
          <w:noProof/>
        </w:rPr>
        <w:t>284</w:t>
      </w:r>
      <w:r>
        <w:rPr>
          <w:noProof/>
          <w:rtl/>
        </w:rPr>
        <w:t xml:space="preserve">، </w:t>
      </w:r>
      <w:r>
        <w:rPr>
          <w:noProof/>
        </w:rPr>
        <w:t>286</w:t>
      </w:r>
    </w:p>
    <w:p w:rsidR="002002F4" w:rsidRDefault="002002F4" w:rsidP="00074DA4">
      <w:pPr>
        <w:spacing w:line="192" w:lineRule="auto"/>
        <w:ind w:firstLine="0"/>
        <w:rPr>
          <w:noProof/>
        </w:rPr>
      </w:pPr>
      <w:r>
        <w:rPr>
          <w:noProof/>
          <w:rtl/>
        </w:rPr>
        <w:t xml:space="preserve">المناقب، </w:t>
      </w:r>
      <w:r>
        <w:rPr>
          <w:noProof/>
        </w:rPr>
        <w:t>95</w:t>
      </w:r>
    </w:p>
    <w:p w:rsidR="002002F4" w:rsidRDefault="002002F4" w:rsidP="00074DA4">
      <w:pPr>
        <w:spacing w:line="192" w:lineRule="auto"/>
        <w:ind w:firstLine="0"/>
        <w:rPr>
          <w:noProof/>
        </w:rPr>
      </w:pPr>
      <w:r>
        <w:rPr>
          <w:noProof/>
          <w:rtl/>
        </w:rPr>
        <w:t xml:space="preserve">منتخب الأنوار المضيئة، </w:t>
      </w:r>
      <w:r>
        <w:rPr>
          <w:noProof/>
        </w:rPr>
        <w:t>376</w:t>
      </w:r>
    </w:p>
    <w:p w:rsidR="002002F4" w:rsidRDefault="002002F4" w:rsidP="00074DA4">
      <w:pPr>
        <w:spacing w:line="192" w:lineRule="auto"/>
        <w:ind w:firstLine="0"/>
        <w:rPr>
          <w:noProof/>
        </w:rPr>
      </w:pPr>
      <w:r>
        <w:rPr>
          <w:noProof/>
          <w:rtl/>
        </w:rPr>
        <w:t xml:space="preserve">المنجد، </w:t>
      </w:r>
      <w:r>
        <w:rPr>
          <w:noProof/>
        </w:rPr>
        <w:t>40</w:t>
      </w:r>
    </w:p>
    <w:p w:rsidR="002002F4" w:rsidRDefault="002002F4" w:rsidP="00074DA4">
      <w:pPr>
        <w:spacing w:line="192" w:lineRule="auto"/>
        <w:ind w:firstLine="0"/>
        <w:rPr>
          <w:noProof/>
        </w:rPr>
      </w:pPr>
      <w:r>
        <w:rPr>
          <w:noProof/>
          <w:rtl/>
        </w:rPr>
        <w:t xml:space="preserve">منية الطالب، </w:t>
      </w:r>
      <w:r>
        <w:rPr>
          <w:noProof/>
        </w:rPr>
        <w:t>131</w:t>
      </w:r>
      <w:r>
        <w:rPr>
          <w:noProof/>
          <w:rtl/>
        </w:rPr>
        <w:t xml:space="preserve">، </w:t>
      </w:r>
      <w:r>
        <w:rPr>
          <w:noProof/>
        </w:rPr>
        <w:t>300</w:t>
      </w:r>
      <w:r>
        <w:rPr>
          <w:noProof/>
          <w:rtl/>
        </w:rPr>
        <w:t xml:space="preserve">، </w:t>
      </w:r>
      <w:r>
        <w:rPr>
          <w:noProof/>
        </w:rPr>
        <w:t>328</w:t>
      </w:r>
      <w:r>
        <w:rPr>
          <w:noProof/>
          <w:rtl/>
        </w:rPr>
        <w:t xml:space="preserve">، </w:t>
      </w:r>
      <w:r>
        <w:rPr>
          <w:noProof/>
        </w:rPr>
        <w:t>346</w:t>
      </w:r>
      <w:r>
        <w:rPr>
          <w:noProof/>
          <w:rtl/>
        </w:rPr>
        <w:t xml:space="preserve">، </w:t>
      </w:r>
      <w:r>
        <w:rPr>
          <w:noProof/>
        </w:rPr>
        <w:t>366</w:t>
      </w:r>
      <w:r>
        <w:rPr>
          <w:noProof/>
          <w:rtl/>
        </w:rPr>
        <w:t xml:space="preserve">، </w:t>
      </w:r>
      <w:r>
        <w:rPr>
          <w:noProof/>
        </w:rPr>
        <w:t>382</w:t>
      </w:r>
      <w:r>
        <w:rPr>
          <w:noProof/>
          <w:rtl/>
        </w:rPr>
        <w:t xml:space="preserve">، </w:t>
      </w:r>
      <w:r>
        <w:rPr>
          <w:noProof/>
        </w:rPr>
        <w:t>387</w:t>
      </w:r>
    </w:p>
    <w:p w:rsidR="002002F4" w:rsidRDefault="002002F4" w:rsidP="00074DA4">
      <w:pPr>
        <w:spacing w:line="192" w:lineRule="auto"/>
        <w:ind w:firstLine="0"/>
        <w:rPr>
          <w:noProof/>
        </w:rPr>
      </w:pPr>
      <w:r>
        <w:rPr>
          <w:noProof/>
          <w:rtl/>
        </w:rPr>
        <w:t xml:space="preserve">منية المريد، </w:t>
      </w:r>
      <w:r>
        <w:rPr>
          <w:noProof/>
        </w:rPr>
        <w:t>303</w:t>
      </w:r>
    </w:p>
    <w:p w:rsidR="002002F4" w:rsidRDefault="002002F4" w:rsidP="00074DA4">
      <w:pPr>
        <w:spacing w:line="192" w:lineRule="auto"/>
        <w:ind w:firstLine="0"/>
        <w:rPr>
          <w:noProof/>
        </w:rPr>
      </w:pPr>
      <w:r>
        <w:rPr>
          <w:noProof/>
          <w:rtl/>
        </w:rPr>
        <w:t xml:space="preserve">المورد، </w:t>
      </w:r>
      <w:r>
        <w:rPr>
          <w:noProof/>
        </w:rPr>
        <w:t>12</w:t>
      </w:r>
    </w:p>
    <w:p w:rsidR="002002F4" w:rsidRDefault="002002F4" w:rsidP="00074DA4">
      <w:pPr>
        <w:spacing w:line="192" w:lineRule="auto"/>
        <w:ind w:firstLine="0"/>
        <w:rPr>
          <w:noProof/>
        </w:rPr>
      </w:pPr>
      <w:r>
        <w:rPr>
          <w:noProof/>
          <w:rtl/>
        </w:rPr>
        <w:t xml:space="preserve">مهذَّب الأحكام، </w:t>
      </w:r>
      <w:r>
        <w:rPr>
          <w:noProof/>
        </w:rPr>
        <w:t>157</w:t>
      </w:r>
      <w:r>
        <w:rPr>
          <w:noProof/>
          <w:rtl/>
        </w:rPr>
        <w:t xml:space="preserve">، </w:t>
      </w:r>
      <w:r>
        <w:rPr>
          <w:noProof/>
        </w:rPr>
        <w:t>346</w:t>
      </w:r>
      <w:r>
        <w:rPr>
          <w:noProof/>
          <w:rtl/>
        </w:rPr>
        <w:t xml:space="preserve">، </w:t>
      </w:r>
      <w:r>
        <w:rPr>
          <w:noProof/>
        </w:rPr>
        <w:t>377</w:t>
      </w:r>
    </w:p>
    <w:p w:rsidR="002002F4" w:rsidRDefault="002002F4" w:rsidP="00074DA4">
      <w:pPr>
        <w:spacing w:line="192" w:lineRule="auto"/>
        <w:ind w:firstLine="0"/>
        <w:rPr>
          <w:noProof/>
        </w:rPr>
      </w:pPr>
      <w:r>
        <w:rPr>
          <w:noProof/>
          <w:rtl/>
        </w:rPr>
        <w:t xml:space="preserve">المؤتمر العالمي الثاني للإمام الرضا، </w:t>
      </w:r>
      <w:r>
        <w:rPr>
          <w:noProof/>
        </w:rPr>
        <w:t>62</w:t>
      </w:r>
    </w:p>
    <w:p w:rsidR="002002F4" w:rsidRDefault="002002F4" w:rsidP="00074DA4">
      <w:pPr>
        <w:spacing w:line="192" w:lineRule="auto"/>
        <w:ind w:firstLine="0"/>
        <w:rPr>
          <w:noProof/>
        </w:rPr>
      </w:pPr>
      <w:r>
        <w:rPr>
          <w:noProof/>
          <w:rtl/>
        </w:rPr>
        <w:t xml:space="preserve">الميزان في تفسير القرآن، </w:t>
      </w:r>
      <w:r>
        <w:rPr>
          <w:noProof/>
        </w:rPr>
        <w:t>59</w:t>
      </w:r>
      <w:r>
        <w:rPr>
          <w:noProof/>
          <w:rtl/>
        </w:rPr>
        <w:t xml:space="preserve">، </w:t>
      </w:r>
      <w:r>
        <w:rPr>
          <w:noProof/>
        </w:rPr>
        <w:t>88</w:t>
      </w:r>
      <w:r>
        <w:rPr>
          <w:noProof/>
          <w:rtl/>
        </w:rPr>
        <w:t xml:space="preserve">، </w:t>
      </w:r>
      <w:r>
        <w:rPr>
          <w:noProof/>
        </w:rPr>
        <w:t>90</w:t>
      </w:r>
      <w:r>
        <w:rPr>
          <w:noProof/>
          <w:rtl/>
        </w:rPr>
        <w:t xml:space="preserve">، </w:t>
      </w:r>
      <w:r>
        <w:rPr>
          <w:noProof/>
        </w:rPr>
        <w:t>91</w:t>
      </w:r>
      <w:r>
        <w:rPr>
          <w:noProof/>
          <w:rtl/>
        </w:rPr>
        <w:t xml:space="preserve">، </w:t>
      </w:r>
      <w:r>
        <w:rPr>
          <w:noProof/>
        </w:rPr>
        <w:t>92</w:t>
      </w:r>
      <w:r>
        <w:rPr>
          <w:noProof/>
          <w:rtl/>
        </w:rPr>
        <w:t xml:space="preserve">، </w:t>
      </w:r>
      <w:r>
        <w:rPr>
          <w:noProof/>
        </w:rPr>
        <w:t>94</w:t>
      </w:r>
      <w:r>
        <w:rPr>
          <w:noProof/>
          <w:rtl/>
        </w:rPr>
        <w:t xml:space="preserve">، </w:t>
      </w:r>
      <w:r>
        <w:rPr>
          <w:noProof/>
        </w:rPr>
        <w:t>95</w:t>
      </w:r>
      <w:r>
        <w:rPr>
          <w:noProof/>
          <w:rtl/>
        </w:rPr>
        <w:t xml:space="preserve">، </w:t>
      </w:r>
      <w:r>
        <w:rPr>
          <w:noProof/>
        </w:rPr>
        <w:t>96</w:t>
      </w:r>
      <w:r>
        <w:rPr>
          <w:noProof/>
          <w:rtl/>
        </w:rPr>
        <w:t xml:space="preserve">، </w:t>
      </w:r>
      <w:r>
        <w:rPr>
          <w:noProof/>
        </w:rPr>
        <w:t>97</w:t>
      </w:r>
      <w:r>
        <w:rPr>
          <w:noProof/>
          <w:rtl/>
        </w:rPr>
        <w:t xml:space="preserve">، </w:t>
      </w:r>
      <w:r>
        <w:rPr>
          <w:noProof/>
        </w:rPr>
        <w:t>98</w:t>
      </w:r>
      <w:r>
        <w:rPr>
          <w:noProof/>
          <w:rtl/>
        </w:rPr>
        <w:t xml:space="preserve">، </w:t>
      </w:r>
      <w:r>
        <w:rPr>
          <w:noProof/>
        </w:rPr>
        <w:t>99</w:t>
      </w:r>
      <w:r>
        <w:rPr>
          <w:noProof/>
          <w:rtl/>
        </w:rPr>
        <w:t xml:space="preserve">، </w:t>
      </w:r>
      <w:r>
        <w:rPr>
          <w:noProof/>
        </w:rPr>
        <w:t>101</w:t>
      </w:r>
      <w:r>
        <w:rPr>
          <w:noProof/>
          <w:rtl/>
        </w:rPr>
        <w:t xml:space="preserve">، </w:t>
      </w:r>
      <w:r>
        <w:rPr>
          <w:noProof/>
        </w:rPr>
        <w:t>104</w:t>
      </w:r>
      <w:r>
        <w:rPr>
          <w:noProof/>
          <w:rtl/>
        </w:rPr>
        <w:t xml:space="preserve">، </w:t>
      </w:r>
      <w:r>
        <w:rPr>
          <w:noProof/>
        </w:rPr>
        <w:t>400</w:t>
      </w:r>
      <w:r>
        <w:rPr>
          <w:noProof/>
          <w:rtl/>
        </w:rPr>
        <w:t xml:space="preserve">، </w:t>
      </w:r>
      <w:r>
        <w:rPr>
          <w:noProof/>
        </w:rPr>
        <w:t>401</w:t>
      </w:r>
      <w:r>
        <w:rPr>
          <w:noProof/>
          <w:rtl/>
        </w:rPr>
        <w:t xml:space="preserve">، </w:t>
      </w:r>
      <w:r>
        <w:rPr>
          <w:noProof/>
        </w:rPr>
        <w:t>402</w:t>
      </w:r>
      <w:r>
        <w:rPr>
          <w:noProof/>
          <w:rtl/>
        </w:rPr>
        <w:t xml:space="preserve">، </w:t>
      </w:r>
      <w:r>
        <w:rPr>
          <w:noProof/>
        </w:rPr>
        <w:t>410</w:t>
      </w:r>
      <w:r>
        <w:rPr>
          <w:noProof/>
          <w:rtl/>
        </w:rPr>
        <w:t xml:space="preserve">، </w:t>
      </w:r>
      <w:r>
        <w:rPr>
          <w:noProof/>
        </w:rPr>
        <w:t>423</w:t>
      </w:r>
      <w:r>
        <w:rPr>
          <w:noProof/>
          <w:rtl/>
        </w:rPr>
        <w:t xml:space="preserve">، </w:t>
      </w:r>
      <w:r>
        <w:rPr>
          <w:noProof/>
        </w:rPr>
        <w:t>440</w:t>
      </w:r>
    </w:p>
    <w:p w:rsidR="002002F4" w:rsidRDefault="002002F4" w:rsidP="00074DA4">
      <w:pPr>
        <w:spacing w:line="192" w:lineRule="auto"/>
        <w:ind w:firstLine="0"/>
        <w:rPr>
          <w:noProof/>
        </w:rPr>
      </w:pPr>
      <w:r>
        <w:rPr>
          <w:noProof/>
          <w:rtl/>
        </w:rPr>
        <w:t xml:space="preserve">نامه اى أز إمام موسوي كاشف الغطاء، </w:t>
      </w:r>
      <w:r>
        <w:rPr>
          <w:noProof/>
        </w:rPr>
        <w:t>205</w:t>
      </w:r>
    </w:p>
    <w:p w:rsidR="002002F4" w:rsidRDefault="002002F4" w:rsidP="00074DA4">
      <w:pPr>
        <w:spacing w:line="192" w:lineRule="auto"/>
        <w:ind w:firstLine="0"/>
        <w:rPr>
          <w:noProof/>
        </w:rPr>
      </w:pPr>
      <w:r>
        <w:rPr>
          <w:noProof/>
          <w:rtl/>
        </w:rPr>
        <w:t xml:space="preserve">نامه مفيد (مجلة)، </w:t>
      </w:r>
      <w:r>
        <w:rPr>
          <w:noProof/>
        </w:rPr>
        <w:t>68</w:t>
      </w:r>
    </w:p>
    <w:p w:rsidR="002002F4" w:rsidRDefault="002002F4" w:rsidP="00074DA4">
      <w:pPr>
        <w:spacing w:line="192" w:lineRule="auto"/>
        <w:ind w:firstLine="0"/>
        <w:rPr>
          <w:noProof/>
        </w:rPr>
      </w:pPr>
      <w:r>
        <w:rPr>
          <w:noProof/>
          <w:rtl/>
        </w:rPr>
        <w:t>نخستين رويا روييهاي انديشهﮔران إيران با دو رؤيه تمدن بور</w:t>
      </w:r>
      <w:r>
        <w:rPr>
          <w:rFonts w:ascii="Times New Roman" w:hAnsi="Times New Roman"/>
          <w:noProof/>
          <w:rtl/>
        </w:rPr>
        <w:t>ﮊ</w:t>
      </w:r>
      <w:r>
        <w:rPr>
          <w:noProof/>
          <w:rtl/>
        </w:rPr>
        <w:t xml:space="preserve">وازي غرب، </w:t>
      </w:r>
      <w:r>
        <w:rPr>
          <w:noProof/>
        </w:rPr>
        <w:t>130</w:t>
      </w:r>
    </w:p>
    <w:p w:rsidR="002002F4" w:rsidRDefault="002002F4" w:rsidP="00074DA4">
      <w:pPr>
        <w:spacing w:line="192" w:lineRule="auto"/>
        <w:ind w:firstLine="0"/>
        <w:rPr>
          <w:noProof/>
        </w:rPr>
      </w:pPr>
      <w:r>
        <w:rPr>
          <w:noProof/>
          <w:rtl/>
        </w:rPr>
        <w:t xml:space="preserve">نص النصوص في شرح فصوص الحكم، </w:t>
      </w:r>
      <w:r>
        <w:rPr>
          <w:noProof/>
        </w:rPr>
        <w:t>46</w:t>
      </w:r>
      <w:r>
        <w:rPr>
          <w:noProof/>
          <w:rtl/>
        </w:rPr>
        <w:t xml:space="preserve">، </w:t>
      </w:r>
      <w:r>
        <w:rPr>
          <w:noProof/>
        </w:rPr>
        <w:t>50</w:t>
      </w:r>
    </w:p>
    <w:p w:rsidR="002002F4" w:rsidRDefault="002002F4" w:rsidP="00074DA4">
      <w:pPr>
        <w:spacing w:line="192" w:lineRule="auto"/>
        <w:ind w:firstLine="0"/>
        <w:rPr>
          <w:noProof/>
        </w:rPr>
      </w:pPr>
      <w:r>
        <w:rPr>
          <w:noProof/>
          <w:rtl/>
        </w:rPr>
        <w:t xml:space="preserve">نظريات الحكم في الفقه الشيعي، </w:t>
      </w:r>
      <w:r>
        <w:rPr>
          <w:noProof/>
        </w:rPr>
        <w:t>128</w:t>
      </w:r>
      <w:r>
        <w:rPr>
          <w:noProof/>
          <w:rtl/>
        </w:rPr>
        <w:t xml:space="preserve">، </w:t>
      </w:r>
      <w:r>
        <w:rPr>
          <w:noProof/>
        </w:rPr>
        <w:t>429</w:t>
      </w:r>
    </w:p>
    <w:p w:rsidR="002002F4" w:rsidRDefault="002002F4" w:rsidP="00074DA4">
      <w:pPr>
        <w:spacing w:line="192" w:lineRule="auto"/>
        <w:ind w:firstLine="0"/>
        <w:rPr>
          <w:noProof/>
        </w:rPr>
      </w:pPr>
      <w:r>
        <w:rPr>
          <w:noProof/>
          <w:rtl/>
        </w:rPr>
        <w:t xml:space="preserve">نظريات الدولة في الفقه الشيعي، </w:t>
      </w:r>
      <w:r>
        <w:rPr>
          <w:noProof/>
        </w:rPr>
        <w:t>14</w:t>
      </w:r>
      <w:r>
        <w:rPr>
          <w:noProof/>
          <w:rtl/>
        </w:rPr>
        <w:t xml:space="preserve">، </w:t>
      </w:r>
      <w:r>
        <w:rPr>
          <w:noProof/>
        </w:rPr>
        <w:t>24</w:t>
      </w:r>
      <w:r>
        <w:rPr>
          <w:noProof/>
          <w:rtl/>
        </w:rPr>
        <w:t xml:space="preserve">، </w:t>
      </w:r>
      <w:r>
        <w:rPr>
          <w:noProof/>
        </w:rPr>
        <w:t>31</w:t>
      </w:r>
    </w:p>
    <w:p w:rsidR="002002F4" w:rsidRDefault="002002F4" w:rsidP="00074DA4">
      <w:pPr>
        <w:spacing w:line="192" w:lineRule="auto"/>
        <w:ind w:firstLine="0"/>
        <w:rPr>
          <w:noProof/>
        </w:rPr>
      </w:pPr>
      <w:r>
        <w:rPr>
          <w:noProof/>
          <w:rtl/>
        </w:rPr>
        <w:t xml:space="preserve">نوادر الحكمة، </w:t>
      </w:r>
      <w:r>
        <w:rPr>
          <w:noProof/>
        </w:rPr>
        <w:t>346</w:t>
      </w:r>
      <w:r>
        <w:rPr>
          <w:noProof/>
          <w:rtl/>
        </w:rPr>
        <w:t xml:space="preserve">، </w:t>
      </w:r>
      <w:r>
        <w:rPr>
          <w:noProof/>
        </w:rPr>
        <w:t>347</w:t>
      </w:r>
    </w:p>
    <w:p w:rsidR="002002F4" w:rsidRDefault="002002F4" w:rsidP="00074DA4">
      <w:pPr>
        <w:spacing w:line="192" w:lineRule="auto"/>
        <w:ind w:firstLine="0"/>
        <w:rPr>
          <w:noProof/>
        </w:rPr>
      </w:pPr>
      <w:r>
        <w:rPr>
          <w:noProof/>
          <w:rtl/>
        </w:rPr>
        <w:t xml:space="preserve">نوادر الراوندي، </w:t>
      </w:r>
      <w:r>
        <w:rPr>
          <w:noProof/>
        </w:rPr>
        <w:t>312</w:t>
      </w:r>
    </w:p>
    <w:p w:rsidR="002002F4" w:rsidRDefault="002002F4" w:rsidP="00074DA4">
      <w:pPr>
        <w:spacing w:line="192" w:lineRule="auto"/>
        <w:ind w:firstLine="0"/>
        <w:rPr>
          <w:noProof/>
        </w:rPr>
      </w:pPr>
      <w:r>
        <w:rPr>
          <w:noProof/>
          <w:rtl/>
        </w:rPr>
        <w:t xml:space="preserve">نوروز (صحيفة)، </w:t>
      </w:r>
      <w:r>
        <w:rPr>
          <w:noProof/>
        </w:rPr>
        <w:t>259</w:t>
      </w:r>
    </w:p>
    <w:p w:rsidR="002002F4" w:rsidRDefault="002002F4" w:rsidP="00074DA4">
      <w:pPr>
        <w:spacing w:line="192" w:lineRule="auto"/>
        <w:ind w:firstLine="0"/>
        <w:rPr>
          <w:noProof/>
        </w:rPr>
      </w:pPr>
      <w:r>
        <w:rPr>
          <w:noProof/>
          <w:rtl/>
        </w:rPr>
        <w:t xml:space="preserve">النهاية في مجرد الفقه والفتاوى، </w:t>
      </w:r>
      <w:r>
        <w:rPr>
          <w:noProof/>
        </w:rPr>
        <w:t>126</w:t>
      </w:r>
    </w:p>
    <w:p w:rsidR="002002F4" w:rsidRDefault="002002F4" w:rsidP="00074DA4">
      <w:pPr>
        <w:spacing w:line="192" w:lineRule="auto"/>
        <w:ind w:firstLine="0"/>
        <w:rPr>
          <w:noProof/>
        </w:rPr>
      </w:pPr>
      <w:r>
        <w:rPr>
          <w:noProof/>
          <w:rtl/>
        </w:rPr>
        <w:t xml:space="preserve">نهج البلاغة، </w:t>
      </w:r>
      <w:r>
        <w:rPr>
          <w:noProof/>
        </w:rPr>
        <w:t>114</w:t>
      </w:r>
      <w:r>
        <w:rPr>
          <w:noProof/>
          <w:rtl/>
        </w:rPr>
        <w:t xml:space="preserve">، </w:t>
      </w:r>
      <w:r>
        <w:rPr>
          <w:noProof/>
        </w:rPr>
        <w:t>120</w:t>
      </w:r>
      <w:r>
        <w:rPr>
          <w:noProof/>
          <w:rtl/>
        </w:rPr>
        <w:t xml:space="preserve">، </w:t>
      </w:r>
      <w:r>
        <w:rPr>
          <w:noProof/>
        </w:rPr>
        <w:t>121</w:t>
      </w:r>
      <w:r>
        <w:rPr>
          <w:noProof/>
          <w:rtl/>
        </w:rPr>
        <w:t xml:space="preserve">، </w:t>
      </w:r>
      <w:r>
        <w:rPr>
          <w:noProof/>
        </w:rPr>
        <w:t>251</w:t>
      </w:r>
      <w:r>
        <w:rPr>
          <w:noProof/>
          <w:rtl/>
        </w:rPr>
        <w:t xml:space="preserve">، </w:t>
      </w:r>
      <w:r>
        <w:rPr>
          <w:noProof/>
        </w:rPr>
        <w:t>320</w:t>
      </w:r>
      <w:r>
        <w:rPr>
          <w:noProof/>
          <w:rtl/>
        </w:rPr>
        <w:t xml:space="preserve">، </w:t>
      </w:r>
      <w:r>
        <w:rPr>
          <w:noProof/>
        </w:rPr>
        <w:t>324</w:t>
      </w:r>
      <w:r>
        <w:rPr>
          <w:noProof/>
          <w:rtl/>
        </w:rPr>
        <w:t xml:space="preserve">، </w:t>
      </w:r>
      <w:r>
        <w:rPr>
          <w:noProof/>
        </w:rPr>
        <w:t>326</w:t>
      </w:r>
    </w:p>
    <w:p w:rsidR="002002F4" w:rsidRDefault="002002F4" w:rsidP="00074DA4">
      <w:pPr>
        <w:spacing w:line="192" w:lineRule="auto"/>
        <w:ind w:firstLine="0"/>
        <w:rPr>
          <w:noProof/>
        </w:rPr>
      </w:pPr>
      <w:r>
        <w:rPr>
          <w:noProof/>
          <w:rtl/>
        </w:rPr>
        <w:t xml:space="preserve">نهج الحق وكشف الصدق، </w:t>
      </w:r>
      <w:r>
        <w:rPr>
          <w:noProof/>
        </w:rPr>
        <w:t>58</w:t>
      </w:r>
    </w:p>
    <w:p w:rsidR="002002F4" w:rsidRDefault="002002F4" w:rsidP="00074DA4">
      <w:pPr>
        <w:spacing w:line="192" w:lineRule="auto"/>
        <w:ind w:firstLine="0"/>
        <w:rPr>
          <w:noProof/>
        </w:rPr>
      </w:pPr>
      <w:r>
        <w:rPr>
          <w:noProof/>
          <w:rtl/>
        </w:rPr>
        <w:t xml:space="preserve">نهج الفقاهة، </w:t>
      </w:r>
      <w:r>
        <w:rPr>
          <w:noProof/>
        </w:rPr>
        <w:t>77</w:t>
      </w:r>
      <w:r>
        <w:rPr>
          <w:noProof/>
          <w:rtl/>
        </w:rPr>
        <w:t xml:space="preserve">، </w:t>
      </w:r>
      <w:r>
        <w:rPr>
          <w:noProof/>
        </w:rPr>
        <w:t>132</w:t>
      </w:r>
      <w:r>
        <w:rPr>
          <w:noProof/>
          <w:rtl/>
        </w:rPr>
        <w:t xml:space="preserve">، </w:t>
      </w:r>
      <w:r>
        <w:rPr>
          <w:noProof/>
        </w:rPr>
        <w:t>160</w:t>
      </w:r>
      <w:r>
        <w:rPr>
          <w:noProof/>
          <w:rtl/>
        </w:rPr>
        <w:t xml:space="preserve">، </w:t>
      </w:r>
      <w:r>
        <w:rPr>
          <w:noProof/>
        </w:rPr>
        <w:t>300</w:t>
      </w:r>
      <w:r>
        <w:rPr>
          <w:noProof/>
          <w:rtl/>
        </w:rPr>
        <w:t xml:space="preserve">، </w:t>
      </w:r>
      <w:r>
        <w:rPr>
          <w:noProof/>
        </w:rPr>
        <w:t>330</w:t>
      </w:r>
      <w:r>
        <w:rPr>
          <w:noProof/>
          <w:rtl/>
        </w:rPr>
        <w:t xml:space="preserve">، </w:t>
      </w:r>
      <w:r>
        <w:rPr>
          <w:noProof/>
        </w:rPr>
        <w:t>353</w:t>
      </w:r>
      <w:r>
        <w:rPr>
          <w:noProof/>
          <w:rtl/>
        </w:rPr>
        <w:t xml:space="preserve">، </w:t>
      </w:r>
      <w:r>
        <w:rPr>
          <w:noProof/>
        </w:rPr>
        <w:t>361</w:t>
      </w:r>
      <w:r>
        <w:rPr>
          <w:noProof/>
          <w:rtl/>
        </w:rPr>
        <w:t xml:space="preserve">، </w:t>
      </w:r>
      <w:r>
        <w:rPr>
          <w:noProof/>
        </w:rPr>
        <w:t>382</w:t>
      </w:r>
      <w:r>
        <w:rPr>
          <w:noProof/>
          <w:rtl/>
        </w:rPr>
        <w:t xml:space="preserve">، </w:t>
      </w:r>
      <w:r>
        <w:rPr>
          <w:noProof/>
        </w:rPr>
        <w:t>387</w:t>
      </w:r>
      <w:r>
        <w:rPr>
          <w:noProof/>
          <w:rtl/>
        </w:rPr>
        <w:t xml:space="preserve">، </w:t>
      </w:r>
      <w:r>
        <w:rPr>
          <w:noProof/>
        </w:rPr>
        <w:t>418</w:t>
      </w:r>
    </w:p>
    <w:p w:rsidR="002002F4" w:rsidRDefault="002002F4" w:rsidP="00074DA4">
      <w:pPr>
        <w:spacing w:line="192" w:lineRule="auto"/>
        <w:ind w:firstLine="0"/>
        <w:rPr>
          <w:noProof/>
        </w:rPr>
      </w:pPr>
      <w:r>
        <w:rPr>
          <w:noProof/>
          <w:rtl/>
        </w:rPr>
        <w:t xml:space="preserve">الوافي، </w:t>
      </w:r>
      <w:r>
        <w:rPr>
          <w:noProof/>
        </w:rPr>
        <w:t>109</w:t>
      </w:r>
      <w:r>
        <w:rPr>
          <w:noProof/>
          <w:rtl/>
        </w:rPr>
        <w:t xml:space="preserve">، </w:t>
      </w:r>
      <w:r>
        <w:rPr>
          <w:noProof/>
        </w:rPr>
        <w:t>297</w:t>
      </w:r>
    </w:p>
    <w:p w:rsidR="002002F4" w:rsidRDefault="002002F4" w:rsidP="00074DA4">
      <w:pPr>
        <w:spacing w:line="192" w:lineRule="auto"/>
        <w:ind w:firstLine="0"/>
        <w:rPr>
          <w:noProof/>
        </w:rPr>
      </w:pPr>
      <w:r>
        <w:rPr>
          <w:noProof/>
          <w:rtl/>
        </w:rPr>
        <w:t xml:space="preserve">وسائل الشيعة، </w:t>
      </w:r>
      <w:r>
        <w:rPr>
          <w:noProof/>
        </w:rPr>
        <w:t>61</w:t>
      </w:r>
      <w:r>
        <w:rPr>
          <w:noProof/>
          <w:rtl/>
        </w:rPr>
        <w:t xml:space="preserve">، </w:t>
      </w:r>
      <w:r>
        <w:rPr>
          <w:noProof/>
        </w:rPr>
        <w:t>109</w:t>
      </w:r>
      <w:r>
        <w:rPr>
          <w:noProof/>
          <w:rtl/>
        </w:rPr>
        <w:t xml:space="preserve">، </w:t>
      </w:r>
      <w:r>
        <w:rPr>
          <w:noProof/>
        </w:rPr>
        <w:t>116</w:t>
      </w:r>
      <w:r>
        <w:rPr>
          <w:noProof/>
          <w:rtl/>
        </w:rPr>
        <w:t xml:space="preserve">، </w:t>
      </w:r>
      <w:r>
        <w:rPr>
          <w:noProof/>
        </w:rPr>
        <w:t>117</w:t>
      </w:r>
      <w:r>
        <w:rPr>
          <w:noProof/>
          <w:rtl/>
        </w:rPr>
        <w:t xml:space="preserve">، </w:t>
      </w:r>
      <w:r>
        <w:rPr>
          <w:noProof/>
        </w:rPr>
        <w:t>120</w:t>
      </w:r>
      <w:r>
        <w:rPr>
          <w:noProof/>
          <w:rtl/>
        </w:rPr>
        <w:t xml:space="preserve">، </w:t>
      </w:r>
      <w:r>
        <w:rPr>
          <w:noProof/>
        </w:rPr>
        <w:t>123</w:t>
      </w:r>
      <w:r>
        <w:rPr>
          <w:noProof/>
          <w:rtl/>
        </w:rPr>
        <w:t xml:space="preserve">، </w:t>
      </w:r>
      <w:r>
        <w:rPr>
          <w:noProof/>
        </w:rPr>
        <w:t>297</w:t>
      </w:r>
      <w:r>
        <w:rPr>
          <w:noProof/>
          <w:rtl/>
        </w:rPr>
        <w:t xml:space="preserve">، </w:t>
      </w:r>
      <w:r>
        <w:rPr>
          <w:noProof/>
        </w:rPr>
        <w:t>376</w:t>
      </w:r>
    </w:p>
    <w:p w:rsidR="002002F4" w:rsidRDefault="002002F4" w:rsidP="00074DA4">
      <w:pPr>
        <w:spacing w:line="192" w:lineRule="auto"/>
        <w:ind w:firstLine="0"/>
        <w:rPr>
          <w:noProof/>
        </w:rPr>
      </w:pPr>
      <w:r>
        <w:rPr>
          <w:noProof/>
          <w:rtl/>
        </w:rPr>
        <w:t xml:space="preserve">ولاءها وولايتها، مجموعة آثار مطهري، </w:t>
      </w:r>
      <w:r>
        <w:rPr>
          <w:noProof/>
        </w:rPr>
        <w:t>46</w:t>
      </w:r>
      <w:r>
        <w:rPr>
          <w:noProof/>
          <w:rtl/>
        </w:rPr>
        <w:t xml:space="preserve">، </w:t>
      </w:r>
      <w:r>
        <w:rPr>
          <w:noProof/>
        </w:rPr>
        <w:t>55</w:t>
      </w:r>
      <w:r>
        <w:rPr>
          <w:noProof/>
          <w:rtl/>
        </w:rPr>
        <w:t xml:space="preserve">، </w:t>
      </w:r>
      <w:r>
        <w:rPr>
          <w:noProof/>
        </w:rPr>
        <w:t>63</w:t>
      </w:r>
      <w:r>
        <w:rPr>
          <w:noProof/>
          <w:rtl/>
        </w:rPr>
        <w:t xml:space="preserve">، </w:t>
      </w:r>
      <w:r>
        <w:rPr>
          <w:noProof/>
        </w:rPr>
        <w:t>88</w:t>
      </w:r>
    </w:p>
    <w:p w:rsidR="002002F4" w:rsidRDefault="002002F4" w:rsidP="00074DA4">
      <w:pPr>
        <w:spacing w:line="192" w:lineRule="auto"/>
        <w:ind w:firstLine="0"/>
        <w:rPr>
          <w:noProof/>
        </w:rPr>
      </w:pPr>
      <w:r>
        <w:rPr>
          <w:noProof/>
          <w:rtl/>
        </w:rPr>
        <w:t xml:space="preserve">ولاية الأمر في عصر الغيبة، </w:t>
      </w:r>
      <w:r>
        <w:rPr>
          <w:noProof/>
        </w:rPr>
        <w:t>143</w:t>
      </w:r>
      <w:r>
        <w:rPr>
          <w:noProof/>
          <w:rtl/>
        </w:rPr>
        <w:t xml:space="preserve">، </w:t>
      </w:r>
      <w:r>
        <w:rPr>
          <w:noProof/>
        </w:rPr>
        <w:t>153</w:t>
      </w:r>
      <w:r>
        <w:rPr>
          <w:noProof/>
          <w:rtl/>
        </w:rPr>
        <w:t xml:space="preserve">، </w:t>
      </w:r>
      <w:r>
        <w:rPr>
          <w:noProof/>
        </w:rPr>
        <w:t>160</w:t>
      </w:r>
      <w:r>
        <w:rPr>
          <w:noProof/>
          <w:rtl/>
        </w:rPr>
        <w:t xml:space="preserve">، </w:t>
      </w:r>
      <w:r>
        <w:rPr>
          <w:noProof/>
        </w:rPr>
        <w:t>377</w:t>
      </w:r>
      <w:r>
        <w:rPr>
          <w:noProof/>
          <w:rtl/>
        </w:rPr>
        <w:t xml:space="preserve">، </w:t>
      </w:r>
      <w:r>
        <w:rPr>
          <w:noProof/>
        </w:rPr>
        <w:t>378</w:t>
      </w:r>
      <w:r>
        <w:rPr>
          <w:noProof/>
          <w:rtl/>
        </w:rPr>
        <w:t xml:space="preserve">، </w:t>
      </w:r>
      <w:r>
        <w:rPr>
          <w:noProof/>
        </w:rPr>
        <w:t>381</w:t>
      </w:r>
      <w:r>
        <w:rPr>
          <w:noProof/>
          <w:rtl/>
        </w:rPr>
        <w:t xml:space="preserve">، </w:t>
      </w:r>
      <w:r>
        <w:rPr>
          <w:noProof/>
        </w:rPr>
        <w:t>389</w:t>
      </w:r>
    </w:p>
    <w:p w:rsidR="002002F4" w:rsidRDefault="002002F4" w:rsidP="00074DA4">
      <w:pPr>
        <w:spacing w:line="192" w:lineRule="auto"/>
        <w:ind w:firstLine="0"/>
        <w:rPr>
          <w:noProof/>
        </w:rPr>
      </w:pPr>
      <w:r>
        <w:rPr>
          <w:noProof/>
          <w:rtl/>
        </w:rPr>
        <w:t xml:space="preserve">ولاية الحكومة الإسلامية، </w:t>
      </w:r>
      <w:r>
        <w:rPr>
          <w:noProof/>
        </w:rPr>
        <w:t>142</w:t>
      </w:r>
    </w:p>
    <w:p w:rsidR="002002F4" w:rsidRDefault="002002F4" w:rsidP="00074DA4">
      <w:pPr>
        <w:spacing w:line="192" w:lineRule="auto"/>
        <w:ind w:firstLine="0"/>
        <w:rPr>
          <w:noProof/>
        </w:rPr>
      </w:pPr>
      <w:r>
        <w:rPr>
          <w:noProof/>
          <w:rtl/>
        </w:rPr>
        <w:t xml:space="preserve">ولايت فقيه، </w:t>
      </w:r>
      <w:r>
        <w:rPr>
          <w:noProof/>
        </w:rPr>
        <w:t>140</w:t>
      </w:r>
    </w:p>
    <w:p w:rsidR="002002F4" w:rsidRDefault="002002F4" w:rsidP="00074DA4">
      <w:pPr>
        <w:spacing w:line="192" w:lineRule="auto"/>
        <w:ind w:firstLine="0"/>
        <w:rPr>
          <w:noProof/>
          <w:rtl/>
        </w:rPr>
      </w:pPr>
      <w:r>
        <w:rPr>
          <w:noProof/>
          <w:rtl/>
        </w:rPr>
        <w:t xml:space="preserve">الولاية الفقهية، </w:t>
      </w:r>
      <w:r>
        <w:rPr>
          <w:noProof/>
        </w:rPr>
        <w:t>290</w:t>
      </w:r>
      <w:r>
        <w:rPr>
          <w:noProof/>
          <w:rtl/>
        </w:rPr>
        <w:t xml:space="preserve">، </w:t>
      </w:r>
      <w:r>
        <w:rPr>
          <w:noProof/>
        </w:rPr>
        <w:t>291</w:t>
      </w:r>
    </w:p>
    <w:p w:rsidR="002002F4" w:rsidRDefault="002002F4" w:rsidP="00074DA4">
      <w:pPr>
        <w:spacing w:line="192" w:lineRule="auto"/>
        <w:ind w:firstLine="0"/>
        <w:rPr>
          <w:noProof/>
        </w:rPr>
      </w:pPr>
      <w:r>
        <w:rPr>
          <w:noProof/>
          <w:rtl/>
        </w:rPr>
        <w:t xml:space="preserve">ولاية الفقيه على الجهاد والدفاع (مقالة)، </w:t>
      </w:r>
      <w:r>
        <w:rPr>
          <w:noProof/>
        </w:rPr>
        <w:t>119</w:t>
      </w:r>
    </w:p>
    <w:p w:rsidR="002002F4" w:rsidRDefault="002002F4" w:rsidP="00074DA4">
      <w:pPr>
        <w:spacing w:line="192" w:lineRule="auto"/>
        <w:ind w:firstLine="0"/>
        <w:rPr>
          <w:noProof/>
        </w:rPr>
      </w:pPr>
      <w:r>
        <w:rPr>
          <w:noProof/>
          <w:rtl/>
        </w:rPr>
        <w:t xml:space="preserve">ولاية الفقيه، </w:t>
      </w:r>
      <w:r>
        <w:rPr>
          <w:noProof/>
        </w:rPr>
        <w:t>69</w:t>
      </w:r>
      <w:r>
        <w:rPr>
          <w:noProof/>
          <w:rtl/>
        </w:rPr>
        <w:t xml:space="preserve">، </w:t>
      </w:r>
      <w:r>
        <w:rPr>
          <w:noProof/>
        </w:rPr>
        <w:t>142</w:t>
      </w:r>
      <w:r>
        <w:rPr>
          <w:noProof/>
          <w:rtl/>
        </w:rPr>
        <w:t xml:space="preserve">، </w:t>
      </w:r>
      <w:r>
        <w:rPr>
          <w:noProof/>
        </w:rPr>
        <w:t>145</w:t>
      </w:r>
      <w:r>
        <w:rPr>
          <w:noProof/>
          <w:rtl/>
        </w:rPr>
        <w:t xml:space="preserve">، </w:t>
      </w:r>
      <w:r>
        <w:rPr>
          <w:noProof/>
        </w:rPr>
        <w:t>204</w:t>
      </w:r>
      <w:r>
        <w:rPr>
          <w:noProof/>
          <w:rtl/>
        </w:rPr>
        <w:t xml:space="preserve">، </w:t>
      </w:r>
      <w:r>
        <w:rPr>
          <w:noProof/>
        </w:rPr>
        <w:t>272</w:t>
      </w:r>
    </w:p>
    <w:p w:rsidR="002002F4" w:rsidRDefault="002002F4" w:rsidP="00074DA4">
      <w:pPr>
        <w:spacing w:line="192" w:lineRule="auto"/>
        <w:ind w:firstLine="0"/>
        <w:rPr>
          <w:lang w:bidi="fa-IR"/>
        </w:rPr>
      </w:pPr>
      <w:r>
        <w:rPr>
          <w:noProof/>
          <w:rtl/>
        </w:rPr>
        <w:t xml:space="preserve">ولايت فقيه از ديدگاه قرآن كريم، </w:t>
      </w:r>
      <w:r>
        <w:rPr>
          <w:noProof/>
        </w:rPr>
        <w:t>395</w:t>
      </w:r>
    </w:p>
    <w:p w:rsidR="002002F4" w:rsidRDefault="002002F4" w:rsidP="00074DA4">
      <w:pPr>
        <w:spacing w:line="192" w:lineRule="auto"/>
        <w:ind w:firstLine="0"/>
        <w:rPr>
          <w:noProof/>
          <w:rtl/>
          <w:lang w:bidi="fa-IR"/>
        </w:rPr>
      </w:pPr>
      <w:r>
        <w:rPr>
          <w:noProof/>
          <w:rtl/>
        </w:rPr>
        <w:t xml:space="preserve">ولايت فقيه حكومت صالحان، </w:t>
      </w:r>
      <w:r>
        <w:rPr>
          <w:noProof/>
        </w:rPr>
        <w:t>253</w:t>
      </w:r>
    </w:p>
    <w:p w:rsidR="002002F4" w:rsidRDefault="002002F4" w:rsidP="00074DA4">
      <w:pPr>
        <w:spacing w:line="192" w:lineRule="auto"/>
        <w:ind w:firstLine="0"/>
        <w:rPr>
          <w:noProof/>
        </w:rPr>
      </w:pPr>
      <w:r>
        <w:rPr>
          <w:noProof/>
          <w:rtl/>
        </w:rPr>
        <w:t xml:space="preserve">هداية الأنام في حكم أموال الإمام، </w:t>
      </w:r>
      <w:r>
        <w:rPr>
          <w:noProof/>
        </w:rPr>
        <w:t>157</w:t>
      </w:r>
      <w:r>
        <w:rPr>
          <w:noProof/>
          <w:rtl/>
        </w:rPr>
        <w:t xml:space="preserve">، </w:t>
      </w:r>
      <w:r>
        <w:rPr>
          <w:noProof/>
        </w:rPr>
        <w:t>303</w:t>
      </w:r>
      <w:r>
        <w:rPr>
          <w:noProof/>
          <w:rtl/>
        </w:rPr>
        <w:t xml:space="preserve">، </w:t>
      </w:r>
      <w:r>
        <w:rPr>
          <w:noProof/>
        </w:rPr>
        <w:t>313</w:t>
      </w:r>
      <w:r>
        <w:rPr>
          <w:noProof/>
          <w:rtl/>
        </w:rPr>
        <w:t xml:space="preserve">، </w:t>
      </w:r>
      <w:r>
        <w:rPr>
          <w:noProof/>
        </w:rPr>
        <w:t>321</w:t>
      </w:r>
      <w:r>
        <w:rPr>
          <w:noProof/>
          <w:rtl/>
        </w:rPr>
        <w:t xml:space="preserve">، </w:t>
      </w:r>
      <w:r>
        <w:rPr>
          <w:noProof/>
        </w:rPr>
        <w:t>339</w:t>
      </w:r>
      <w:r>
        <w:rPr>
          <w:noProof/>
          <w:rtl/>
        </w:rPr>
        <w:t xml:space="preserve">، </w:t>
      </w:r>
      <w:r>
        <w:rPr>
          <w:noProof/>
        </w:rPr>
        <w:t>346</w:t>
      </w:r>
      <w:r>
        <w:rPr>
          <w:noProof/>
          <w:rtl/>
        </w:rPr>
        <w:t xml:space="preserve">، </w:t>
      </w:r>
      <w:r>
        <w:rPr>
          <w:noProof/>
        </w:rPr>
        <w:t>377</w:t>
      </w:r>
      <w:r>
        <w:rPr>
          <w:noProof/>
          <w:rtl/>
        </w:rPr>
        <w:t xml:space="preserve">، </w:t>
      </w:r>
      <w:r>
        <w:rPr>
          <w:noProof/>
        </w:rPr>
        <w:t>436</w:t>
      </w:r>
      <w:r>
        <w:rPr>
          <w:noProof/>
          <w:rtl/>
        </w:rPr>
        <w:t xml:space="preserve">، </w:t>
      </w:r>
      <w:r>
        <w:rPr>
          <w:noProof/>
        </w:rPr>
        <w:t>437</w:t>
      </w:r>
    </w:p>
    <w:p w:rsidR="002002F4" w:rsidRDefault="002002F4" w:rsidP="00074DA4">
      <w:pPr>
        <w:spacing w:line="192" w:lineRule="auto"/>
        <w:ind w:firstLine="0"/>
        <w:rPr>
          <w:noProof/>
          <w:rtl/>
        </w:rPr>
      </w:pPr>
      <w:r>
        <w:rPr>
          <w:noProof/>
          <w:rtl/>
        </w:rPr>
        <w:t xml:space="preserve">الهداية إلى مَنْ له الولاية، </w:t>
      </w:r>
      <w:r>
        <w:rPr>
          <w:noProof/>
        </w:rPr>
        <w:t>132</w:t>
      </w:r>
      <w:r>
        <w:rPr>
          <w:rFonts w:hint="cs"/>
          <w:noProof/>
          <w:rtl/>
        </w:rPr>
        <w:t xml:space="preserve">، </w:t>
      </w:r>
      <w:r>
        <w:rPr>
          <w:noProof/>
        </w:rPr>
        <w:t>157</w:t>
      </w:r>
      <w:r>
        <w:rPr>
          <w:rFonts w:hint="cs"/>
          <w:noProof/>
          <w:rtl/>
        </w:rPr>
        <w:t xml:space="preserve">، </w:t>
      </w:r>
      <w:r>
        <w:rPr>
          <w:noProof/>
        </w:rPr>
        <w:t>303</w:t>
      </w:r>
      <w:r>
        <w:rPr>
          <w:rFonts w:hint="cs"/>
          <w:noProof/>
          <w:rtl/>
        </w:rPr>
        <w:t xml:space="preserve">، </w:t>
      </w:r>
      <w:r>
        <w:rPr>
          <w:noProof/>
        </w:rPr>
        <w:t>313</w:t>
      </w:r>
      <w:r>
        <w:rPr>
          <w:rFonts w:hint="cs"/>
          <w:noProof/>
          <w:rtl/>
        </w:rPr>
        <w:t xml:space="preserve">، </w:t>
      </w:r>
      <w:r>
        <w:rPr>
          <w:noProof/>
        </w:rPr>
        <w:t>334</w:t>
      </w:r>
      <w:r>
        <w:rPr>
          <w:rFonts w:hint="cs"/>
          <w:noProof/>
          <w:rtl/>
        </w:rPr>
        <w:t xml:space="preserve">، </w:t>
      </w:r>
      <w:r>
        <w:rPr>
          <w:noProof/>
        </w:rPr>
        <w:t>340</w:t>
      </w:r>
      <w:r>
        <w:rPr>
          <w:rFonts w:hint="cs"/>
          <w:noProof/>
          <w:rtl/>
        </w:rPr>
        <w:t xml:space="preserve">، </w:t>
      </w:r>
      <w:r>
        <w:rPr>
          <w:noProof/>
        </w:rPr>
        <w:t>369</w:t>
      </w:r>
      <w:r>
        <w:rPr>
          <w:rFonts w:hint="cs"/>
          <w:noProof/>
          <w:rtl/>
        </w:rPr>
        <w:t xml:space="preserve">، </w:t>
      </w:r>
      <w:r>
        <w:rPr>
          <w:noProof/>
        </w:rPr>
        <w:t>377</w:t>
      </w:r>
      <w:r>
        <w:rPr>
          <w:rFonts w:hint="cs"/>
          <w:noProof/>
          <w:rtl/>
        </w:rPr>
        <w:t xml:space="preserve">، </w:t>
      </w:r>
      <w:r>
        <w:rPr>
          <w:noProof/>
        </w:rPr>
        <w:t>404</w:t>
      </w:r>
    </w:p>
    <w:p w:rsidR="00810B7A" w:rsidRDefault="00810B7A">
      <w:pPr>
        <w:widowControl/>
        <w:bidi w:val="0"/>
        <w:spacing w:after="200" w:line="276" w:lineRule="auto"/>
        <w:ind w:firstLine="0"/>
        <w:jc w:val="left"/>
        <w:rPr>
          <w:noProof/>
          <w:rtl/>
        </w:rPr>
      </w:pPr>
      <w:r>
        <w:rPr>
          <w:noProof/>
          <w:rtl/>
        </w:rPr>
        <w:br w:type="page"/>
      </w:r>
    </w:p>
    <w:p w:rsidR="00810B7A" w:rsidRDefault="00810B7A" w:rsidP="00810B7A">
      <w:pPr>
        <w:rPr>
          <w:rtl/>
        </w:rPr>
        <w:sectPr w:rsidR="00810B7A" w:rsidSect="00EA09EB">
          <w:footnotePr>
            <w:numRestart w:val="eachPage"/>
          </w:footnotePr>
          <w:type w:val="oddPage"/>
          <w:pgSz w:w="11907" w:h="16840" w:code="9"/>
          <w:pgMar w:top="2835" w:right="2552" w:bottom="3232" w:left="2552" w:header="2268" w:footer="1106" w:gutter="0"/>
          <w:cols w:space="720"/>
          <w:titlePg/>
          <w:docGrid w:linePitch="360"/>
        </w:sectPr>
      </w:pPr>
    </w:p>
    <w:p w:rsidR="00810B7A" w:rsidRDefault="00810B7A" w:rsidP="00810B7A">
      <w:pPr>
        <w:pStyle w:val="Heading2"/>
        <w:jc w:val="center"/>
        <w:rPr>
          <w:rtl/>
        </w:rPr>
      </w:pPr>
      <w:bookmarkStart w:id="71" w:name="_Toc413658853"/>
      <w:r>
        <w:rPr>
          <w:rFonts w:hint="cs"/>
          <w:rtl/>
        </w:rPr>
        <w:t>فهرس المحتويا</w:t>
      </w:r>
      <w:r w:rsidRPr="007A340E">
        <w:rPr>
          <w:rFonts w:hint="cs"/>
          <w:rtl/>
        </w:rPr>
        <w:t>ت</w:t>
      </w:r>
      <w:bookmarkEnd w:id="71"/>
    </w:p>
    <w:p w:rsidR="0064415C" w:rsidRPr="0064415C" w:rsidRDefault="00810B7A" w:rsidP="00D24870">
      <w:pPr>
        <w:pStyle w:val="TOC2"/>
        <w:rPr>
          <w:rFonts w:ascii="Mosawi" w:hAnsi="Mosawi"/>
          <w:bCs/>
          <w:color w:val="000000" w:themeColor="text1"/>
          <w:sz w:val="22"/>
          <w:szCs w:val="22"/>
        </w:rPr>
      </w:pPr>
      <w:r w:rsidRPr="0064415C">
        <w:rPr>
          <w:rFonts w:ascii="Mosawi" w:hAnsi="Mosawi"/>
          <w:bCs/>
          <w:caps/>
          <w:color w:val="000000" w:themeColor="text1"/>
          <w:sz w:val="30"/>
          <w:rtl/>
        </w:rPr>
        <w:fldChar w:fldCharType="begin"/>
      </w:r>
      <w:r w:rsidRPr="0064415C">
        <w:rPr>
          <w:rFonts w:ascii="Mosawi" w:hAnsi="Mosawi"/>
          <w:color w:val="000000" w:themeColor="text1"/>
          <w:sz w:val="30"/>
          <w:rtl/>
        </w:rPr>
        <w:instrText xml:space="preserve"> </w:instrText>
      </w:r>
      <w:r w:rsidRPr="0064415C">
        <w:rPr>
          <w:rFonts w:ascii="Mosawi" w:hAnsi="Mosawi"/>
          <w:color w:val="000000" w:themeColor="text1"/>
          <w:sz w:val="30"/>
        </w:rPr>
        <w:instrText>TOC</w:instrText>
      </w:r>
      <w:r w:rsidRPr="0064415C">
        <w:rPr>
          <w:rFonts w:ascii="Mosawi" w:hAnsi="Mosawi"/>
          <w:color w:val="000000" w:themeColor="text1"/>
          <w:sz w:val="30"/>
          <w:rtl/>
        </w:rPr>
        <w:instrText xml:space="preserve"> \</w:instrText>
      </w:r>
      <w:r w:rsidRPr="0064415C">
        <w:rPr>
          <w:rFonts w:ascii="Mosawi" w:hAnsi="Mosawi"/>
          <w:color w:val="000000" w:themeColor="text1"/>
          <w:sz w:val="30"/>
        </w:rPr>
        <w:instrText>o "</w:instrText>
      </w:r>
      <w:r w:rsidRPr="0064415C">
        <w:rPr>
          <w:rFonts w:ascii="Mosawi" w:hAnsi="Mosawi"/>
          <w:color w:val="000000" w:themeColor="text1"/>
          <w:sz w:val="30"/>
          <w:rtl/>
        </w:rPr>
        <w:instrText>1-2</w:instrText>
      </w:r>
      <w:r w:rsidRPr="0064415C">
        <w:rPr>
          <w:rFonts w:ascii="Mosawi" w:hAnsi="Mosawi"/>
          <w:color w:val="000000" w:themeColor="text1"/>
          <w:sz w:val="30"/>
        </w:rPr>
        <w:instrText>" \h \z \u</w:instrText>
      </w:r>
      <w:r w:rsidRPr="0064415C">
        <w:rPr>
          <w:rFonts w:ascii="Mosawi" w:hAnsi="Mosawi"/>
          <w:color w:val="000000" w:themeColor="text1"/>
          <w:sz w:val="30"/>
          <w:rtl/>
        </w:rPr>
        <w:instrText xml:space="preserve"> </w:instrText>
      </w:r>
      <w:r w:rsidRPr="0064415C">
        <w:rPr>
          <w:rFonts w:ascii="Mosawi" w:hAnsi="Mosawi"/>
          <w:bCs/>
          <w:caps/>
          <w:color w:val="000000" w:themeColor="text1"/>
          <w:sz w:val="30"/>
          <w:rtl/>
        </w:rPr>
        <w:fldChar w:fldCharType="separate"/>
      </w:r>
      <w:hyperlink w:anchor="_Toc413658808" w:history="1">
        <w:r w:rsidR="0064415C" w:rsidRPr="0064415C">
          <w:rPr>
            <w:rStyle w:val="Hyperlink"/>
            <w:rFonts w:ascii="Mosawi" w:hAnsi="Mosawi"/>
            <w:color w:val="000000" w:themeColor="text1"/>
            <w:rtl/>
          </w:rPr>
          <w:t>كلمة</w:t>
        </w:r>
        <w:r w:rsidR="0064415C" w:rsidRPr="0064415C">
          <w:rPr>
            <w:rStyle w:val="Hyperlink"/>
            <w:rFonts w:ascii="Mosawi" w:eastAsia="Batang" w:hAnsi="Mosawi"/>
            <w:color w:val="000000" w:themeColor="text1"/>
            <w:rtl/>
          </w:rPr>
          <w:t xml:space="preserve"> المجلّة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_Toc413658808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7</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09" w:history="1">
        <w:r w:rsidR="0064415C" w:rsidRPr="0064415C">
          <w:rPr>
            <w:rStyle w:val="Hyperlink"/>
            <w:rFonts w:ascii="Mosawi" w:hAnsi="Mosawi"/>
            <w:color w:val="000000" w:themeColor="text1"/>
            <w:rtl/>
          </w:rPr>
          <w:t>التعريف</w:t>
        </w:r>
        <w:r w:rsidR="0064415C" w:rsidRPr="0064415C">
          <w:rPr>
            <w:rStyle w:val="Hyperlink"/>
            <w:rFonts w:ascii="Mosawi" w:eastAsia="Times New Roman" w:hAnsi="Mosawi"/>
            <w:color w:val="000000" w:themeColor="text1"/>
            <w:rtl/>
          </w:rPr>
          <w:t xml:space="preserve"> بالمؤلّف</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_Toc413658809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9</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10" w:history="1">
        <w:r w:rsidR="0064415C" w:rsidRPr="0064415C">
          <w:rPr>
            <w:rStyle w:val="Hyperlink"/>
            <w:rFonts w:ascii="Mosawi" w:hAnsi="Mosawi"/>
            <w:color w:val="000000" w:themeColor="text1"/>
            <w:rtl/>
          </w:rPr>
          <w:t>مقدمة المؤلف للترجمة العربية للكتاب</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_Toc413658810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11</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11" w:history="1">
        <w:r w:rsidR="0064415C" w:rsidRPr="0064415C">
          <w:rPr>
            <w:rStyle w:val="Hyperlink"/>
            <w:rFonts w:ascii="Mosawi" w:hAnsi="Mosawi"/>
            <w:color w:val="000000" w:themeColor="text1"/>
            <w:rtl/>
          </w:rPr>
          <w:t>ملاحظات عامة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_Toc413658811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17</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12" w:history="1">
        <w:r w:rsidR="0064415C" w:rsidRPr="0064415C">
          <w:rPr>
            <w:rStyle w:val="Hyperlink"/>
            <w:rFonts w:ascii="Mosawi" w:hAnsi="Mosawi"/>
            <w:color w:val="000000" w:themeColor="text1"/>
            <w:rtl/>
          </w:rPr>
          <w:t>المقدمة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_Toc413658812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21</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13" w:history="1">
        <w:r w:rsidR="0064415C" w:rsidRPr="0064415C">
          <w:rPr>
            <w:rStyle w:val="Hyperlink"/>
            <w:rFonts w:ascii="Mosawi" w:hAnsi="Mosawi"/>
            <w:color w:val="000000" w:themeColor="text1"/>
            <w:rtl/>
          </w:rPr>
          <w:t>الديباجة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_Toc413658813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27</w:t>
        </w:r>
        <w:r w:rsidR="0064415C" w:rsidRPr="0064415C">
          <w:rPr>
            <w:rFonts w:ascii="Mosawi" w:hAnsi="Mosawi"/>
            <w:webHidden/>
            <w:color w:val="000000" w:themeColor="text1"/>
          </w:rPr>
          <w:fldChar w:fldCharType="end"/>
        </w:r>
      </w:hyperlink>
    </w:p>
    <w:p w:rsidR="0064415C" w:rsidRPr="0064415C" w:rsidRDefault="00F93F13" w:rsidP="0064415C">
      <w:pPr>
        <w:pStyle w:val="TOC1"/>
        <w:tabs>
          <w:tab w:val="right" w:leader="dot" w:pos="6793"/>
        </w:tabs>
        <w:bidi/>
        <w:rPr>
          <w:rFonts w:ascii="Mosawi" w:hAnsi="Mosawi"/>
          <w:b w:val="0"/>
          <w:bCs/>
          <w:caps w:val="0"/>
          <w:noProof/>
          <w:color w:val="000000" w:themeColor="text1"/>
          <w:sz w:val="22"/>
          <w:szCs w:val="22"/>
        </w:rPr>
      </w:pPr>
      <w:hyperlink w:anchor="_Toc413658814" w:history="1">
        <w:r w:rsidR="0064415C" w:rsidRPr="0064415C">
          <w:rPr>
            <w:rStyle w:val="Hyperlink"/>
            <w:rFonts w:ascii="Mosawi" w:hAnsi="Mosawi"/>
            <w:noProof/>
            <w:color w:val="000000" w:themeColor="text1"/>
            <w:u w:val="none"/>
            <w:rtl/>
          </w:rPr>
          <w:t>القسم الأوّل</w:t>
        </w:r>
      </w:hyperlink>
      <w:r w:rsidR="0064415C" w:rsidRPr="0064415C">
        <w:rPr>
          <w:rStyle w:val="Hyperlink"/>
          <w:rFonts w:ascii="Mosawi" w:hAnsi="Mosawi"/>
          <w:noProof/>
          <w:color w:val="000000" w:themeColor="text1"/>
          <w:u w:val="none"/>
          <w:rtl/>
        </w:rPr>
        <w:t xml:space="preserve">: </w:t>
      </w:r>
      <w:hyperlink w:anchor="_Toc413658815" w:history="1">
        <w:r w:rsidR="0064415C" w:rsidRPr="0064415C">
          <w:rPr>
            <w:rStyle w:val="Hyperlink"/>
            <w:rFonts w:ascii="Mosawi" w:hAnsi="Mosawi"/>
            <w:noProof/>
            <w:color w:val="000000" w:themeColor="text1"/>
            <w:u w:val="none"/>
            <w:rtl/>
          </w:rPr>
          <w:t>المبادئ التصوّرية للولاية</w:t>
        </w:r>
      </w:hyperlink>
    </w:p>
    <w:p w:rsidR="0064415C" w:rsidRPr="0064415C" w:rsidRDefault="00F93F13" w:rsidP="0064415C">
      <w:pPr>
        <w:pStyle w:val="TOC2"/>
        <w:rPr>
          <w:rFonts w:ascii="Mosawi" w:hAnsi="Mosawi"/>
          <w:bCs/>
          <w:color w:val="000000" w:themeColor="text1"/>
          <w:sz w:val="22"/>
          <w:szCs w:val="22"/>
        </w:rPr>
      </w:pPr>
      <w:hyperlink w:anchor="_Toc413658816" w:history="1">
        <w:r w:rsidR="0064415C" w:rsidRPr="0064415C">
          <w:rPr>
            <w:rStyle w:val="Hyperlink"/>
            <w:rFonts w:ascii="Mosawi" w:hAnsi="Mosawi"/>
            <w:color w:val="000000" w:themeColor="text1"/>
            <w:rtl/>
          </w:rPr>
          <w:t>المقدمة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_Toc413658816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35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17" w:history="1">
        <w:r w:rsidR="0064415C" w:rsidRPr="0064415C">
          <w:rPr>
            <w:rStyle w:val="Hyperlink"/>
            <w:rFonts w:ascii="Mosawi" w:hAnsi="Mosawi"/>
            <w:color w:val="000000" w:themeColor="text1"/>
            <w:rtl/>
          </w:rPr>
          <w:t>الفصل الأوّل: المعنى اللغوي للولاية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_Toc413658817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39</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18" w:history="1">
        <w:r w:rsidR="0064415C" w:rsidRPr="0064415C">
          <w:rPr>
            <w:rStyle w:val="Hyperlink"/>
            <w:rFonts w:ascii="Mosawi" w:hAnsi="Mosawi"/>
            <w:color w:val="000000" w:themeColor="text1"/>
            <w:rtl/>
          </w:rPr>
          <w:t>الفصل الثاني: الولاية العرفانية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_Toc413658818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43</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19" w:history="1">
        <w:r w:rsidR="0064415C" w:rsidRPr="0064415C">
          <w:rPr>
            <w:rStyle w:val="Hyperlink"/>
            <w:rFonts w:ascii="Mosawi" w:hAnsi="Mosawi"/>
            <w:color w:val="000000" w:themeColor="text1"/>
            <w:rtl/>
          </w:rPr>
          <w:t>الفصل الثالث: الولاية الكلاميّة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_Toc413658819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55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20" w:history="1">
        <w:r w:rsidR="0064415C" w:rsidRPr="0064415C">
          <w:rPr>
            <w:rStyle w:val="Hyperlink"/>
            <w:rFonts w:ascii="Mosawi" w:hAnsi="Mosawi"/>
            <w:color w:val="000000" w:themeColor="text1"/>
            <w:rtl/>
          </w:rPr>
          <w:t>الفصل الرابع: الولاية الفقهيّة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_Toc413658820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67</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21" w:history="1">
        <w:r w:rsidR="0064415C" w:rsidRPr="0064415C">
          <w:rPr>
            <w:rStyle w:val="Hyperlink"/>
            <w:rFonts w:ascii="Mosawi" w:hAnsi="Mosawi"/>
            <w:color w:val="000000" w:themeColor="text1"/>
            <w:rtl/>
          </w:rPr>
          <w:t>الفصل الخامس: الولاية في القرآن</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_Toc413658821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85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22" w:history="1">
        <w:r w:rsidR="0064415C" w:rsidRPr="0064415C">
          <w:rPr>
            <w:rStyle w:val="Hyperlink"/>
            <w:rFonts w:ascii="Mosawi" w:hAnsi="Mosawi"/>
            <w:color w:val="000000" w:themeColor="text1"/>
            <w:rtl/>
          </w:rPr>
          <w:t>الفصل السادس: الولاية في السنّة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_Toc413658822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107</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23" w:history="1">
        <w:r w:rsidR="0064415C" w:rsidRPr="0064415C">
          <w:rPr>
            <w:rStyle w:val="Hyperlink"/>
            <w:rFonts w:ascii="Mosawi" w:hAnsi="Mosawi"/>
            <w:color w:val="000000" w:themeColor="text1"/>
            <w:rtl/>
          </w:rPr>
          <w:t>الفصل السابع: الولاية الشرعيّة للفقيه</w:t>
        </w:r>
        <w:r w:rsidR="0064415C" w:rsidRPr="0064415C">
          <w:rPr>
            <w:rStyle w:val="Hyperlink"/>
            <w:rFonts w:ascii="Mosawi" w:hAnsi="Mosawi"/>
            <w:color w:val="000000" w:themeColor="text1"/>
            <w:vertAlign w:val="superscript"/>
            <w:rtl/>
          </w:rPr>
          <w:t>()</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_Toc413658823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125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24" w:history="1">
        <w:r w:rsidR="0064415C" w:rsidRPr="0064415C">
          <w:rPr>
            <w:rStyle w:val="Hyperlink"/>
            <w:rFonts w:ascii="Mosawi" w:hAnsi="Mosawi"/>
            <w:color w:val="000000" w:themeColor="text1"/>
            <w:rtl/>
          </w:rPr>
          <w:t>الفصل الثامن: الولاية وجواز التصرُّف</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_Toc413658824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155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25" w:history="1">
        <w:r w:rsidR="0064415C" w:rsidRPr="0064415C">
          <w:rPr>
            <w:rStyle w:val="Hyperlink"/>
            <w:rFonts w:ascii="Mosawi" w:hAnsi="Mosawi"/>
            <w:color w:val="000000" w:themeColor="text1"/>
            <w:rtl/>
          </w:rPr>
          <w:t>الفصل التاسع: إشراف الفقيه</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_Toc413658825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165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26" w:history="1">
        <w:r w:rsidR="0064415C" w:rsidRPr="0064415C">
          <w:rPr>
            <w:rStyle w:val="Hyperlink"/>
            <w:rFonts w:ascii="Mosawi" w:hAnsi="Mosawi"/>
            <w:color w:val="000000" w:themeColor="text1"/>
            <w:rtl/>
          </w:rPr>
          <w:t>الفصل العاشر: الوكالة عن الناس</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_Toc413658826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183</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27" w:history="1">
        <w:r w:rsidR="0064415C" w:rsidRPr="0064415C">
          <w:rPr>
            <w:rStyle w:val="Hyperlink"/>
            <w:rFonts w:ascii="Mosawi" w:hAnsi="Mosawi"/>
            <w:color w:val="000000" w:themeColor="text1"/>
            <w:rtl/>
          </w:rPr>
          <w:t>الفصل الحادي عشر: لمحة تاريخيّة حول الولاية في عصر الجمهوريّة الإسلاميّة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_Toc413658827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195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28" w:history="1">
        <w:r w:rsidR="0064415C" w:rsidRPr="0064415C">
          <w:rPr>
            <w:rStyle w:val="Hyperlink"/>
            <w:rFonts w:ascii="Mosawi" w:hAnsi="Mosawi"/>
            <w:color w:val="000000" w:themeColor="text1"/>
            <w:rtl/>
          </w:rPr>
          <w:t>الفصل الثاني عشر: الولاية والجمهوريّة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_Toc413658828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245</w:t>
        </w:r>
        <w:r w:rsidR="0064415C" w:rsidRPr="0064415C">
          <w:rPr>
            <w:rFonts w:ascii="Mosawi" w:hAnsi="Mosawi"/>
            <w:webHidden/>
            <w:color w:val="000000" w:themeColor="text1"/>
          </w:rPr>
          <w:fldChar w:fldCharType="end"/>
        </w:r>
      </w:hyperlink>
    </w:p>
    <w:p w:rsidR="0064415C" w:rsidRPr="0064415C" w:rsidRDefault="00F93F13" w:rsidP="0064415C">
      <w:pPr>
        <w:pStyle w:val="TOC1"/>
        <w:tabs>
          <w:tab w:val="right" w:leader="dot" w:pos="6793"/>
        </w:tabs>
        <w:bidi/>
        <w:rPr>
          <w:rFonts w:ascii="Mosawi" w:hAnsi="Mosawi"/>
          <w:b w:val="0"/>
          <w:bCs/>
          <w:caps w:val="0"/>
          <w:noProof/>
          <w:color w:val="000000" w:themeColor="text1"/>
          <w:sz w:val="22"/>
          <w:szCs w:val="22"/>
        </w:rPr>
      </w:pPr>
      <w:hyperlink w:anchor="_Toc413658829" w:history="1">
        <w:r w:rsidR="0064415C" w:rsidRPr="0064415C">
          <w:rPr>
            <w:rStyle w:val="Hyperlink"/>
            <w:rFonts w:ascii="Mosawi" w:hAnsi="Mosawi"/>
            <w:noProof/>
            <w:color w:val="000000" w:themeColor="text1"/>
            <w:u w:val="none"/>
            <w:rtl/>
          </w:rPr>
          <w:t>القسم الثاني</w:t>
        </w:r>
      </w:hyperlink>
      <w:r w:rsidR="0064415C" w:rsidRPr="0064415C">
        <w:rPr>
          <w:rStyle w:val="Hyperlink"/>
          <w:rFonts w:ascii="Mosawi" w:hAnsi="Mosawi"/>
          <w:noProof/>
          <w:color w:val="000000" w:themeColor="text1"/>
          <w:u w:val="none"/>
          <w:rtl/>
        </w:rPr>
        <w:t xml:space="preserve">: </w:t>
      </w:r>
      <w:hyperlink w:anchor="_Toc413658830" w:history="1">
        <w:r w:rsidR="0064415C" w:rsidRPr="0064415C">
          <w:rPr>
            <w:rStyle w:val="Hyperlink"/>
            <w:rFonts w:ascii="Mosawi" w:hAnsi="Mosawi"/>
            <w:noProof/>
            <w:color w:val="000000" w:themeColor="text1"/>
            <w:u w:val="none"/>
            <w:rtl/>
          </w:rPr>
          <w:t>المباني التصديقيّة للولاية</w:t>
        </w:r>
      </w:hyperlink>
    </w:p>
    <w:p w:rsidR="0064415C" w:rsidRPr="0064415C" w:rsidRDefault="00F93F13" w:rsidP="0064415C">
      <w:pPr>
        <w:pStyle w:val="TOC2"/>
        <w:rPr>
          <w:rFonts w:ascii="Mosawi" w:hAnsi="Mosawi"/>
          <w:bCs/>
          <w:color w:val="000000" w:themeColor="text1"/>
          <w:sz w:val="22"/>
          <w:szCs w:val="22"/>
        </w:rPr>
      </w:pPr>
      <w:hyperlink w:anchor="_Toc413658831" w:history="1">
        <w:r w:rsidR="0064415C" w:rsidRPr="0064415C">
          <w:rPr>
            <w:rStyle w:val="Hyperlink"/>
            <w:rFonts w:ascii="Mosawi" w:hAnsi="Mosawi"/>
            <w:color w:val="000000" w:themeColor="text1"/>
            <w:rtl/>
          </w:rPr>
          <w:t>المقدمة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_Toc413658831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265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32" w:history="1">
        <w:r w:rsidR="0064415C" w:rsidRPr="0064415C">
          <w:rPr>
            <w:rStyle w:val="Hyperlink"/>
            <w:rFonts w:ascii="Mosawi" w:hAnsi="Mosawi"/>
            <w:color w:val="000000" w:themeColor="text1"/>
            <w:rtl/>
          </w:rPr>
          <w:t>الفصل الثالث عشر: دراسة بداهة مسألة ولاية الفقيه وضرورتها العقليّة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_Toc413658832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271</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33" w:history="1">
        <w:r w:rsidR="0064415C" w:rsidRPr="0064415C">
          <w:rPr>
            <w:rStyle w:val="Hyperlink"/>
            <w:rFonts w:ascii="Mosawi" w:hAnsi="Mosawi"/>
            <w:color w:val="000000" w:themeColor="text1"/>
            <w:rtl/>
          </w:rPr>
          <w:t>الفصل الرابع عشر: دراسة بداهة ولاية الفقيه الشرعيّة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_Toc413658833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275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34" w:history="1">
        <w:r w:rsidR="0064415C" w:rsidRPr="0064415C">
          <w:rPr>
            <w:rStyle w:val="Hyperlink"/>
            <w:rFonts w:ascii="Mosawi" w:hAnsi="Mosawi"/>
            <w:color w:val="000000" w:themeColor="text1"/>
            <w:rtl/>
          </w:rPr>
          <w:t>الفصل الخامس عشر: ولاية الفقيه، الاعتقادات وأصول المذهب</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_Toc413658834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283</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35" w:history="1">
        <w:r w:rsidR="0064415C" w:rsidRPr="0064415C">
          <w:rPr>
            <w:rStyle w:val="Hyperlink"/>
            <w:rFonts w:ascii="Mosawi" w:hAnsi="Mosawi"/>
            <w:color w:val="000000" w:themeColor="text1"/>
            <w:rtl/>
          </w:rPr>
          <w:t>الفصل السادس عشر: أصل عدم الولاية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_Toc413658835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289</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36" w:history="1">
        <w:r w:rsidR="0064415C" w:rsidRPr="0064415C">
          <w:rPr>
            <w:rStyle w:val="Hyperlink"/>
            <w:rFonts w:ascii="Mosawi" w:hAnsi="Mosawi"/>
            <w:color w:val="000000" w:themeColor="text1"/>
            <w:rtl/>
          </w:rPr>
          <w:t>الفصل السابع عشر: أدلّة ولاية الفقيه في الروايات المرويّة عن النبيّ</w:t>
        </w:r>
        <w:r w:rsidR="0064415C" w:rsidRPr="0064415C">
          <w:rPr>
            <w:rStyle w:val="Hyperlink"/>
            <w:rFonts w:ascii="Mosawi" w:hAnsi="Mosawi"/>
            <w:color w:val="000000" w:themeColor="text1"/>
            <w:sz w:val="24"/>
            <w:szCs w:val="34"/>
          </w:rPr>
          <w:t>|</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_Toc413658836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293</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37" w:history="1">
        <w:r w:rsidR="0064415C" w:rsidRPr="0064415C">
          <w:rPr>
            <w:rStyle w:val="Hyperlink"/>
            <w:rFonts w:ascii="Mosawi" w:hAnsi="Mosawi"/>
            <w:color w:val="000000" w:themeColor="text1"/>
            <w:rtl/>
          </w:rPr>
          <w:t>الفصل الثامن عشر: أدلّة ولاية الفقيه في الروايات المنقولة عن الإمامين عليّ والحسين</w:t>
        </w:r>
        <w:r w:rsidR="0064415C" w:rsidRPr="0064415C">
          <w:rPr>
            <w:rStyle w:val="Hyperlink"/>
            <w:rFonts w:ascii="Mosawi" w:hAnsi="Mosawi"/>
            <w:bCs/>
            <w:color w:val="000000" w:themeColor="text1"/>
            <w:rtl/>
          </w:rPr>
          <w:t>^</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_Toc413658837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333</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38" w:history="1">
        <w:r w:rsidR="0064415C" w:rsidRPr="0064415C">
          <w:rPr>
            <w:rStyle w:val="Hyperlink"/>
            <w:rFonts w:ascii="Mosawi" w:hAnsi="Mosawi"/>
            <w:color w:val="000000" w:themeColor="text1"/>
            <w:rtl/>
          </w:rPr>
          <w:t>الفصل التاسع عشر: أدلّة ولاية الفقيه في الروايات المنقولة عن الإمامين الصادق والكاظم’</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_Toc413658838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343</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39" w:history="1">
        <w:r w:rsidR="0064415C" w:rsidRPr="0064415C">
          <w:rPr>
            <w:rStyle w:val="Hyperlink"/>
            <w:rFonts w:ascii="Mosawi" w:hAnsi="Mosawi"/>
            <w:color w:val="000000" w:themeColor="text1"/>
            <w:rtl/>
          </w:rPr>
          <w:t>الفصل العشرون: أدلّة ولاية الفقيه من الروايات المنقولة عن الإمام المهديّ</w:t>
        </w:r>
        <w:r w:rsidR="0064415C" w:rsidRPr="0064415C">
          <w:rPr>
            <w:rStyle w:val="Hyperlink"/>
            <w:rFonts w:ascii="Mosawi" w:hAnsi="Mosawi"/>
            <w:bCs/>
            <w:color w:val="000000" w:themeColor="text1"/>
            <w:rtl/>
          </w:rPr>
          <w:t>×</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_Toc413658839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375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40" w:history="1">
        <w:r w:rsidR="0064415C" w:rsidRPr="0064415C">
          <w:rPr>
            <w:rStyle w:val="Hyperlink"/>
            <w:rFonts w:ascii="Mosawi" w:hAnsi="Mosawi"/>
            <w:color w:val="000000" w:themeColor="text1"/>
            <w:rtl/>
          </w:rPr>
          <w:t>الفصل الواحد والعشرون: بحث الأدلّة القرآنيّة للحكومة الولائيّة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_Toc413658840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395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41" w:history="1">
        <w:r w:rsidR="0064415C" w:rsidRPr="0064415C">
          <w:rPr>
            <w:rStyle w:val="Hyperlink"/>
            <w:rFonts w:ascii="Mosawi" w:hAnsi="Mosawi"/>
            <w:color w:val="000000" w:themeColor="text1"/>
            <w:rtl/>
          </w:rPr>
          <w:t>الفصل الثاني والعشرون: دليل الإجماع على الحكومة الولائيّة</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_Toc413658841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415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42" w:history="1">
        <w:r w:rsidR="0064415C" w:rsidRPr="0064415C">
          <w:rPr>
            <w:rStyle w:val="Hyperlink"/>
            <w:rFonts w:ascii="Mosawi" w:hAnsi="Mosawi"/>
            <w:color w:val="000000" w:themeColor="text1"/>
            <w:rtl/>
          </w:rPr>
          <w:t>الفصل الثالث والعشرون: الأدلة العقليّة المستقلة على ولاية الفقيه</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_Toc413658842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419</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43" w:history="1">
        <w:r w:rsidR="0064415C" w:rsidRPr="0064415C">
          <w:rPr>
            <w:rStyle w:val="Hyperlink"/>
            <w:rFonts w:ascii="Mosawi" w:hAnsi="Mosawi"/>
            <w:color w:val="000000" w:themeColor="text1"/>
            <w:rtl/>
          </w:rPr>
          <w:t>الفصل الرابع والعشرون: الأدلّة العقليّة غير المستقلّة على ولاية الفقيه</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_Toc413658843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433</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44" w:history="1">
        <w:r w:rsidR="0064415C" w:rsidRPr="0064415C">
          <w:rPr>
            <w:rStyle w:val="Hyperlink"/>
            <w:rFonts w:asciiTheme="minorBidi" w:hAnsiTheme="minorBidi" w:cstheme="minorBidi"/>
            <w:iCs/>
            <w:color w:val="000000" w:themeColor="text1"/>
            <w:bdr w:val="none" w:sz="0" w:space="0" w:color="auto" w:frame="1"/>
          </w:rPr>
          <w:t>Summary</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_Toc413658844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459</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45" w:history="1">
        <w:r w:rsidR="0064415C" w:rsidRPr="0064415C">
          <w:rPr>
            <w:rStyle w:val="Hyperlink"/>
            <w:rFonts w:ascii="Mosawi" w:hAnsi="Mosawi"/>
            <w:color w:val="000000" w:themeColor="text1"/>
            <w:rtl/>
          </w:rPr>
          <w:t>الفهارس</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_Toc413658845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463</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46" w:history="1">
        <w:r w:rsidR="0064415C" w:rsidRPr="0064415C">
          <w:rPr>
            <w:rStyle w:val="Hyperlink"/>
            <w:rFonts w:ascii="Mosawi" w:hAnsi="Mosawi"/>
            <w:color w:val="000000" w:themeColor="text1"/>
            <w:rtl/>
          </w:rPr>
          <w:t>فهرس المصادر</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_Toc413658846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465</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47" w:history="1">
        <w:r w:rsidR="0064415C" w:rsidRPr="0064415C">
          <w:rPr>
            <w:rStyle w:val="Hyperlink"/>
            <w:rFonts w:ascii="Mosawi" w:hAnsi="Mosawi"/>
            <w:color w:val="000000" w:themeColor="text1"/>
            <w:rtl/>
          </w:rPr>
          <w:t>فهرس الآيات</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_Toc413658847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487</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49" w:history="1">
        <w:r w:rsidR="0064415C" w:rsidRPr="0064415C">
          <w:rPr>
            <w:rStyle w:val="Hyperlink"/>
            <w:rFonts w:ascii="Mosawi" w:hAnsi="Mosawi"/>
            <w:color w:val="000000" w:themeColor="text1"/>
            <w:rtl/>
          </w:rPr>
          <w:t>فهرس الأحاديث</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_Toc413658849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493</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50" w:history="1">
        <w:r w:rsidR="0064415C" w:rsidRPr="0064415C">
          <w:rPr>
            <w:rStyle w:val="Hyperlink"/>
            <w:rFonts w:ascii="Mosawi" w:hAnsi="Mosawi"/>
            <w:color w:val="000000" w:themeColor="text1"/>
            <w:rtl/>
          </w:rPr>
          <w:t>فهرس</w:t>
        </w:r>
        <w:r w:rsidR="0064415C" w:rsidRPr="0064415C">
          <w:rPr>
            <w:rStyle w:val="Hyperlink"/>
            <w:rFonts w:ascii="Mosawi" w:hAnsi="Mosawi"/>
            <w:color w:val="000000" w:themeColor="text1"/>
            <w:rtl/>
            <w:lang w:bidi="fa-IR"/>
          </w:rPr>
          <w:t xml:space="preserve"> الأشعار</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_Toc413658850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499</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51" w:history="1">
        <w:r w:rsidR="0064415C" w:rsidRPr="0064415C">
          <w:rPr>
            <w:rStyle w:val="Hyperlink"/>
            <w:rFonts w:ascii="Mosawi" w:hAnsi="Mosawi"/>
            <w:color w:val="000000" w:themeColor="text1"/>
            <w:rtl/>
          </w:rPr>
          <w:t>فهرس</w:t>
        </w:r>
        <w:r w:rsidR="0064415C" w:rsidRPr="0064415C">
          <w:rPr>
            <w:rStyle w:val="Hyperlink"/>
            <w:rFonts w:ascii="Mosawi" w:hAnsi="Mosawi"/>
            <w:color w:val="000000" w:themeColor="text1"/>
            <w:rtl/>
            <w:lang w:bidi="fa-IR"/>
          </w:rPr>
          <w:t xml:space="preserve"> الأعلام</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_Toc413658851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501</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52" w:history="1">
        <w:r w:rsidR="0064415C" w:rsidRPr="0064415C">
          <w:rPr>
            <w:rStyle w:val="Hyperlink"/>
            <w:rFonts w:ascii="Mosawi" w:hAnsi="Mosawi"/>
            <w:color w:val="000000" w:themeColor="text1"/>
            <w:rtl/>
            <w:lang w:bidi="fa-IR"/>
          </w:rPr>
          <w:t xml:space="preserve">فهرس </w:t>
        </w:r>
        <w:r w:rsidR="0064415C" w:rsidRPr="0064415C">
          <w:rPr>
            <w:rStyle w:val="Hyperlink"/>
            <w:rFonts w:ascii="Mosawi" w:hAnsi="Mosawi"/>
            <w:color w:val="000000" w:themeColor="text1"/>
            <w:rtl/>
          </w:rPr>
          <w:t>الكتب</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_Toc413658852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521</w:t>
        </w:r>
        <w:r w:rsidR="0064415C" w:rsidRPr="0064415C">
          <w:rPr>
            <w:rFonts w:ascii="Mosawi" w:hAnsi="Mosawi"/>
            <w:webHidden/>
            <w:color w:val="000000" w:themeColor="text1"/>
          </w:rPr>
          <w:fldChar w:fldCharType="end"/>
        </w:r>
      </w:hyperlink>
    </w:p>
    <w:p w:rsidR="0064415C" w:rsidRPr="0064415C" w:rsidRDefault="00F93F13" w:rsidP="0064415C">
      <w:pPr>
        <w:pStyle w:val="TOC2"/>
        <w:rPr>
          <w:rFonts w:ascii="Mosawi" w:hAnsi="Mosawi"/>
          <w:bCs/>
          <w:color w:val="000000" w:themeColor="text1"/>
          <w:sz w:val="22"/>
          <w:szCs w:val="22"/>
        </w:rPr>
      </w:pPr>
      <w:hyperlink w:anchor="_Toc413658853" w:history="1">
        <w:r w:rsidR="0064415C" w:rsidRPr="0064415C">
          <w:rPr>
            <w:rStyle w:val="Hyperlink"/>
            <w:rFonts w:ascii="Mosawi" w:hAnsi="Mosawi"/>
            <w:color w:val="000000" w:themeColor="text1"/>
            <w:rtl/>
          </w:rPr>
          <w:t>فهرس المحتويات</w:t>
        </w:r>
        <w:r w:rsidR="0064415C" w:rsidRPr="0064415C">
          <w:rPr>
            <w:rFonts w:ascii="Mosawi" w:hAnsi="Mosawi"/>
            <w:webHidden/>
            <w:color w:val="000000" w:themeColor="text1"/>
          </w:rPr>
          <w:tab/>
        </w:r>
        <w:r w:rsidR="0064415C" w:rsidRPr="0064415C">
          <w:rPr>
            <w:rFonts w:ascii="Mosawi" w:hAnsi="Mosawi"/>
            <w:webHidden/>
            <w:color w:val="000000" w:themeColor="text1"/>
          </w:rPr>
          <w:fldChar w:fldCharType="begin"/>
        </w:r>
        <w:r w:rsidR="0064415C" w:rsidRPr="0064415C">
          <w:rPr>
            <w:rFonts w:ascii="Mosawi" w:hAnsi="Mosawi"/>
            <w:webHidden/>
            <w:color w:val="000000" w:themeColor="text1"/>
          </w:rPr>
          <w:instrText xml:space="preserve"> PAGEREF _Toc413658853 \h </w:instrText>
        </w:r>
        <w:r w:rsidR="0064415C" w:rsidRPr="0064415C">
          <w:rPr>
            <w:rFonts w:ascii="Mosawi" w:hAnsi="Mosawi"/>
            <w:webHidden/>
            <w:color w:val="000000" w:themeColor="text1"/>
          </w:rPr>
        </w:r>
        <w:r w:rsidR="0064415C" w:rsidRPr="0064415C">
          <w:rPr>
            <w:rFonts w:ascii="Mosawi" w:hAnsi="Mosawi"/>
            <w:webHidden/>
            <w:color w:val="000000" w:themeColor="text1"/>
          </w:rPr>
          <w:fldChar w:fldCharType="separate"/>
        </w:r>
        <w:r w:rsidR="005E56C5">
          <w:rPr>
            <w:rFonts w:ascii="Mosawi" w:hAnsi="Mosawi"/>
            <w:webHidden/>
            <w:color w:val="000000" w:themeColor="text1"/>
            <w:rtl/>
          </w:rPr>
          <w:t>537</w:t>
        </w:r>
        <w:r w:rsidR="0064415C" w:rsidRPr="0064415C">
          <w:rPr>
            <w:rFonts w:ascii="Mosawi" w:hAnsi="Mosawi"/>
            <w:webHidden/>
            <w:color w:val="000000" w:themeColor="text1"/>
          </w:rPr>
          <w:fldChar w:fldCharType="end"/>
        </w:r>
      </w:hyperlink>
    </w:p>
    <w:p w:rsidR="00810B7A" w:rsidRPr="0064415C" w:rsidRDefault="00810B7A" w:rsidP="0064415C">
      <w:pPr>
        <w:pStyle w:val="TOC2"/>
        <w:rPr>
          <w:color w:val="000000" w:themeColor="text1"/>
        </w:rPr>
      </w:pPr>
      <w:r w:rsidRPr="0064415C">
        <w:rPr>
          <w:rFonts w:ascii="Mosawi" w:hAnsi="Mosawi"/>
          <w:color w:val="000000" w:themeColor="text1"/>
          <w:rtl/>
        </w:rPr>
        <w:fldChar w:fldCharType="end"/>
      </w:r>
    </w:p>
    <w:p w:rsidR="00810B7A" w:rsidRDefault="00810B7A" w:rsidP="00810B7A">
      <w:pPr>
        <w:widowControl/>
        <w:bidi w:val="0"/>
        <w:spacing w:after="200" w:line="276" w:lineRule="auto"/>
        <w:ind w:firstLine="0"/>
        <w:jc w:val="left"/>
      </w:pPr>
      <w:r>
        <w:br w:type="page"/>
      </w:r>
    </w:p>
    <w:p w:rsidR="00810B7A" w:rsidRDefault="00810B7A" w:rsidP="00810B7A">
      <w:pPr>
        <w:rPr>
          <w:rtl/>
        </w:rPr>
        <w:sectPr w:rsidR="00810B7A" w:rsidSect="00EA09EB">
          <w:headerReference w:type="default" r:id="rId82"/>
          <w:footnotePr>
            <w:numRestart w:val="eachPage"/>
          </w:footnotePr>
          <w:type w:val="oddPage"/>
          <w:pgSz w:w="11907" w:h="16840" w:code="9"/>
          <w:pgMar w:top="2835" w:right="2552" w:bottom="3232" w:left="2552" w:header="2268" w:footer="1106" w:gutter="0"/>
          <w:cols w:space="720"/>
          <w:titlePg/>
          <w:docGrid w:linePitch="360"/>
        </w:sectPr>
      </w:pPr>
    </w:p>
    <w:p w:rsidR="00084C16" w:rsidRPr="004D6527" w:rsidRDefault="00084C16" w:rsidP="00AA2BEA">
      <w:pPr>
        <w:spacing w:line="192" w:lineRule="auto"/>
        <w:ind w:firstLine="0"/>
        <w:jc w:val="center"/>
        <w:rPr>
          <w:rFonts w:cs="AL-Mateen"/>
          <w:sz w:val="40"/>
          <w:szCs w:val="46"/>
          <w:rtl/>
        </w:rPr>
      </w:pPr>
      <w:r w:rsidRPr="004D6527">
        <w:rPr>
          <w:rFonts w:cs="AL-Mateen" w:hint="cs"/>
          <w:sz w:val="40"/>
          <w:szCs w:val="46"/>
          <w:rtl/>
        </w:rPr>
        <w:t>صدر للمؤلف</w:t>
      </w:r>
    </w:p>
    <w:p w:rsidR="00084C16" w:rsidRPr="004D6527" w:rsidRDefault="0074237A" w:rsidP="00F93F13">
      <w:pPr>
        <w:pStyle w:val="Heading2"/>
        <w:spacing w:before="0"/>
        <w:jc w:val="center"/>
        <w:rPr>
          <w:rFonts w:ascii="Microsoft Tai Le" w:hAnsi="Microsoft Tai Le" w:cs="Times New Roman"/>
          <w:sz w:val="26"/>
          <w:szCs w:val="38"/>
          <w:rtl/>
        </w:rPr>
      </w:pPr>
      <w:bookmarkStart w:id="72" w:name="_Toc413658854"/>
      <w:r w:rsidRPr="004D6527">
        <w:rPr>
          <w:rFonts w:hint="cs"/>
          <w:sz w:val="26"/>
          <w:szCs w:val="38"/>
          <w:rtl/>
        </w:rPr>
        <w:t xml:space="preserve">أ ـ </w:t>
      </w:r>
      <w:r w:rsidR="00AA2BEA" w:rsidRPr="004D6527">
        <w:rPr>
          <w:sz w:val="26"/>
          <w:szCs w:val="38"/>
          <w:rtl/>
        </w:rPr>
        <w:t>الكتب المطبوع</w:t>
      </w:r>
      <w:r w:rsidR="00AA2BEA" w:rsidRPr="004D6527">
        <w:rPr>
          <w:rFonts w:hint="cs"/>
          <w:sz w:val="26"/>
          <w:szCs w:val="38"/>
          <w:rtl/>
        </w:rPr>
        <w:t xml:space="preserve">ة </w:t>
      </w:r>
      <w:bookmarkEnd w:id="72"/>
    </w:p>
    <w:p w:rsidR="00922EE7" w:rsidRPr="004D6527" w:rsidRDefault="00AA2BEA" w:rsidP="00922EE7">
      <w:pPr>
        <w:rPr>
          <w:sz w:val="22"/>
          <w:szCs w:val="24"/>
          <w:rtl/>
        </w:rPr>
      </w:pPr>
      <w:r w:rsidRPr="004D6527">
        <w:rPr>
          <w:noProof/>
          <w:sz w:val="22"/>
          <w:szCs w:val="24"/>
          <w:rtl/>
        </w:rPr>
        <mc:AlternateContent>
          <mc:Choice Requires="wps">
            <w:drawing>
              <wp:anchor distT="0" distB="0" distL="114300" distR="114300" simplePos="0" relativeHeight="251657216" behindDoc="0" locked="0" layoutInCell="1" allowOverlap="1" wp14:anchorId="25B05AE1" wp14:editId="799B30B1">
                <wp:simplePos x="0" y="0"/>
                <wp:positionH relativeFrom="column">
                  <wp:posOffset>-62382</wp:posOffset>
                </wp:positionH>
                <wp:positionV relativeFrom="paragraph">
                  <wp:posOffset>63322</wp:posOffset>
                </wp:positionV>
                <wp:extent cx="4228185" cy="0"/>
                <wp:effectExtent l="0" t="0" r="20320" b="19050"/>
                <wp:wrapNone/>
                <wp:docPr id="27" name="Straight Connector 27"/>
                <wp:cNvGraphicFramePr/>
                <a:graphic xmlns:a="http://schemas.openxmlformats.org/drawingml/2006/main">
                  <a:graphicData uri="http://schemas.microsoft.com/office/word/2010/wordprocessingShape">
                    <wps:wsp>
                      <wps:cNvCnPr/>
                      <wps:spPr>
                        <a:xfrm flipH="1">
                          <a:off x="0" y="0"/>
                          <a:ext cx="42281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EAFC6" id="Straight Connector 27"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4.9pt,5pt" to="328.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" strokecolor="black [3213]"/>
            </w:pict>
          </mc:Fallback>
        </mc:AlternateContent>
      </w:r>
    </w:p>
    <w:p w:rsidR="00084C16" w:rsidRPr="004D6527" w:rsidRDefault="00084C16" w:rsidP="00922EE7">
      <w:pPr>
        <w:pStyle w:val="Heading2"/>
        <w:spacing w:before="0" w:after="0"/>
        <w:jc w:val="center"/>
        <w:rPr>
          <w:sz w:val="20"/>
          <w:szCs w:val="32"/>
        </w:rPr>
      </w:pPr>
      <w:bookmarkStart w:id="73" w:name="_Toc413658855"/>
      <w:r w:rsidRPr="004D6527">
        <w:rPr>
          <w:sz w:val="20"/>
          <w:szCs w:val="32"/>
          <w:rtl/>
        </w:rPr>
        <w:t>ال</w:t>
      </w:r>
      <w:r w:rsidRPr="004D6527">
        <w:rPr>
          <w:rFonts w:hint="cs"/>
          <w:sz w:val="20"/>
          <w:szCs w:val="32"/>
          <w:rtl/>
        </w:rPr>
        <w:t>أ</w:t>
      </w:r>
      <w:r w:rsidRPr="004D6527">
        <w:rPr>
          <w:sz w:val="20"/>
          <w:szCs w:val="32"/>
          <w:rtl/>
        </w:rPr>
        <w:t>عمال ا</w:t>
      </w:r>
      <w:r w:rsidRPr="004D6527">
        <w:rPr>
          <w:rFonts w:hint="cs"/>
          <w:sz w:val="20"/>
          <w:szCs w:val="32"/>
          <w:rtl/>
        </w:rPr>
        <w:t>لفلسفية</w:t>
      </w:r>
      <w:r w:rsidRPr="004D6527">
        <w:rPr>
          <w:sz w:val="20"/>
          <w:szCs w:val="32"/>
          <w:rtl/>
        </w:rPr>
        <w:t xml:space="preserve"> </w:t>
      </w:r>
      <w:r w:rsidRPr="004D6527">
        <w:rPr>
          <w:rFonts w:hint="cs"/>
          <w:sz w:val="20"/>
          <w:szCs w:val="32"/>
          <w:rtl/>
        </w:rPr>
        <w:t>والكلامية</w:t>
      </w:r>
      <w:bookmarkEnd w:id="73"/>
    </w:p>
    <w:p w:rsidR="00084C16" w:rsidRPr="004D6527" w:rsidRDefault="00084C16" w:rsidP="00922EE7">
      <w:pPr>
        <w:pStyle w:val="ListParagraph"/>
        <w:widowControl/>
        <w:numPr>
          <w:ilvl w:val="0"/>
          <w:numId w:val="1"/>
        </w:numPr>
        <w:spacing w:line="192" w:lineRule="auto"/>
        <w:jc w:val="left"/>
        <w:rPr>
          <w:rFonts w:ascii="Mosawi" w:hAnsi="Mosawi"/>
          <w:szCs w:val="28"/>
          <w:rtl/>
        </w:rPr>
      </w:pPr>
      <w:r w:rsidRPr="004D6527">
        <w:rPr>
          <w:rFonts w:ascii="Mosawi" w:hAnsi="Mosawi"/>
          <w:szCs w:val="28"/>
          <w:rtl/>
        </w:rPr>
        <w:t xml:space="preserve">دفتر عقل </w:t>
      </w:r>
      <w:r w:rsidRPr="004D6527">
        <w:rPr>
          <w:rFonts w:ascii="Mosawi" w:hAnsi="Mosawi" w:hint="cs"/>
          <w:szCs w:val="28"/>
          <w:rtl/>
        </w:rPr>
        <w:t>(</w:t>
      </w:r>
      <w:r w:rsidRPr="004D6527">
        <w:rPr>
          <w:rFonts w:ascii="Mosawi" w:hAnsi="Mosawi"/>
          <w:szCs w:val="28"/>
          <w:rtl/>
        </w:rPr>
        <w:t>مقالات في العقل والعقلانية</w:t>
      </w:r>
      <w:r w:rsidRPr="004D6527">
        <w:rPr>
          <w:rFonts w:ascii="Mosawi" w:hAnsi="Mosawi" w:hint="cs"/>
          <w:szCs w:val="28"/>
          <w:rtl/>
        </w:rPr>
        <w:t>)</w:t>
      </w:r>
      <w:r w:rsidR="00205726" w:rsidRPr="004D6527">
        <w:rPr>
          <w:rFonts w:ascii="Mosawi" w:hAnsi="Mosawi" w:hint="cs"/>
          <w:szCs w:val="28"/>
          <w:rtl/>
        </w:rPr>
        <w:t>، 1998م</w:t>
      </w:r>
    </w:p>
    <w:p w:rsidR="00084C16" w:rsidRPr="004D6527" w:rsidRDefault="00084C16" w:rsidP="00205726">
      <w:pPr>
        <w:pStyle w:val="ListParagraph"/>
        <w:widowControl/>
        <w:numPr>
          <w:ilvl w:val="0"/>
          <w:numId w:val="1"/>
        </w:numPr>
        <w:spacing w:line="192" w:lineRule="auto"/>
        <w:jc w:val="left"/>
        <w:rPr>
          <w:rFonts w:ascii="Mosawi" w:hAnsi="Mosawi"/>
          <w:szCs w:val="28"/>
        </w:rPr>
      </w:pPr>
      <w:r w:rsidRPr="004D6527">
        <w:rPr>
          <w:rFonts w:ascii="Mosawi" w:hAnsi="Mosawi"/>
          <w:szCs w:val="28"/>
          <w:rtl/>
        </w:rPr>
        <w:t>مجموعة مصنفات حكيم مؤسس آقا علي مدرس طهراني (</w:t>
      </w:r>
      <w:r w:rsidR="00205726" w:rsidRPr="004D6527">
        <w:rPr>
          <w:rFonts w:ascii="Mosawi" w:hAnsi="Mosawi" w:hint="cs"/>
          <w:szCs w:val="28"/>
          <w:rtl/>
        </w:rPr>
        <w:t>مجموعة مصنفات الحكيم المؤسس الآقا علي المدرس الطهراني</w:t>
      </w:r>
      <w:r w:rsidRPr="004D6527">
        <w:rPr>
          <w:rFonts w:ascii="Mosawi" w:hAnsi="Mosawi"/>
          <w:szCs w:val="28"/>
          <w:rtl/>
        </w:rPr>
        <w:t>)</w:t>
      </w:r>
      <w:r w:rsidR="00205726" w:rsidRPr="004D6527">
        <w:rPr>
          <w:rFonts w:ascii="Mosawi" w:hAnsi="Mosawi" w:hint="cs"/>
          <w:szCs w:val="28"/>
          <w:rtl/>
        </w:rPr>
        <w:t>، 1999م، (1ـ3)</w:t>
      </w:r>
    </w:p>
    <w:p w:rsidR="00205726" w:rsidRPr="004D6527" w:rsidRDefault="00205726" w:rsidP="00205726">
      <w:pPr>
        <w:pStyle w:val="ListParagraph"/>
        <w:widowControl/>
        <w:numPr>
          <w:ilvl w:val="1"/>
          <w:numId w:val="1"/>
        </w:numPr>
        <w:spacing w:line="192" w:lineRule="auto"/>
        <w:jc w:val="left"/>
        <w:rPr>
          <w:rFonts w:ascii="Mosawi" w:hAnsi="Mosawi"/>
          <w:szCs w:val="28"/>
        </w:rPr>
      </w:pPr>
      <w:r w:rsidRPr="004D6527">
        <w:rPr>
          <w:rFonts w:ascii="Mosawi" w:hAnsi="Mosawi" w:hint="cs"/>
          <w:szCs w:val="28"/>
          <w:rtl/>
        </w:rPr>
        <w:t>المجلد الأول: تعليقات الأسفار</w:t>
      </w:r>
    </w:p>
    <w:p w:rsidR="00205726" w:rsidRPr="004D6527" w:rsidRDefault="00205726" w:rsidP="00205726">
      <w:pPr>
        <w:pStyle w:val="ListParagraph"/>
        <w:widowControl/>
        <w:numPr>
          <w:ilvl w:val="1"/>
          <w:numId w:val="1"/>
        </w:numPr>
        <w:spacing w:line="192" w:lineRule="auto"/>
        <w:jc w:val="left"/>
        <w:rPr>
          <w:rFonts w:ascii="Mosawi" w:hAnsi="Mosawi"/>
          <w:szCs w:val="28"/>
        </w:rPr>
      </w:pPr>
      <w:r w:rsidRPr="004D6527">
        <w:rPr>
          <w:rFonts w:ascii="Mosawi" w:hAnsi="Mosawi" w:hint="cs"/>
          <w:szCs w:val="28"/>
          <w:rtl/>
        </w:rPr>
        <w:t>المجلد الثاني: رسائل وتعليقات فلسفية</w:t>
      </w:r>
    </w:p>
    <w:p w:rsidR="00205726" w:rsidRPr="004D6527" w:rsidRDefault="00205726" w:rsidP="00205726">
      <w:pPr>
        <w:pStyle w:val="ListParagraph"/>
        <w:widowControl/>
        <w:numPr>
          <w:ilvl w:val="1"/>
          <w:numId w:val="1"/>
        </w:numPr>
        <w:spacing w:line="192" w:lineRule="auto"/>
        <w:jc w:val="left"/>
        <w:rPr>
          <w:rFonts w:ascii="Mosawi" w:hAnsi="Mosawi"/>
          <w:szCs w:val="28"/>
        </w:rPr>
      </w:pPr>
      <w:r w:rsidRPr="004D6527">
        <w:rPr>
          <w:rFonts w:ascii="Mosawi" w:hAnsi="Mosawi" w:hint="cs"/>
          <w:szCs w:val="28"/>
          <w:rtl/>
        </w:rPr>
        <w:t>المجلد الثالث: رسائل فارسية، تقريظات، نصوص، تعليقات نقلية، تقريرات ومناظرات.</w:t>
      </w:r>
    </w:p>
    <w:p w:rsidR="00084C16" w:rsidRPr="004D6527" w:rsidRDefault="00084C16"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مناظره ي پلورالیسم ديني </w:t>
      </w:r>
      <w:r w:rsidR="00922EE7" w:rsidRPr="004D6527">
        <w:rPr>
          <w:rFonts w:ascii="Mosawi" w:hAnsi="Mosawi" w:hint="cs"/>
          <w:szCs w:val="28"/>
          <w:rtl/>
        </w:rPr>
        <w:t>(</w:t>
      </w:r>
      <w:r w:rsidR="00922EE7" w:rsidRPr="004D6527">
        <w:rPr>
          <w:rFonts w:ascii="Mosawi" w:hAnsi="Mosawi"/>
          <w:szCs w:val="28"/>
          <w:rtl/>
        </w:rPr>
        <w:t>حوار في التعددية الدينية</w:t>
      </w:r>
      <w:r w:rsidR="00205726" w:rsidRPr="004D6527">
        <w:rPr>
          <w:rFonts w:ascii="Mosawi" w:hAnsi="Mosawi" w:hint="cs"/>
          <w:szCs w:val="28"/>
          <w:rtl/>
        </w:rPr>
        <w:t xml:space="preserve"> مع عبد الكريم سروش</w:t>
      </w:r>
      <w:r w:rsidR="00922EE7" w:rsidRPr="004D6527">
        <w:rPr>
          <w:rFonts w:ascii="Mosawi" w:hAnsi="Mosawi" w:hint="cs"/>
          <w:szCs w:val="28"/>
          <w:rtl/>
        </w:rPr>
        <w:t>)</w:t>
      </w:r>
      <w:r w:rsidR="00205726" w:rsidRPr="004D6527">
        <w:rPr>
          <w:rFonts w:ascii="Mosawi" w:hAnsi="Mosawi" w:hint="cs"/>
          <w:szCs w:val="28"/>
          <w:rtl/>
        </w:rPr>
        <w:t>، 1999م</w:t>
      </w:r>
    </w:p>
    <w:p w:rsidR="00084C16" w:rsidRPr="004D6527" w:rsidRDefault="00084C16"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مأخذ شناسي علوم عقلي (3</w:t>
      </w:r>
      <w:r w:rsidR="00922EE7" w:rsidRPr="004D6527">
        <w:rPr>
          <w:rFonts w:ascii="Mosawi" w:hAnsi="Mosawi" w:hint="cs"/>
          <w:szCs w:val="28"/>
          <w:rtl/>
        </w:rPr>
        <w:t xml:space="preserve"> ـ </w:t>
      </w:r>
      <w:r w:rsidR="00922EE7" w:rsidRPr="004D6527">
        <w:rPr>
          <w:rFonts w:ascii="Mosawi" w:hAnsi="Mosawi"/>
          <w:szCs w:val="28"/>
          <w:rtl/>
        </w:rPr>
        <w:t xml:space="preserve">1) </w:t>
      </w:r>
      <w:r w:rsidR="00922EE7" w:rsidRPr="004D6527">
        <w:rPr>
          <w:rFonts w:ascii="Mosawi" w:hAnsi="Mosawi" w:hint="cs"/>
          <w:szCs w:val="28"/>
          <w:rtl/>
        </w:rPr>
        <w:t>(</w:t>
      </w:r>
      <w:r w:rsidRPr="004D6527">
        <w:rPr>
          <w:rFonts w:ascii="Mosawi" w:hAnsi="Mosawi"/>
          <w:szCs w:val="28"/>
          <w:rtl/>
        </w:rPr>
        <w:t>م</w:t>
      </w:r>
      <w:r w:rsidR="00922EE7" w:rsidRPr="004D6527">
        <w:rPr>
          <w:rFonts w:ascii="Mosawi" w:hAnsi="Mosawi" w:hint="cs"/>
          <w:szCs w:val="28"/>
          <w:rtl/>
        </w:rPr>
        <w:t>س</w:t>
      </w:r>
      <w:r w:rsidRPr="004D6527">
        <w:rPr>
          <w:rFonts w:ascii="Mosawi" w:hAnsi="Mosawi"/>
          <w:szCs w:val="28"/>
          <w:rtl/>
        </w:rPr>
        <w:t>رد لمصنفات العلوم العقلية</w:t>
      </w:r>
      <w:r w:rsidR="00205726" w:rsidRPr="004D6527">
        <w:rPr>
          <w:rFonts w:ascii="Mosawi" w:hAnsi="Mosawi" w:hint="cs"/>
          <w:szCs w:val="28"/>
          <w:rtl/>
        </w:rPr>
        <w:t>)، بمشاركة محمد النوري، 2000م</w:t>
      </w:r>
    </w:p>
    <w:p w:rsidR="00922EE7" w:rsidRPr="004D6527" w:rsidRDefault="00922EE7" w:rsidP="00922EE7">
      <w:pPr>
        <w:rPr>
          <w:sz w:val="52"/>
          <w:szCs w:val="54"/>
        </w:rPr>
      </w:pPr>
    </w:p>
    <w:p w:rsidR="00084C16" w:rsidRPr="004D6527" w:rsidRDefault="00922EE7" w:rsidP="00922EE7">
      <w:pPr>
        <w:pStyle w:val="Heading2"/>
        <w:spacing w:before="0" w:after="0"/>
        <w:jc w:val="center"/>
        <w:rPr>
          <w:sz w:val="20"/>
          <w:szCs w:val="32"/>
        </w:rPr>
      </w:pPr>
      <w:bookmarkStart w:id="74" w:name="_Toc413658856"/>
      <w:r w:rsidRPr="004D6527">
        <w:rPr>
          <w:rFonts w:hint="cs"/>
          <w:sz w:val="20"/>
          <w:szCs w:val="32"/>
          <w:rtl/>
        </w:rPr>
        <w:t>الأ</w:t>
      </w:r>
      <w:r w:rsidR="00084C16" w:rsidRPr="004D6527">
        <w:rPr>
          <w:rFonts w:hint="cs"/>
          <w:sz w:val="20"/>
          <w:szCs w:val="32"/>
          <w:rtl/>
        </w:rPr>
        <w:t>عمال</w:t>
      </w:r>
      <w:r w:rsidR="00084C16" w:rsidRPr="004D6527">
        <w:rPr>
          <w:sz w:val="20"/>
          <w:szCs w:val="32"/>
          <w:rtl/>
        </w:rPr>
        <w:t xml:space="preserve"> </w:t>
      </w:r>
      <w:r w:rsidR="00084C16" w:rsidRPr="004D6527">
        <w:rPr>
          <w:rFonts w:hint="cs"/>
          <w:sz w:val="20"/>
          <w:szCs w:val="32"/>
          <w:rtl/>
        </w:rPr>
        <w:t>الاجتماعية</w:t>
      </w:r>
      <w:r w:rsidR="00084C16" w:rsidRPr="004D6527">
        <w:rPr>
          <w:sz w:val="20"/>
          <w:szCs w:val="32"/>
          <w:rtl/>
        </w:rPr>
        <w:t xml:space="preserve"> </w:t>
      </w:r>
      <w:r w:rsidR="00084C16" w:rsidRPr="004D6527">
        <w:rPr>
          <w:rFonts w:hint="cs"/>
          <w:sz w:val="20"/>
          <w:szCs w:val="32"/>
          <w:rtl/>
        </w:rPr>
        <w:t>والسياسية</w:t>
      </w:r>
      <w:bookmarkEnd w:id="74"/>
    </w:p>
    <w:p w:rsidR="00084C16" w:rsidRPr="004D6527" w:rsidRDefault="00084C16" w:rsidP="00922EE7">
      <w:pPr>
        <w:pStyle w:val="Heading3"/>
        <w:spacing w:after="0"/>
        <w:rPr>
          <w:sz w:val="24"/>
          <w:szCs w:val="28"/>
          <w:rtl/>
        </w:rPr>
      </w:pPr>
      <w:r w:rsidRPr="004D6527">
        <w:rPr>
          <w:sz w:val="24"/>
          <w:szCs w:val="28"/>
          <w:rtl/>
        </w:rPr>
        <w:t>مجمو</w:t>
      </w:r>
      <w:r w:rsidRPr="004D6527">
        <w:rPr>
          <w:rFonts w:hint="cs"/>
          <w:sz w:val="24"/>
          <w:szCs w:val="28"/>
          <w:rtl/>
        </w:rPr>
        <w:t>عة</w:t>
      </w:r>
      <w:r w:rsidRPr="004D6527">
        <w:rPr>
          <w:sz w:val="24"/>
          <w:szCs w:val="28"/>
          <w:rtl/>
        </w:rPr>
        <w:t xml:space="preserve"> </w:t>
      </w:r>
      <w:r w:rsidRPr="004D6527">
        <w:rPr>
          <w:rFonts w:hint="cs"/>
          <w:sz w:val="24"/>
          <w:szCs w:val="28"/>
          <w:rtl/>
        </w:rPr>
        <w:t>الفكر</w:t>
      </w:r>
      <w:r w:rsidRPr="004D6527">
        <w:rPr>
          <w:sz w:val="24"/>
          <w:szCs w:val="28"/>
          <w:rtl/>
        </w:rPr>
        <w:t xml:space="preserve"> </w:t>
      </w:r>
      <w:r w:rsidRPr="004D6527">
        <w:rPr>
          <w:rFonts w:hint="cs"/>
          <w:sz w:val="24"/>
          <w:szCs w:val="28"/>
          <w:rtl/>
        </w:rPr>
        <w:t>السياسي</w:t>
      </w:r>
      <w:r w:rsidRPr="004D6527">
        <w:rPr>
          <w:sz w:val="24"/>
          <w:szCs w:val="28"/>
          <w:rtl/>
        </w:rPr>
        <w:t xml:space="preserve"> </w:t>
      </w:r>
      <w:r w:rsidRPr="004D6527">
        <w:rPr>
          <w:rFonts w:hint="cs"/>
          <w:sz w:val="24"/>
          <w:szCs w:val="28"/>
          <w:rtl/>
        </w:rPr>
        <w:t>في</w:t>
      </w:r>
      <w:r w:rsidRPr="004D6527">
        <w:rPr>
          <w:sz w:val="24"/>
          <w:szCs w:val="28"/>
          <w:rtl/>
        </w:rPr>
        <w:t xml:space="preserve"> </w:t>
      </w:r>
      <w:r w:rsidR="002F249E" w:rsidRPr="004D6527">
        <w:rPr>
          <w:rFonts w:hint="cs"/>
          <w:sz w:val="24"/>
          <w:szCs w:val="28"/>
          <w:rtl/>
        </w:rPr>
        <w:t>الإ</w:t>
      </w:r>
      <w:r w:rsidRPr="004D6527">
        <w:rPr>
          <w:rFonts w:hint="cs"/>
          <w:sz w:val="24"/>
          <w:szCs w:val="28"/>
          <w:rtl/>
        </w:rPr>
        <w:t>سلام</w:t>
      </w:r>
    </w:p>
    <w:p w:rsidR="00084C16" w:rsidRPr="004D6527" w:rsidRDefault="00922EE7"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نظريه هاي دولت در فقه شيعه </w:t>
      </w:r>
      <w:r w:rsidRPr="004D6527">
        <w:rPr>
          <w:rFonts w:ascii="Mosawi" w:hAnsi="Mosawi" w:hint="cs"/>
          <w:szCs w:val="28"/>
          <w:rtl/>
        </w:rPr>
        <w:t>(</w:t>
      </w:r>
      <w:r w:rsidR="00084C16" w:rsidRPr="004D6527">
        <w:rPr>
          <w:rFonts w:ascii="Mosawi" w:hAnsi="Mosawi"/>
          <w:szCs w:val="28"/>
          <w:rtl/>
        </w:rPr>
        <w:t>نظريات الدولة في الفقه الشيعي</w:t>
      </w:r>
      <w:r w:rsidRPr="004D6527">
        <w:rPr>
          <w:rFonts w:ascii="Mosawi" w:hAnsi="Mosawi" w:hint="cs"/>
          <w:szCs w:val="28"/>
          <w:rtl/>
        </w:rPr>
        <w:t>)</w:t>
      </w:r>
      <w:r w:rsidR="00205726" w:rsidRPr="004D6527">
        <w:rPr>
          <w:rFonts w:ascii="Mosawi" w:hAnsi="Mosawi" w:hint="cs"/>
          <w:szCs w:val="28"/>
          <w:rtl/>
        </w:rPr>
        <w:t>، 1997م</w:t>
      </w:r>
    </w:p>
    <w:p w:rsidR="00084C16" w:rsidRPr="004D6527" w:rsidRDefault="00922EE7"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حكومت ولايي </w:t>
      </w:r>
      <w:r w:rsidRPr="004D6527">
        <w:rPr>
          <w:rFonts w:ascii="Mosawi" w:hAnsi="Mosawi" w:hint="cs"/>
          <w:szCs w:val="28"/>
          <w:rtl/>
        </w:rPr>
        <w:t>(</w:t>
      </w:r>
      <w:r w:rsidRPr="004D6527">
        <w:rPr>
          <w:rFonts w:ascii="Mosawi" w:hAnsi="Mosawi"/>
          <w:szCs w:val="28"/>
          <w:rtl/>
        </w:rPr>
        <w:t>الحكومة الولائية</w:t>
      </w:r>
      <w:r w:rsidRPr="004D6527">
        <w:rPr>
          <w:rFonts w:ascii="Mosawi" w:hAnsi="Mosawi" w:hint="cs"/>
          <w:szCs w:val="28"/>
          <w:rtl/>
        </w:rPr>
        <w:t>)</w:t>
      </w:r>
      <w:r w:rsidR="00205726" w:rsidRPr="004D6527">
        <w:rPr>
          <w:rFonts w:ascii="Mosawi" w:hAnsi="Mosawi" w:hint="cs"/>
          <w:szCs w:val="28"/>
          <w:rtl/>
        </w:rPr>
        <w:t>، 1998م، [هذا الكتاب]</w:t>
      </w:r>
    </w:p>
    <w:p w:rsidR="00084C16" w:rsidRPr="004D6527" w:rsidRDefault="00922EE7"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بهاي آزادي </w:t>
      </w:r>
      <w:r w:rsidRPr="004D6527">
        <w:rPr>
          <w:rFonts w:ascii="Mosawi" w:hAnsi="Mosawi" w:hint="cs"/>
          <w:szCs w:val="28"/>
          <w:rtl/>
        </w:rPr>
        <w:t>(</w:t>
      </w:r>
      <w:r w:rsidR="00084C16" w:rsidRPr="004D6527">
        <w:rPr>
          <w:rFonts w:ascii="Mosawi" w:hAnsi="Mosawi"/>
          <w:szCs w:val="28"/>
          <w:rtl/>
        </w:rPr>
        <w:t xml:space="preserve">ضريبة </w:t>
      </w:r>
      <w:r w:rsidRPr="004D6527">
        <w:rPr>
          <w:rFonts w:ascii="Mosawi" w:hAnsi="Mosawi"/>
          <w:szCs w:val="28"/>
          <w:rtl/>
        </w:rPr>
        <w:t>الحرية</w:t>
      </w:r>
      <w:r w:rsidR="00205726" w:rsidRPr="004D6527">
        <w:rPr>
          <w:rFonts w:ascii="Mosawi" w:hAnsi="Mosawi" w:hint="cs"/>
          <w:szCs w:val="28"/>
          <w:rtl/>
        </w:rPr>
        <w:t>: دفاعيات كديور في المحكمة</w:t>
      </w:r>
      <w:r w:rsidRPr="004D6527">
        <w:rPr>
          <w:rFonts w:ascii="Mosawi" w:hAnsi="Mosawi" w:hint="cs"/>
          <w:szCs w:val="28"/>
          <w:rtl/>
        </w:rPr>
        <w:t>)</w:t>
      </w:r>
      <w:r w:rsidR="00205726" w:rsidRPr="004D6527">
        <w:rPr>
          <w:rFonts w:ascii="Mosawi" w:hAnsi="Mosawi" w:hint="cs"/>
          <w:szCs w:val="28"/>
          <w:rtl/>
        </w:rPr>
        <w:t>، بإشراف زهراء رودي، 1999م</w:t>
      </w:r>
    </w:p>
    <w:p w:rsidR="00084C16" w:rsidRPr="004D6527" w:rsidRDefault="00922EE7" w:rsidP="00205726">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دغدغه هاي حكومت ديني </w:t>
      </w:r>
      <w:r w:rsidRPr="004D6527">
        <w:rPr>
          <w:rFonts w:ascii="Mosawi" w:hAnsi="Mosawi" w:hint="cs"/>
          <w:szCs w:val="28"/>
          <w:rtl/>
        </w:rPr>
        <w:t>(</w:t>
      </w:r>
      <w:r w:rsidR="00205726" w:rsidRPr="004D6527">
        <w:rPr>
          <w:rFonts w:ascii="Mosawi" w:hAnsi="Mosawi" w:hint="cs"/>
          <w:szCs w:val="28"/>
          <w:rtl/>
        </w:rPr>
        <w:t>ملاحظات</w:t>
      </w:r>
      <w:r w:rsidRPr="004D6527">
        <w:rPr>
          <w:rFonts w:ascii="Mosawi" w:hAnsi="Mosawi"/>
          <w:szCs w:val="28"/>
          <w:rtl/>
        </w:rPr>
        <w:t xml:space="preserve"> في الدولة الدينية</w:t>
      </w:r>
      <w:r w:rsidRPr="004D6527">
        <w:rPr>
          <w:rFonts w:ascii="Mosawi" w:hAnsi="Mosawi" w:hint="cs"/>
          <w:szCs w:val="28"/>
          <w:rtl/>
        </w:rPr>
        <w:t>)</w:t>
      </w:r>
      <w:r w:rsidR="00205726" w:rsidRPr="004D6527">
        <w:rPr>
          <w:rFonts w:ascii="Mosawi" w:hAnsi="Mosawi" w:hint="cs"/>
          <w:szCs w:val="28"/>
          <w:rtl/>
        </w:rPr>
        <w:t>، 2000م</w:t>
      </w:r>
    </w:p>
    <w:p w:rsidR="00922EE7" w:rsidRPr="004D6527" w:rsidRDefault="00922EE7" w:rsidP="00922EE7">
      <w:pPr>
        <w:rPr>
          <w:sz w:val="26"/>
          <w:szCs w:val="28"/>
        </w:rPr>
      </w:pPr>
    </w:p>
    <w:p w:rsidR="00084C16" w:rsidRPr="004D6527" w:rsidRDefault="00084C16" w:rsidP="00922EE7">
      <w:pPr>
        <w:pStyle w:val="Heading3"/>
        <w:spacing w:after="0"/>
        <w:rPr>
          <w:sz w:val="24"/>
          <w:szCs w:val="28"/>
        </w:rPr>
      </w:pPr>
      <w:r w:rsidRPr="004D6527">
        <w:rPr>
          <w:sz w:val="24"/>
          <w:szCs w:val="28"/>
          <w:rtl/>
        </w:rPr>
        <w:t xml:space="preserve">مجموعة مصادر رواد </w:t>
      </w:r>
      <w:r w:rsidR="00922EE7" w:rsidRPr="004D6527">
        <w:rPr>
          <w:sz w:val="24"/>
          <w:szCs w:val="28"/>
          <w:rtl/>
        </w:rPr>
        <w:t>ال</w:t>
      </w:r>
      <w:r w:rsidR="00922EE7" w:rsidRPr="004D6527">
        <w:rPr>
          <w:rFonts w:hint="cs"/>
          <w:sz w:val="24"/>
          <w:szCs w:val="28"/>
          <w:rtl/>
        </w:rPr>
        <w:t>إ</w:t>
      </w:r>
      <w:r w:rsidRPr="004D6527">
        <w:rPr>
          <w:rFonts w:hint="cs"/>
          <w:sz w:val="24"/>
          <w:szCs w:val="28"/>
          <w:rtl/>
        </w:rPr>
        <w:t>سلام</w:t>
      </w:r>
      <w:r w:rsidRPr="004D6527">
        <w:rPr>
          <w:sz w:val="24"/>
          <w:szCs w:val="28"/>
          <w:rtl/>
        </w:rPr>
        <w:t xml:space="preserve"> </w:t>
      </w:r>
      <w:r w:rsidRPr="004D6527">
        <w:rPr>
          <w:rFonts w:hint="cs"/>
          <w:sz w:val="24"/>
          <w:szCs w:val="28"/>
          <w:rtl/>
        </w:rPr>
        <w:t>السياسي</w:t>
      </w:r>
      <w:r w:rsidRPr="004D6527">
        <w:rPr>
          <w:sz w:val="24"/>
          <w:szCs w:val="28"/>
          <w:rtl/>
        </w:rPr>
        <w:t xml:space="preserve"> </w:t>
      </w:r>
      <w:r w:rsidRPr="004D6527">
        <w:rPr>
          <w:rFonts w:hint="cs"/>
          <w:sz w:val="24"/>
          <w:szCs w:val="28"/>
          <w:rtl/>
        </w:rPr>
        <w:t>في</w:t>
      </w:r>
      <w:r w:rsidRPr="004D6527">
        <w:rPr>
          <w:sz w:val="24"/>
          <w:szCs w:val="28"/>
          <w:rtl/>
        </w:rPr>
        <w:t xml:space="preserve"> </w:t>
      </w:r>
      <w:r w:rsidR="00922EE7" w:rsidRPr="004D6527">
        <w:rPr>
          <w:rFonts w:hint="cs"/>
          <w:sz w:val="24"/>
          <w:szCs w:val="28"/>
          <w:rtl/>
        </w:rPr>
        <w:t>إ</w:t>
      </w:r>
      <w:r w:rsidRPr="004D6527">
        <w:rPr>
          <w:rFonts w:hint="cs"/>
          <w:sz w:val="24"/>
          <w:szCs w:val="28"/>
          <w:rtl/>
        </w:rPr>
        <w:t>يران</w:t>
      </w:r>
      <w:r w:rsidRPr="004D6527">
        <w:rPr>
          <w:sz w:val="24"/>
          <w:szCs w:val="28"/>
          <w:rtl/>
        </w:rPr>
        <w:t xml:space="preserve"> </w:t>
      </w:r>
      <w:r w:rsidRPr="004D6527">
        <w:rPr>
          <w:rFonts w:hint="cs"/>
          <w:sz w:val="24"/>
          <w:szCs w:val="28"/>
          <w:rtl/>
        </w:rPr>
        <w:t>المعاصرة</w:t>
      </w:r>
    </w:p>
    <w:p w:rsidR="00084C16" w:rsidRPr="004D6527" w:rsidRDefault="00922EE7" w:rsidP="00205726">
      <w:pPr>
        <w:pStyle w:val="ListParagraph"/>
        <w:widowControl/>
        <w:numPr>
          <w:ilvl w:val="0"/>
          <w:numId w:val="1"/>
        </w:numPr>
        <w:spacing w:line="192" w:lineRule="auto"/>
        <w:rPr>
          <w:rFonts w:ascii="Mosawi" w:hAnsi="Mosawi"/>
          <w:szCs w:val="28"/>
        </w:rPr>
      </w:pPr>
      <w:r w:rsidRPr="004D6527">
        <w:rPr>
          <w:rFonts w:ascii="Mosawi" w:hAnsi="Mosawi"/>
          <w:szCs w:val="28"/>
          <w:rtl/>
        </w:rPr>
        <w:t xml:space="preserve">سياست نامه خراساني </w:t>
      </w:r>
      <w:r w:rsidRPr="004D6527">
        <w:rPr>
          <w:rFonts w:ascii="Mosawi" w:hAnsi="Mosawi" w:hint="cs"/>
          <w:szCs w:val="28"/>
          <w:rtl/>
        </w:rPr>
        <w:t>(</w:t>
      </w:r>
      <w:r w:rsidR="00205726" w:rsidRPr="004D6527">
        <w:rPr>
          <w:rFonts w:ascii="Mosawi" w:hAnsi="Mosawi" w:hint="cs"/>
          <w:szCs w:val="28"/>
          <w:rtl/>
        </w:rPr>
        <w:t xml:space="preserve">النصوص السياسية في كتب </w:t>
      </w:r>
      <w:r w:rsidRPr="004D6527">
        <w:rPr>
          <w:rFonts w:ascii="Mosawi" w:hAnsi="Mosawi"/>
          <w:szCs w:val="28"/>
          <w:rtl/>
        </w:rPr>
        <w:t xml:space="preserve">الآخوند </w:t>
      </w:r>
      <w:r w:rsidR="00205726" w:rsidRPr="004D6527">
        <w:rPr>
          <w:rFonts w:ascii="Mosawi" w:hAnsi="Mosawi" w:hint="cs"/>
          <w:szCs w:val="28"/>
          <w:rtl/>
        </w:rPr>
        <w:t xml:space="preserve">الملا محمد كاظم </w:t>
      </w:r>
      <w:r w:rsidRPr="004D6527">
        <w:rPr>
          <w:rFonts w:ascii="Mosawi" w:hAnsi="Mosawi"/>
          <w:szCs w:val="28"/>
          <w:rtl/>
        </w:rPr>
        <w:t>الخراساني</w:t>
      </w:r>
      <w:r w:rsidRPr="004D6527">
        <w:rPr>
          <w:rFonts w:ascii="Mosawi" w:hAnsi="Mosawi" w:hint="cs"/>
          <w:szCs w:val="28"/>
          <w:rtl/>
        </w:rPr>
        <w:t>)</w:t>
      </w:r>
      <w:r w:rsidR="00205726" w:rsidRPr="004D6527">
        <w:rPr>
          <w:rFonts w:ascii="Mosawi" w:hAnsi="Mosawi" w:hint="cs"/>
          <w:szCs w:val="28"/>
          <w:rtl/>
        </w:rPr>
        <w:t>، 2006م</w:t>
      </w:r>
    </w:p>
    <w:p w:rsidR="00922EE7" w:rsidRPr="004D6527" w:rsidRDefault="00922EE7" w:rsidP="00922EE7">
      <w:pPr>
        <w:rPr>
          <w:sz w:val="26"/>
          <w:szCs w:val="28"/>
        </w:rPr>
      </w:pPr>
    </w:p>
    <w:p w:rsidR="00084C16" w:rsidRPr="004D6527" w:rsidRDefault="00084C16" w:rsidP="00922EE7">
      <w:pPr>
        <w:pStyle w:val="Heading3"/>
        <w:spacing w:after="0"/>
        <w:rPr>
          <w:sz w:val="24"/>
          <w:szCs w:val="28"/>
        </w:rPr>
      </w:pPr>
      <w:r w:rsidRPr="004D6527">
        <w:rPr>
          <w:rFonts w:hint="cs"/>
          <w:sz w:val="24"/>
          <w:szCs w:val="28"/>
          <w:rtl/>
        </w:rPr>
        <w:t>مجموعة</w:t>
      </w:r>
      <w:r w:rsidRPr="004D6527">
        <w:rPr>
          <w:sz w:val="24"/>
          <w:szCs w:val="28"/>
          <w:rtl/>
        </w:rPr>
        <w:t xml:space="preserve"> </w:t>
      </w:r>
      <w:r w:rsidRPr="004D6527">
        <w:rPr>
          <w:rFonts w:hint="cs"/>
          <w:sz w:val="24"/>
          <w:szCs w:val="28"/>
          <w:rtl/>
        </w:rPr>
        <w:t>ال</w:t>
      </w:r>
      <w:r w:rsidR="00922EE7" w:rsidRPr="004D6527">
        <w:rPr>
          <w:rFonts w:hint="cs"/>
          <w:sz w:val="24"/>
          <w:szCs w:val="28"/>
          <w:rtl/>
        </w:rPr>
        <w:t>إ</w:t>
      </w:r>
      <w:r w:rsidRPr="004D6527">
        <w:rPr>
          <w:rFonts w:hint="cs"/>
          <w:sz w:val="24"/>
          <w:szCs w:val="28"/>
          <w:rtl/>
        </w:rPr>
        <w:t>سلام</w:t>
      </w:r>
      <w:r w:rsidRPr="004D6527">
        <w:rPr>
          <w:sz w:val="24"/>
          <w:szCs w:val="28"/>
          <w:rtl/>
        </w:rPr>
        <w:t xml:space="preserve"> </w:t>
      </w:r>
      <w:r w:rsidRPr="004D6527">
        <w:rPr>
          <w:rFonts w:hint="cs"/>
          <w:sz w:val="24"/>
          <w:szCs w:val="28"/>
          <w:rtl/>
        </w:rPr>
        <w:t>وحقوق</w:t>
      </w:r>
      <w:r w:rsidRPr="004D6527">
        <w:rPr>
          <w:sz w:val="24"/>
          <w:szCs w:val="28"/>
          <w:rtl/>
        </w:rPr>
        <w:t xml:space="preserve"> </w:t>
      </w:r>
      <w:r w:rsidR="00D37C31" w:rsidRPr="004D6527">
        <w:rPr>
          <w:rFonts w:hint="cs"/>
          <w:sz w:val="24"/>
          <w:szCs w:val="28"/>
          <w:rtl/>
        </w:rPr>
        <w:t>الإ</w:t>
      </w:r>
      <w:r w:rsidRPr="004D6527">
        <w:rPr>
          <w:rFonts w:hint="cs"/>
          <w:sz w:val="24"/>
          <w:szCs w:val="28"/>
          <w:rtl/>
        </w:rPr>
        <w:t>نسان</w:t>
      </w:r>
    </w:p>
    <w:p w:rsidR="00084C16" w:rsidRPr="004D6527" w:rsidRDefault="00084C16"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حق الناس</w:t>
      </w:r>
      <w:r w:rsidR="00205726" w:rsidRPr="004D6527">
        <w:rPr>
          <w:rFonts w:ascii="Mosawi" w:hAnsi="Mosawi" w:hint="cs"/>
          <w:szCs w:val="28"/>
          <w:rtl/>
        </w:rPr>
        <w:t>، 2008م</w:t>
      </w:r>
    </w:p>
    <w:p w:rsidR="00AA2BEA" w:rsidRPr="004D6527" w:rsidRDefault="00AA2BEA" w:rsidP="00AA2BEA">
      <w:pPr>
        <w:widowControl/>
        <w:spacing w:line="192" w:lineRule="auto"/>
        <w:jc w:val="left"/>
        <w:rPr>
          <w:rFonts w:ascii="Mosawi" w:hAnsi="Mosawi"/>
          <w:sz w:val="10"/>
          <w:szCs w:val="10"/>
        </w:rPr>
      </w:pPr>
    </w:p>
    <w:p w:rsidR="00922EE7" w:rsidRPr="004D6527" w:rsidRDefault="0074237A" w:rsidP="00F93F13">
      <w:pPr>
        <w:pStyle w:val="Heading2"/>
        <w:spacing w:before="360"/>
        <w:jc w:val="center"/>
        <w:rPr>
          <w:sz w:val="18"/>
          <w:szCs w:val="38"/>
          <w:vertAlign w:val="superscript"/>
          <w:rtl/>
        </w:rPr>
      </w:pPr>
      <w:bookmarkStart w:id="75" w:name="_Toc413658857"/>
      <w:r w:rsidRPr="004D6527">
        <w:rPr>
          <w:rFonts w:hint="cs"/>
          <w:sz w:val="26"/>
          <w:szCs w:val="38"/>
          <w:rtl/>
        </w:rPr>
        <w:t xml:space="preserve">ب ـ </w:t>
      </w:r>
      <w:r w:rsidR="00084C16" w:rsidRPr="004D6527">
        <w:rPr>
          <w:sz w:val="26"/>
          <w:szCs w:val="38"/>
          <w:rtl/>
        </w:rPr>
        <w:t>ا</w:t>
      </w:r>
      <w:r w:rsidR="00084C16" w:rsidRPr="004D6527">
        <w:rPr>
          <w:rFonts w:hint="cs"/>
          <w:sz w:val="26"/>
          <w:szCs w:val="38"/>
          <w:rtl/>
        </w:rPr>
        <w:t>لكتب</w:t>
      </w:r>
      <w:r w:rsidR="00084C16" w:rsidRPr="004D6527">
        <w:rPr>
          <w:sz w:val="26"/>
          <w:szCs w:val="38"/>
          <w:rtl/>
        </w:rPr>
        <w:t xml:space="preserve"> </w:t>
      </w:r>
      <w:r w:rsidR="00084C16" w:rsidRPr="004D6527">
        <w:rPr>
          <w:rFonts w:hint="cs"/>
          <w:sz w:val="26"/>
          <w:szCs w:val="38"/>
          <w:rtl/>
        </w:rPr>
        <w:t>الالكتروني</w:t>
      </w:r>
      <w:r w:rsidR="00922EE7" w:rsidRPr="004D6527">
        <w:rPr>
          <w:sz w:val="26"/>
          <w:szCs w:val="38"/>
          <w:rtl/>
        </w:rPr>
        <w:t>ة</w:t>
      </w:r>
      <w:r w:rsidR="00AA2BEA" w:rsidRPr="004D6527">
        <w:rPr>
          <w:rFonts w:hint="cs"/>
          <w:sz w:val="26"/>
          <w:szCs w:val="38"/>
          <w:rtl/>
        </w:rPr>
        <w:t xml:space="preserve"> </w:t>
      </w:r>
      <w:r w:rsidR="00AA2BEA" w:rsidRPr="004D6527">
        <w:rPr>
          <w:rFonts w:hint="cs"/>
          <w:sz w:val="18"/>
          <w:szCs w:val="38"/>
          <w:vertAlign w:val="superscript"/>
          <w:rtl/>
        </w:rPr>
        <w:t>(</w:t>
      </w:r>
      <w:r w:rsidR="00AA2BEA" w:rsidRPr="004D6527">
        <w:rPr>
          <w:rStyle w:val="FootnoteReference"/>
          <w:sz w:val="18"/>
          <w:szCs w:val="38"/>
          <w:rtl/>
        </w:rPr>
        <w:footnoteReference w:id="810"/>
      </w:r>
      <w:r w:rsidR="00AA2BEA" w:rsidRPr="004D6527">
        <w:rPr>
          <w:rFonts w:hint="cs"/>
          <w:sz w:val="18"/>
          <w:szCs w:val="38"/>
          <w:vertAlign w:val="superscript"/>
          <w:rtl/>
        </w:rPr>
        <w:t>)</w:t>
      </w:r>
      <w:bookmarkEnd w:id="75"/>
    </w:p>
    <w:p w:rsidR="00AA2BEA" w:rsidRPr="004D6527" w:rsidRDefault="00AA2BEA" w:rsidP="00AA2BEA">
      <w:pPr>
        <w:rPr>
          <w:sz w:val="26"/>
          <w:szCs w:val="28"/>
        </w:rPr>
      </w:pPr>
      <w:r w:rsidRPr="004D6527">
        <w:rPr>
          <w:noProof/>
          <w:sz w:val="22"/>
          <w:szCs w:val="24"/>
          <w:rtl/>
        </w:rPr>
        <mc:AlternateContent>
          <mc:Choice Requires="wps">
            <w:drawing>
              <wp:anchor distT="0" distB="0" distL="114300" distR="114300" simplePos="0" relativeHeight="251668480" behindDoc="0" locked="0" layoutInCell="1" allowOverlap="1" wp14:anchorId="51A7F707" wp14:editId="33BCA3C8">
                <wp:simplePos x="0" y="0"/>
                <wp:positionH relativeFrom="column">
                  <wp:posOffset>92075</wp:posOffset>
                </wp:positionH>
                <wp:positionV relativeFrom="paragraph">
                  <wp:posOffset>-2540</wp:posOffset>
                </wp:positionV>
                <wp:extent cx="4228185" cy="0"/>
                <wp:effectExtent l="0" t="0" r="20320" b="19050"/>
                <wp:wrapNone/>
                <wp:docPr id="28" name="Straight Connector 28"/>
                <wp:cNvGraphicFramePr/>
                <a:graphic xmlns:a="http://schemas.openxmlformats.org/drawingml/2006/main">
                  <a:graphicData uri="http://schemas.microsoft.com/office/word/2010/wordprocessingShape">
                    <wps:wsp>
                      <wps:cNvCnPr/>
                      <wps:spPr>
                        <a:xfrm flipH="1">
                          <a:off x="0" y="0"/>
                          <a:ext cx="42281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D8352" id="Straight Connector 28"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7.25pt,-.2pt" to="340.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" strokecolor="black [3213]"/>
            </w:pict>
          </mc:Fallback>
        </mc:AlternateContent>
      </w:r>
    </w:p>
    <w:p w:rsidR="00205726" w:rsidRPr="004D6527" w:rsidRDefault="00205726" w:rsidP="00205726">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شريعت وسياست </w:t>
      </w:r>
      <w:r w:rsidRPr="004D6527">
        <w:rPr>
          <w:rFonts w:ascii="Mosawi" w:hAnsi="Mosawi" w:hint="cs"/>
          <w:szCs w:val="28"/>
          <w:rtl/>
        </w:rPr>
        <w:t>(الشريعة والسياسة: الدين في المجال العام)، 2009م</w:t>
      </w:r>
    </w:p>
    <w:p w:rsidR="00205726" w:rsidRPr="004D6527" w:rsidRDefault="00205726" w:rsidP="00205726">
      <w:pPr>
        <w:rPr>
          <w:sz w:val="10"/>
          <w:szCs w:val="12"/>
          <w:rtl/>
        </w:rPr>
      </w:pPr>
    </w:p>
    <w:p w:rsidR="00084C16" w:rsidRPr="004D6527" w:rsidRDefault="00084C16" w:rsidP="00922EE7">
      <w:pPr>
        <w:pStyle w:val="Heading3"/>
        <w:spacing w:after="0"/>
        <w:rPr>
          <w:sz w:val="24"/>
          <w:szCs w:val="28"/>
        </w:rPr>
      </w:pPr>
      <w:r w:rsidRPr="004D6527">
        <w:rPr>
          <w:rFonts w:hint="cs"/>
          <w:sz w:val="24"/>
          <w:szCs w:val="28"/>
          <w:rtl/>
        </w:rPr>
        <w:t>مجموعة</w:t>
      </w:r>
      <w:r w:rsidRPr="004D6527">
        <w:rPr>
          <w:sz w:val="24"/>
          <w:szCs w:val="28"/>
          <w:rtl/>
        </w:rPr>
        <w:t xml:space="preserve"> </w:t>
      </w:r>
      <w:r w:rsidRPr="004D6527">
        <w:rPr>
          <w:rFonts w:hint="cs"/>
          <w:sz w:val="24"/>
          <w:szCs w:val="28"/>
          <w:rtl/>
        </w:rPr>
        <w:t>الفكر</w:t>
      </w:r>
      <w:r w:rsidRPr="004D6527">
        <w:rPr>
          <w:sz w:val="24"/>
          <w:szCs w:val="28"/>
          <w:rtl/>
        </w:rPr>
        <w:t xml:space="preserve"> </w:t>
      </w:r>
      <w:r w:rsidRPr="004D6527">
        <w:rPr>
          <w:rFonts w:hint="cs"/>
          <w:sz w:val="24"/>
          <w:szCs w:val="28"/>
          <w:rtl/>
        </w:rPr>
        <w:t>السياسي</w:t>
      </w:r>
      <w:r w:rsidRPr="004D6527">
        <w:rPr>
          <w:sz w:val="24"/>
          <w:szCs w:val="28"/>
          <w:rtl/>
        </w:rPr>
        <w:t xml:space="preserve"> </w:t>
      </w:r>
      <w:r w:rsidRPr="004D6527">
        <w:rPr>
          <w:rFonts w:hint="cs"/>
          <w:sz w:val="24"/>
          <w:szCs w:val="28"/>
          <w:rtl/>
        </w:rPr>
        <w:t>في</w:t>
      </w:r>
      <w:r w:rsidRPr="004D6527">
        <w:rPr>
          <w:sz w:val="24"/>
          <w:szCs w:val="28"/>
          <w:rtl/>
        </w:rPr>
        <w:t xml:space="preserve"> </w:t>
      </w:r>
      <w:r w:rsidR="00922EE7" w:rsidRPr="004D6527">
        <w:rPr>
          <w:rFonts w:hint="cs"/>
          <w:sz w:val="24"/>
          <w:szCs w:val="28"/>
          <w:rtl/>
        </w:rPr>
        <w:t>الإ</w:t>
      </w:r>
      <w:r w:rsidRPr="004D6527">
        <w:rPr>
          <w:rFonts w:hint="cs"/>
          <w:sz w:val="24"/>
          <w:szCs w:val="28"/>
          <w:rtl/>
        </w:rPr>
        <w:t>سلام</w:t>
      </w:r>
    </w:p>
    <w:p w:rsidR="00084C16" w:rsidRPr="004D6527" w:rsidRDefault="00922EE7"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حكومت انتصابي </w:t>
      </w:r>
      <w:r w:rsidRPr="004D6527">
        <w:rPr>
          <w:rFonts w:ascii="Mosawi" w:hAnsi="Mosawi" w:hint="cs"/>
          <w:szCs w:val="28"/>
          <w:rtl/>
        </w:rPr>
        <w:t>(</w:t>
      </w:r>
      <w:r w:rsidRPr="004D6527">
        <w:rPr>
          <w:rFonts w:ascii="Mosawi" w:hAnsi="Mosawi"/>
          <w:szCs w:val="28"/>
          <w:rtl/>
        </w:rPr>
        <w:t>دولة التنصيب ال</w:t>
      </w:r>
      <w:r w:rsidRPr="004D6527">
        <w:rPr>
          <w:rFonts w:ascii="Mosawi" w:hAnsi="Mosawi" w:hint="cs"/>
          <w:szCs w:val="28"/>
          <w:rtl/>
        </w:rPr>
        <w:t>إ</w:t>
      </w:r>
      <w:r w:rsidRPr="004D6527">
        <w:rPr>
          <w:rFonts w:ascii="Mosawi" w:hAnsi="Mosawi"/>
          <w:szCs w:val="28"/>
          <w:rtl/>
        </w:rPr>
        <w:t>لهي</w:t>
      </w:r>
      <w:r w:rsidRPr="004D6527">
        <w:rPr>
          <w:rFonts w:ascii="Mosawi" w:hAnsi="Mosawi" w:hint="cs"/>
          <w:szCs w:val="28"/>
          <w:rtl/>
        </w:rPr>
        <w:t>)</w:t>
      </w:r>
      <w:r w:rsidR="00205726" w:rsidRPr="004D6527">
        <w:rPr>
          <w:rFonts w:ascii="Mosawi" w:hAnsi="Mosawi" w:hint="cs"/>
          <w:szCs w:val="28"/>
          <w:rtl/>
        </w:rPr>
        <w:t>، 2014م</w:t>
      </w:r>
    </w:p>
    <w:p w:rsidR="00922EE7" w:rsidRPr="004D6527" w:rsidRDefault="00922EE7" w:rsidP="00922EE7">
      <w:pPr>
        <w:rPr>
          <w:sz w:val="12"/>
          <w:szCs w:val="14"/>
        </w:rPr>
      </w:pPr>
    </w:p>
    <w:p w:rsidR="00084C16" w:rsidRPr="004D6527" w:rsidRDefault="00084C16" w:rsidP="002F249E">
      <w:pPr>
        <w:pStyle w:val="Heading3"/>
        <w:spacing w:after="0"/>
        <w:rPr>
          <w:sz w:val="24"/>
          <w:szCs w:val="28"/>
        </w:rPr>
      </w:pPr>
      <w:r w:rsidRPr="004D6527">
        <w:rPr>
          <w:sz w:val="24"/>
          <w:szCs w:val="28"/>
          <w:rtl/>
        </w:rPr>
        <w:t xml:space="preserve">مجموعة </w:t>
      </w:r>
      <w:r w:rsidRPr="004D6527">
        <w:rPr>
          <w:rFonts w:hint="cs"/>
          <w:sz w:val="24"/>
          <w:szCs w:val="28"/>
          <w:rtl/>
        </w:rPr>
        <w:t>التعريف</w:t>
      </w:r>
      <w:r w:rsidRPr="004D6527">
        <w:rPr>
          <w:sz w:val="24"/>
          <w:szCs w:val="28"/>
          <w:rtl/>
        </w:rPr>
        <w:t xml:space="preserve"> </w:t>
      </w:r>
      <w:r w:rsidR="00922EE7" w:rsidRPr="004D6527">
        <w:rPr>
          <w:rFonts w:hint="cs"/>
          <w:sz w:val="24"/>
          <w:szCs w:val="28"/>
          <w:rtl/>
        </w:rPr>
        <w:t>بالأ</w:t>
      </w:r>
      <w:r w:rsidRPr="004D6527">
        <w:rPr>
          <w:rFonts w:hint="cs"/>
          <w:sz w:val="24"/>
          <w:szCs w:val="28"/>
          <w:rtl/>
        </w:rPr>
        <w:t>ستاذ</w:t>
      </w:r>
      <w:r w:rsidR="002F249E" w:rsidRPr="004D6527">
        <w:rPr>
          <w:rFonts w:hint="cs"/>
          <w:sz w:val="24"/>
          <w:szCs w:val="28"/>
          <w:rtl/>
        </w:rPr>
        <w:t xml:space="preserve"> الشيخ</w:t>
      </w:r>
      <w:r w:rsidRPr="004D6527">
        <w:rPr>
          <w:sz w:val="24"/>
          <w:szCs w:val="28"/>
          <w:rtl/>
        </w:rPr>
        <w:t xml:space="preserve"> </w:t>
      </w:r>
      <w:r w:rsidRPr="004D6527">
        <w:rPr>
          <w:rFonts w:hint="cs"/>
          <w:sz w:val="24"/>
          <w:szCs w:val="28"/>
          <w:rtl/>
        </w:rPr>
        <w:t>المنتظري</w:t>
      </w:r>
    </w:p>
    <w:p w:rsidR="00084C16" w:rsidRPr="004D6527" w:rsidRDefault="00084C16"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در محضر فقيه آزاده </w:t>
      </w:r>
      <w:r w:rsidR="00922EE7" w:rsidRPr="004D6527">
        <w:rPr>
          <w:rFonts w:ascii="Mosawi" w:hAnsi="Mosawi" w:hint="cs"/>
          <w:szCs w:val="28"/>
          <w:rtl/>
        </w:rPr>
        <w:t>(</w:t>
      </w:r>
      <w:r w:rsidR="00922EE7" w:rsidRPr="004D6527">
        <w:rPr>
          <w:rFonts w:ascii="Mosawi" w:hAnsi="Mosawi"/>
          <w:szCs w:val="28"/>
          <w:rtl/>
        </w:rPr>
        <w:t>في خدمة الفقيه الحرّ</w:t>
      </w:r>
      <w:r w:rsidR="00922EE7" w:rsidRPr="004D6527">
        <w:rPr>
          <w:rFonts w:ascii="Mosawi" w:hAnsi="Mosawi" w:hint="cs"/>
          <w:szCs w:val="28"/>
          <w:rtl/>
        </w:rPr>
        <w:t>)</w:t>
      </w:r>
      <w:r w:rsidR="00205726" w:rsidRPr="004D6527">
        <w:rPr>
          <w:rFonts w:ascii="Mosawi" w:hAnsi="Mosawi" w:hint="cs"/>
          <w:szCs w:val="28"/>
          <w:rtl/>
        </w:rPr>
        <w:t>، 2014م</w:t>
      </w:r>
    </w:p>
    <w:p w:rsidR="00084C16" w:rsidRPr="004D6527" w:rsidRDefault="00084C16"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سوگنامه فقيه پاکباز </w:t>
      </w:r>
      <w:r w:rsidR="00922EE7" w:rsidRPr="004D6527">
        <w:rPr>
          <w:rFonts w:ascii="Mosawi" w:hAnsi="Mosawi" w:hint="cs"/>
          <w:szCs w:val="28"/>
          <w:rtl/>
        </w:rPr>
        <w:t>(</w:t>
      </w:r>
      <w:r w:rsidR="00922EE7" w:rsidRPr="004D6527">
        <w:rPr>
          <w:rFonts w:ascii="Mosawi" w:hAnsi="Mosawi"/>
          <w:szCs w:val="28"/>
          <w:rtl/>
        </w:rPr>
        <w:t>نعي الفقيه المخلص</w:t>
      </w:r>
      <w:r w:rsidR="00922EE7" w:rsidRPr="004D6527">
        <w:rPr>
          <w:rFonts w:ascii="Mosawi" w:hAnsi="Mosawi" w:hint="cs"/>
          <w:szCs w:val="28"/>
          <w:rtl/>
        </w:rPr>
        <w:t>)</w:t>
      </w:r>
      <w:r w:rsidR="00205726" w:rsidRPr="004D6527">
        <w:rPr>
          <w:rFonts w:ascii="Mosawi" w:hAnsi="Mosawi" w:hint="cs"/>
          <w:szCs w:val="28"/>
          <w:rtl/>
        </w:rPr>
        <w:t>، 2014م</w:t>
      </w:r>
    </w:p>
    <w:p w:rsidR="00922EE7" w:rsidRPr="004D6527" w:rsidRDefault="00922EE7" w:rsidP="00922EE7">
      <w:pPr>
        <w:rPr>
          <w:sz w:val="16"/>
          <w:szCs w:val="18"/>
        </w:rPr>
      </w:pPr>
    </w:p>
    <w:p w:rsidR="00084C16" w:rsidRPr="004D6527" w:rsidRDefault="00084C16" w:rsidP="00922EE7">
      <w:pPr>
        <w:pStyle w:val="Heading3"/>
        <w:spacing w:after="0"/>
        <w:rPr>
          <w:sz w:val="24"/>
          <w:szCs w:val="28"/>
        </w:rPr>
      </w:pPr>
      <w:r w:rsidRPr="004D6527">
        <w:rPr>
          <w:sz w:val="24"/>
          <w:szCs w:val="28"/>
          <w:rtl/>
        </w:rPr>
        <w:t>مجموعة مواجهة ال</w:t>
      </w:r>
      <w:r w:rsidRPr="004D6527">
        <w:rPr>
          <w:rFonts w:hint="cs"/>
          <w:sz w:val="24"/>
          <w:szCs w:val="28"/>
          <w:rtl/>
        </w:rPr>
        <w:t>جمهورية</w:t>
      </w:r>
      <w:r w:rsidRPr="004D6527">
        <w:rPr>
          <w:sz w:val="24"/>
          <w:szCs w:val="28"/>
          <w:rtl/>
        </w:rPr>
        <w:t xml:space="preserve"> </w:t>
      </w:r>
      <w:r w:rsidR="00922EE7" w:rsidRPr="004D6527">
        <w:rPr>
          <w:rFonts w:hint="cs"/>
          <w:sz w:val="24"/>
          <w:szCs w:val="28"/>
          <w:rtl/>
        </w:rPr>
        <w:t>الإ</w:t>
      </w:r>
      <w:r w:rsidRPr="004D6527">
        <w:rPr>
          <w:rFonts w:hint="cs"/>
          <w:sz w:val="24"/>
          <w:szCs w:val="28"/>
          <w:rtl/>
        </w:rPr>
        <w:t>سلامية</w:t>
      </w:r>
      <w:r w:rsidRPr="004D6527">
        <w:rPr>
          <w:sz w:val="24"/>
          <w:szCs w:val="28"/>
          <w:rtl/>
        </w:rPr>
        <w:t xml:space="preserve"> </w:t>
      </w:r>
      <w:r w:rsidRPr="004D6527">
        <w:rPr>
          <w:rFonts w:hint="cs"/>
          <w:sz w:val="24"/>
          <w:szCs w:val="28"/>
          <w:rtl/>
        </w:rPr>
        <w:t>للعلماء</w:t>
      </w:r>
      <w:r w:rsidRPr="004D6527">
        <w:rPr>
          <w:sz w:val="24"/>
          <w:szCs w:val="28"/>
          <w:rtl/>
        </w:rPr>
        <w:t xml:space="preserve"> </w:t>
      </w:r>
      <w:r w:rsidRPr="004D6527">
        <w:rPr>
          <w:rFonts w:hint="cs"/>
          <w:sz w:val="24"/>
          <w:szCs w:val="28"/>
          <w:rtl/>
        </w:rPr>
        <w:t>المنتقدين</w:t>
      </w:r>
    </w:p>
    <w:p w:rsidR="00084C16" w:rsidRPr="004D6527" w:rsidRDefault="00084C16" w:rsidP="00922EE7">
      <w:pPr>
        <w:pStyle w:val="ListParagraph"/>
        <w:widowControl/>
        <w:numPr>
          <w:ilvl w:val="0"/>
          <w:numId w:val="2"/>
        </w:numPr>
        <w:spacing w:line="192" w:lineRule="auto"/>
        <w:jc w:val="left"/>
        <w:rPr>
          <w:rFonts w:ascii="Mosawi" w:hAnsi="Mosawi"/>
          <w:szCs w:val="28"/>
        </w:rPr>
      </w:pPr>
      <w:r w:rsidRPr="004D6527">
        <w:rPr>
          <w:rFonts w:ascii="Mosawi" w:hAnsi="Mosawi"/>
          <w:szCs w:val="28"/>
          <w:rtl/>
        </w:rPr>
        <w:t>اس</w:t>
      </w:r>
      <w:r w:rsidR="00922EE7" w:rsidRPr="004D6527">
        <w:rPr>
          <w:rFonts w:ascii="Mosawi" w:hAnsi="Mosawi"/>
          <w:szCs w:val="28"/>
          <w:rtl/>
        </w:rPr>
        <w:t xml:space="preserve">نادي از شكسته شدن ناموس انقلاب </w:t>
      </w:r>
      <w:r w:rsidR="00922EE7" w:rsidRPr="004D6527">
        <w:rPr>
          <w:rFonts w:ascii="Mosawi" w:hAnsi="Mosawi" w:hint="cs"/>
          <w:szCs w:val="28"/>
          <w:rtl/>
        </w:rPr>
        <w:t>(</w:t>
      </w:r>
      <w:r w:rsidRPr="004D6527">
        <w:rPr>
          <w:rFonts w:ascii="Mosawi" w:hAnsi="Mosawi"/>
          <w:szCs w:val="28"/>
          <w:rtl/>
        </w:rPr>
        <w:t>وث</w:t>
      </w:r>
      <w:r w:rsidR="00922EE7" w:rsidRPr="004D6527">
        <w:rPr>
          <w:rFonts w:ascii="Mosawi" w:hAnsi="Mosawi"/>
          <w:szCs w:val="28"/>
          <w:rtl/>
        </w:rPr>
        <w:t xml:space="preserve">ائق حول </w:t>
      </w:r>
      <w:r w:rsidR="00205726" w:rsidRPr="004D6527">
        <w:rPr>
          <w:rFonts w:ascii="Mosawi" w:hAnsi="Mosawi" w:hint="cs"/>
          <w:szCs w:val="28"/>
          <w:rtl/>
        </w:rPr>
        <w:t xml:space="preserve">سنوات متأخرة من حيات </w:t>
      </w:r>
      <w:r w:rsidR="004D6527" w:rsidRPr="004D6527">
        <w:rPr>
          <w:rFonts w:ascii="Mosawi" w:hAnsi="Mosawi" w:hint="cs"/>
          <w:szCs w:val="28"/>
          <w:rtl/>
        </w:rPr>
        <w:t xml:space="preserve">المرجع الديني </w:t>
      </w:r>
      <w:r w:rsidR="00922EE7" w:rsidRPr="004D6527">
        <w:rPr>
          <w:rFonts w:ascii="Mosawi" w:hAnsi="Mosawi"/>
          <w:szCs w:val="28"/>
          <w:rtl/>
        </w:rPr>
        <w:t>السيد كاظم الشريعتمداري</w:t>
      </w:r>
      <w:r w:rsidR="00922EE7" w:rsidRPr="004D6527">
        <w:rPr>
          <w:rFonts w:ascii="Mosawi" w:hAnsi="Mosawi" w:hint="cs"/>
          <w:szCs w:val="28"/>
          <w:rtl/>
        </w:rPr>
        <w:t>)</w:t>
      </w:r>
      <w:r w:rsidR="004D6527" w:rsidRPr="004D6527">
        <w:rPr>
          <w:rFonts w:ascii="Mosawi" w:hAnsi="Mosawi" w:hint="cs"/>
          <w:szCs w:val="28"/>
          <w:rtl/>
        </w:rPr>
        <w:t>، 2014م</w:t>
      </w:r>
    </w:p>
    <w:p w:rsidR="00084C16" w:rsidRPr="004D6527" w:rsidRDefault="00084C16" w:rsidP="004D6527">
      <w:pPr>
        <w:pStyle w:val="ListParagraph"/>
        <w:widowControl/>
        <w:numPr>
          <w:ilvl w:val="0"/>
          <w:numId w:val="2"/>
        </w:numPr>
        <w:spacing w:line="192" w:lineRule="auto"/>
        <w:jc w:val="left"/>
        <w:rPr>
          <w:rFonts w:ascii="Mosawi" w:hAnsi="Mosawi"/>
          <w:szCs w:val="28"/>
        </w:rPr>
      </w:pPr>
      <w:r w:rsidRPr="004D6527">
        <w:rPr>
          <w:rFonts w:ascii="Mosawi" w:hAnsi="Mosawi"/>
          <w:szCs w:val="28"/>
          <w:rtl/>
        </w:rPr>
        <w:t xml:space="preserve">فراز و فرود آذري قمي </w:t>
      </w:r>
      <w:r w:rsidR="00922EE7" w:rsidRPr="004D6527">
        <w:rPr>
          <w:rFonts w:ascii="Mosawi" w:hAnsi="Mosawi" w:hint="cs"/>
          <w:szCs w:val="28"/>
          <w:rtl/>
        </w:rPr>
        <w:t>(</w:t>
      </w:r>
      <w:r w:rsidR="004D6527" w:rsidRPr="004D6527">
        <w:rPr>
          <w:rFonts w:ascii="Mosawi" w:hAnsi="Mosawi" w:hint="cs"/>
          <w:szCs w:val="28"/>
          <w:rtl/>
        </w:rPr>
        <w:t>رصد التحولات الفكرية ل</w:t>
      </w:r>
      <w:r w:rsidR="00922EE7" w:rsidRPr="004D6527">
        <w:rPr>
          <w:rFonts w:ascii="Mosawi" w:hAnsi="Mosawi"/>
          <w:szCs w:val="28"/>
          <w:rtl/>
        </w:rPr>
        <w:t xml:space="preserve">لشيخ </w:t>
      </w:r>
      <w:r w:rsidR="00922EE7" w:rsidRPr="004D6527">
        <w:rPr>
          <w:rFonts w:ascii="Mosawi" w:hAnsi="Mosawi" w:hint="cs"/>
          <w:szCs w:val="28"/>
          <w:rtl/>
        </w:rPr>
        <w:t>أ</w:t>
      </w:r>
      <w:r w:rsidRPr="004D6527">
        <w:rPr>
          <w:rFonts w:ascii="Mosawi" w:hAnsi="Mosawi"/>
          <w:szCs w:val="28"/>
          <w:rtl/>
        </w:rPr>
        <w:t>حمد آذري القمي</w:t>
      </w:r>
      <w:r w:rsidR="00922EE7" w:rsidRPr="004D6527">
        <w:rPr>
          <w:rFonts w:ascii="Mosawi" w:hAnsi="Mosawi" w:hint="cs"/>
          <w:szCs w:val="28"/>
          <w:rtl/>
        </w:rPr>
        <w:t>)</w:t>
      </w:r>
      <w:r w:rsidR="004D6527" w:rsidRPr="004D6527">
        <w:rPr>
          <w:rFonts w:ascii="Mosawi" w:hAnsi="Mosawi" w:hint="cs"/>
          <w:szCs w:val="28"/>
          <w:rtl/>
        </w:rPr>
        <w:t>، 2014م</w:t>
      </w:r>
    </w:p>
    <w:p w:rsidR="00084C16" w:rsidRDefault="00084C16" w:rsidP="004D6527">
      <w:pPr>
        <w:pStyle w:val="ListParagraph"/>
        <w:widowControl/>
        <w:numPr>
          <w:ilvl w:val="0"/>
          <w:numId w:val="2"/>
        </w:numPr>
        <w:spacing w:line="192" w:lineRule="auto"/>
        <w:jc w:val="left"/>
        <w:rPr>
          <w:rFonts w:ascii="Mosawi" w:hAnsi="Mosawi"/>
          <w:szCs w:val="28"/>
        </w:rPr>
      </w:pPr>
      <w:r w:rsidRPr="004D6527">
        <w:rPr>
          <w:rFonts w:ascii="Mosawi" w:hAnsi="Mosawi"/>
          <w:szCs w:val="28"/>
          <w:rtl/>
        </w:rPr>
        <w:t>ا</w:t>
      </w:r>
      <w:r w:rsidR="00922EE7" w:rsidRPr="004D6527">
        <w:rPr>
          <w:rFonts w:ascii="Mosawi" w:hAnsi="Mosawi"/>
          <w:szCs w:val="28"/>
          <w:rtl/>
        </w:rPr>
        <w:t xml:space="preserve">نقلاب ونظام در بوته نقد اخلاقي </w:t>
      </w:r>
      <w:r w:rsidR="00922EE7" w:rsidRPr="004D6527">
        <w:rPr>
          <w:rFonts w:ascii="Mosawi" w:hAnsi="Mosawi" w:hint="cs"/>
          <w:szCs w:val="28"/>
          <w:rtl/>
        </w:rPr>
        <w:t>(</w:t>
      </w:r>
      <w:r w:rsidR="004D6527" w:rsidRPr="004D6527">
        <w:rPr>
          <w:rFonts w:ascii="Mosawi" w:hAnsi="Mosawi" w:hint="cs"/>
          <w:szCs w:val="28"/>
          <w:rtl/>
        </w:rPr>
        <w:t>تجربة المرجع الديني السيد محمد الروحاني</w:t>
      </w:r>
      <w:r w:rsidR="00922EE7" w:rsidRPr="004D6527">
        <w:rPr>
          <w:rFonts w:ascii="Mosawi" w:hAnsi="Mosawi" w:hint="cs"/>
          <w:szCs w:val="28"/>
          <w:rtl/>
        </w:rPr>
        <w:t>)</w:t>
      </w:r>
      <w:r w:rsidR="004D6527" w:rsidRPr="004D6527">
        <w:rPr>
          <w:rFonts w:ascii="Mosawi" w:hAnsi="Mosawi" w:hint="cs"/>
          <w:szCs w:val="28"/>
          <w:rtl/>
        </w:rPr>
        <w:t>، 2014م</w:t>
      </w:r>
    </w:p>
    <w:p w:rsidR="004D6527" w:rsidRPr="004D6527" w:rsidRDefault="004D6527" w:rsidP="004D6527"/>
    <w:p w:rsidR="00922EE7" w:rsidRPr="004D6527" w:rsidRDefault="00922EE7" w:rsidP="00922EE7">
      <w:pPr>
        <w:rPr>
          <w:sz w:val="4"/>
          <w:szCs w:val="6"/>
        </w:rPr>
      </w:pPr>
    </w:p>
    <w:p w:rsidR="00084C16" w:rsidRPr="004D6527" w:rsidRDefault="00084C16" w:rsidP="00922EE7">
      <w:pPr>
        <w:pStyle w:val="Heading3"/>
        <w:spacing w:after="0"/>
        <w:rPr>
          <w:sz w:val="24"/>
          <w:szCs w:val="28"/>
        </w:rPr>
      </w:pPr>
      <w:r w:rsidRPr="004D6527">
        <w:rPr>
          <w:sz w:val="24"/>
          <w:szCs w:val="28"/>
          <w:rtl/>
        </w:rPr>
        <w:t xml:space="preserve">مجموعة </w:t>
      </w:r>
      <w:r w:rsidR="00922EE7" w:rsidRPr="004D6527">
        <w:rPr>
          <w:rFonts w:hint="cs"/>
          <w:sz w:val="24"/>
          <w:szCs w:val="28"/>
          <w:rtl/>
        </w:rPr>
        <w:t>أ</w:t>
      </w:r>
      <w:r w:rsidRPr="004D6527">
        <w:rPr>
          <w:rFonts w:hint="cs"/>
          <w:sz w:val="24"/>
          <w:szCs w:val="28"/>
          <w:rtl/>
        </w:rPr>
        <w:t>فضل</w:t>
      </w:r>
      <w:r w:rsidRPr="004D6527">
        <w:rPr>
          <w:sz w:val="24"/>
          <w:szCs w:val="28"/>
          <w:rtl/>
        </w:rPr>
        <w:t xml:space="preserve"> </w:t>
      </w:r>
      <w:r w:rsidRPr="004D6527">
        <w:rPr>
          <w:rFonts w:hint="cs"/>
          <w:sz w:val="24"/>
          <w:szCs w:val="28"/>
          <w:rtl/>
        </w:rPr>
        <w:t>الجهاد</w:t>
      </w:r>
    </w:p>
    <w:p w:rsidR="00084C16" w:rsidRPr="004D6527" w:rsidRDefault="00084C16" w:rsidP="002F249E">
      <w:pPr>
        <w:pStyle w:val="ListParagraph"/>
        <w:widowControl/>
        <w:numPr>
          <w:ilvl w:val="0"/>
          <w:numId w:val="3"/>
        </w:numPr>
        <w:spacing w:line="192" w:lineRule="auto"/>
        <w:jc w:val="left"/>
        <w:rPr>
          <w:rFonts w:ascii="Mosawi" w:hAnsi="Mosawi"/>
          <w:szCs w:val="28"/>
        </w:rPr>
      </w:pPr>
      <w:r w:rsidRPr="004D6527">
        <w:rPr>
          <w:rFonts w:ascii="Mosawi" w:hAnsi="Mosawi"/>
          <w:szCs w:val="28"/>
          <w:rtl/>
        </w:rPr>
        <w:t xml:space="preserve">استيضاح رهبري </w:t>
      </w:r>
      <w:r w:rsidR="00922EE7" w:rsidRPr="004D6527">
        <w:rPr>
          <w:rFonts w:ascii="Mosawi" w:hAnsi="Mosawi" w:hint="cs"/>
          <w:szCs w:val="28"/>
          <w:rtl/>
        </w:rPr>
        <w:t>(</w:t>
      </w:r>
      <w:r w:rsidR="002F249E" w:rsidRPr="004D6527">
        <w:rPr>
          <w:rFonts w:ascii="Mosawi" w:hAnsi="Mosawi" w:hint="cs"/>
          <w:szCs w:val="28"/>
          <w:rtl/>
        </w:rPr>
        <w:t>تساؤلات حول قيادة السيد الخامنئي</w:t>
      </w:r>
      <w:r w:rsidR="00922EE7" w:rsidRPr="004D6527">
        <w:rPr>
          <w:rFonts w:ascii="Mosawi" w:hAnsi="Mosawi" w:hint="cs"/>
          <w:szCs w:val="28"/>
          <w:rtl/>
        </w:rPr>
        <w:t>)</w:t>
      </w:r>
      <w:r w:rsidR="004D6527" w:rsidRPr="004D6527">
        <w:rPr>
          <w:rFonts w:ascii="Mosawi" w:hAnsi="Mosawi" w:hint="cs"/>
          <w:szCs w:val="28"/>
          <w:rtl/>
        </w:rPr>
        <w:t>، 2014م</w:t>
      </w:r>
    </w:p>
    <w:p w:rsidR="00084C16" w:rsidRDefault="00922EE7" w:rsidP="002F249E">
      <w:pPr>
        <w:pStyle w:val="ListParagraph"/>
        <w:widowControl/>
        <w:numPr>
          <w:ilvl w:val="0"/>
          <w:numId w:val="3"/>
        </w:numPr>
        <w:spacing w:line="192" w:lineRule="auto"/>
        <w:jc w:val="left"/>
        <w:rPr>
          <w:rFonts w:ascii="Mosawi" w:hAnsi="Mosawi"/>
          <w:szCs w:val="28"/>
        </w:rPr>
      </w:pPr>
      <w:r w:rsidRPr="004D6527">
        <w:rPr>
          <w:rFonts w:ascii="Mosawi" w:hAnsi="Mosawi"/>
          <w:szCs w:val="28"/>
          <w:rtl/>
        </w:rPr>
        <w:t xml:space="preserve">ابتذال مرجعيت شيعه </w:t>
      </w:r>
      <w:r w:rsidRPr="004D6527">
        <w:rPr>
          <w:rFonts w:ascii="Mosawi" w:hAnsi="Mosawi" w:hint="cs"/>
          <w:szCs w:val="28"/>
          <w:rtl/>
        </w:rPr>
        <w:t>(</w:t>
      </w:r>
      <w:r w:rsidR="002F249E" w:rsidRPr="004D6527">
        <w:rPr>
          <w:rFonts w:ascii="Mosawi" w:hAnsi="Mosawi" w:hint="cs"/>
          <w:szCs w:val="28"/>
          <w:rtl/>
        </w:rPr>
        <w:t>تساؤلات حول مرجعية السيد الخامنئي</w:t>
      </w:r>
      <w:r w:rsidRPr="004D6527">
        <w:rPr>
          <w:rFonts w:ascii="Mosawi" w:hAnsi="Mosawi" w:hint="cs"/>
          <w:szCs w:val="28"/>
          <w:rtl/>
        </w:rPr>
        <w:t>)</w:t>
      </w:r>
      <w:r w:rsidR="004D6527" w:rsidRPr="004D6527">
        <w:rPr>
          <w:rFonts w:ascii="Mosawi" w:hAnsi="Mosawi" w:hint="cs"/>
          <w:szCs w:val="28"/>
          <w:rtl/>
        </w:rPr>
        <w:t>، 2014م</w:t>
      </w:r>
    </w:p>
    <w:p w:rsidR="004D6527" w:rsidRPr="004D6527" w:rsidRDefault="004D6527" w:rsidP="004D6527"/>
    <w:p w:rsidR="00922EE7" w:rsidRPr="004D6527" w:rsidRDefault="00922EE7" w:rsidP="00922EE7">
      <w:pPr>
        <w:rPr>
          <w:sz w:val="8"/>
          <w:szCs w:val="10"/>
        </w:rPr>
      </w:pPr>
    </w:p>
    <w:p w:rsidR="00084C16" w:rsidRPr="004D6527" w:rsidRDefault="00922EE7" w:rsidP="00922EE7">
      <w:pPr>
        <w:pStyle w:val="Heading3"/>
        <w:spacing w:after="0"/>
        <w:rPr>
          <w:sz w:val="24"/>
          <w:szCs w:val="28"/>
        </w:rPr>
      </w:pPr>
      <w:r w:rsidRPr="004D6527">
        <w:rPr>
          <w:sz w:val="24"/>
          <w:szCs w:val="28"/>
          <w:rtl/>
        </w:rPr>
        <w:t>مجموعة ال</w:t>
      </w:r>
      <w:r w:rsidRPr="004D6527">
        <w:rPr>
          <w:rFonts w:hint="cs"/>
          <w:sz w:val="24"/>
          <w:szCs w:val="28"/>
          <w:rtl/>
        </w:rPr>
        <w:t>إ</w:t>
      </w:r>
      <w:r w:rsidR="004D6527" w:rsidRPr="004D6527">
        <w:rPr>
          <w:sz w:val="24"/>
          <w:szCs w:val="28"/>
          <w:rtl/>
        </w:rPr>
        <w:t>سلام وحقوق ال</w:t>
      </w:r>
      <w:r w:rsidR="004D6527" w:rsidRPr="004D6527">
        <w:rPr>
          <w:rFonts w:hint="cs"/>
          <w:sz w:val="24"/>
          <w:szCs w:val="28"/>
          <w:rtl/>
        </w:rPr>
        <w:t>إ</w:t>
      </w:r>
      <w:r w:rsidR="00084C16" w:rsidRPr="004D6527">
        <w:rPr>
          <w:sz w:val="24"/>
          <w:szCs w:val="28"/>
          <w:rtl/>
        </w:rPr>
        <w:t>نسا</w:t>
      </w:r>
      <w:r w:rsidR="00084C16" w:rsidRPr="004D6527">
        <w:rPr>
          <w:rFonts w:hint="cs"/>
          <w:sz w:val="24"/>
          <w:szCs w:val="28"/>
          <w:rtl/>
        </w:rPr>
        <w:t>ن</w:t>
      </w:r>
    </w:p>
    <w:p w:rsidR="00084C16" w:rsidRDefault="00922EE7" w:rsidP="00922EE7">
      <w:pPr>
        <w:pStyle w:val="ListParagraph"/>
        <w:widowControl/>
        <w:numPr>
          <w:ilvl w:val="0"/>
          <w:numId w:val="1"/>
        </w:numPr>
        <w:spacing w:line="192" w:lineRule="auto"/>
        <w:jc w:val="left"/>
        <w:rPr>
          <w:rFonts w:ascii="Mosawi" w:hAnsi="Mosawi"/>
          <w:szCs w:val="28"/>
        </w:rPr>
      </w:pPr>
      <w:r w:rsidRPr="004D6527">
        <w:rPr>
          <w:rFonts w:ascii="Mosawi" w:hAnsi="Mosawi"/>
          <w:szCs w:val="28"/>
          <w:rtl/>
        </w:rPr>
        <w:t xml:space="preserve">مجازات ارتداد و آزادي مذهب </w:t>
      </w:r>
      <w:r w:rsidRPr="004D6527">
        <w:rPr>
          <w:rFonts w:ascii="Mosawi" w:hAnsi="Mosawi" w:hint="cs"/>
          <w:szCs w:val="28"/>
          <w:rtl/>
        </w:rPr>
        <w:t>(</w:t>
      </w:r>
      <w:r w:rsidRPr="004D6527">
        <w:rPr>
          <w:rFonts w:ascii="Mosawi" w:hAnsi="Mosawi"/>
          <w:szCs w:val="28"/>
          <w:rtl/>
        </w:rPr>
        <w:t>عقاب الارتداد وحرية الدين</w:t>
      </w:r>
      <w:r w:rsidRPr="004D6527">
        <w:rPr>
          <w:rFonts w:ascii="Mosawi" w:hAnsi="Mosawi" w:hint="cs"/>
          <w:szCs w:val="28"/>
          <w:rtl/>
        </w:rPr>
        <w:t>)</w:t>
      </w:r>
      <w:r w:rsidR="004D6527" w:rsidRPr="004D6527">
        <w:rPr>
          <w:rFonts w:ascii="Mosawi" w:hAnsi="Mosawi" w:hint="cs"/>
          <w:szCs w:val="28"/>
          <w:rtl/>
        </w:rPr>
        <w:t>، 2014م</w:t>
      </w:r>
    </w:p>
    <w:p w:rsidR="00F93F13" w:rsidRDefault="00F93F13" w:rsidP="00F93F13">
      <w:pPr>
        <w:widowControl/>
        <w:spacing w:line="192" w:lineRule="auto"/>
        <w:jc w:val="left"/>
        <w:rPr>
          <w:rFonts w:ascii="Mosawi" w:hAnsi="Mosawi"/>
          <w:szCs w:val="28"/>
        </w:rPr>
      </w:pPr>
    </w:p>
    <w:p w:rsidR="00F93F13" w:rsidRPr="004D6527" w:rsidRDefault="00425B3D" w:rsidP="00F93F13">
      <w:pPr>
        <w:pStyle w:val="Heading3"/>
        <w:spacing w:after="0"/>
        <w:rPr>
          <w:sz w:val="24"/>
          <w:szCs w:val="28"/>
        </w:rPr>
      </w:pPr>
      <w:r>
        <w:rPr>
          <w:rFonts w:hint="cs"/>
          <w:sz w:val="24"/>
          <w:szCs w:val="28"/>
          <w:rtl/>
        </w:rPr>
        <w:t xml:space="preserve">مجموعة </w:t>
      </w:r>
      <w:r w:rsidR="00F93F13">
        <w:rPr>
          <w:rFonts w:hint="cs"/>
          <w:sz w:val="24"/>
          <w:szCs w:val="28"/>
          <w:rtl/>
        </w:rPr>
        <w:t>الحركة الخضراء</w:t>
      </w:r>
    </w:p>
    <w:p w:rsidR="00084C16" w:rsidRDefault="00084C16" w:rsidP="00AA2BEA">
      <w:pPr>
        <w:pStyle w:val="ListParagraph"/>
        <w:widowControl/>
        <w:numPr>
          <w:ilvl w:val="0"/>
          <w:numId w:val="1"/>
        </w:numPr>
        <w:spacing w:line="192" w:lineRule="auto"/>
        <w:rPr>
          <w:rtl/>
        </w:rPr>
      </w:pPr>
      <w:r w:rsidRPr="004D6527">
        <w:rPr>
          <w:rFonts w:ascii="Mosawi" w:hAnsi="Mosawi"/>
          <w:szCs w:val="28"/>
          <w:rtl/>
        </w:rPr>
        <w:t>نداي سبز:</w:t>
      </w:r>
      <w:r w:rsidR="00922EE7" w:rsidRPr="004D6527">
        <w:rPr>
          <w:rFonts w:ascii="Mosawi" w:hAnsi="Mosawi"/>
          <w:szCs w:val="28"/>
          <w:rtl/>
        </w:rPr>
        <w:t xml:space="preserve"> روايتي از جنبش سبز مردم ايران </w:t>
      </w:r>
      <w:r w:rsidR="00922EE7" w:rsidRPr="004D6527">
        <w:rPr>
          <w:rFonts w:ascii="Mosawi" w:hAnsi="Mosawi" w:hint="cs"/>
          <w:szCs w:val="28"/>
          <w:rtl/>
        </w:rPr>
        <w:t>(</w:t>
      </w:r>
      <w:r w:rsidRPr="004D6527">
        <w:rPr>
          <w:rFonts w:ascii="Mosawi" w:hAnsi="Mosawi"/>
          <w:szCs w:val="28"/>
          <w:rtl/>
        </w:rPr>
        <w:t>تقرير عن الحركة الخضراء في</w:t>
      </w:r>
      <w:r w:rsidR="00922EE7" w:rsidRPr="004D6527">
        <w:rPr>
          <w:rFonts w:ascii="Mosawi" w:hAnsi="Mosawi"/>
          <w:szCs w:val="28"/>
          <w:rtl/>
        </w:rPr>
        <w:t xml:space="preserve"> </w:t>
      </w:r>
      <w:r w:rsidR="00922EE7" w:rsidRPr="004D6527">
        <w:rPr>
          <w:rFonts w:ascii="Mosawi" w:hAnsi="Mosawi" w:hint="cs"/>
          <w:szCs w:val="28"/>
          <w:rtl/>
        </w:rPr>
        <w:t>إ</w:t>
      </w:r>
      <w:r w:rsidR="00922EE7" w:rsidRPr="004D6527">
        <w:rPr>
          <w:rFonts w:ascii="Mosawi" w:hAnsi="Mosawi"/>
          <w:szCs w:val="28"/>
          <w:rtl/>
        </w:rPr>
        <w:t>يران</w:t>
      </w:r>
      <w:r w:rsidR="00922EE7" w:rsidRPr="004D6527">
        <w:rPr>
          <w:rFonts w:ascii="Mosawi" w:hAnsi="Mosawi" w:hint="cs"/>
          <w:szCs w:val="28"/>
          <w:rtl/>
        </w:rPr>
        <w:t>)</w:t>
      </w:r>
      <w:r w:rsidR="004D6527" w:rsidRPr="004D6527">
        <w:rPr>
          <w:rFonts w:ascii="Mosawi" w:hAnsi="Mosawi" w:hint="cs"/>
          <w:szCs w:val="28"/>
          <w:rtl/>
        </w:rPr>
        <w:t>، المجلد الأول، 2014م</w:t>
      </w:r>
      <w:r>
        <w:rPr>
          <w:rtl/>
        </w:rPr>
        <w:br w:type="page"/>
      </w:r>
    </w:p>
    <w:p w:rsidR="00AA2BEA" w:rsidRDefault="00AA2BEA" w:rsidP="00AA2BEA">
      <w:pPr>
        <w:rPr>
          <w:rtl/>
        </w:rPr>
      </w:pPr>
    </w:p>
    <w:p w:rsidR="00AA2BEA" w:rsidRDefault="00AA2BEA" w:rsidP="00AA2BEA">
      <w:pPr>
        <w:rPr>
          <w:rtl/>
        </w:rPr>
      </w:pPr>
    </w:p>
    <w:p w:rsidR="00AA2BEA" w:rsidRDefault="00AA2BEA" w:rsidP="00AA2BEA">
      <w:pPr>
        <w:rPr>
          <w:rtl/>
        </w:rPr>
      </w:pPr>
    </w:p>
    <w:p w:rsidR="00D21602" w:rsidRDefault="00D21602" w:rsidP="00D21602">
      <w:pPr>
        <w:jc w:val="center"/>
        <w:rPr>
          <w:rFonts w:cs="AL-Mateen"/>
          <w:sz w:val="44"/>
          <w:szCs w:val="50"/>
        </w:rPr>
      </w:pPr>
      <w:r>
        <w:rPr>
          <w:rFonts w:cs="AL-Mateen" w:hint="cs"/>
          <w:sz w:val="44"/>
          <w:szCs w:val="50"/>
          <w:rtl/>
        </w:rPr>
        <w:t>صدر من سلسلة كتاب الاجتهاد والتجديد</w:t>
      </w:r>
    </w:p>
    <w:p w:rsidR="00D21602" w:rsidRPr="00242950" w:rsidRDefault="00D21602" w:rsidP="00D21602">
      <w:pPr>
        <w:jc w:val="center"/>
        <w:rPr>
          <w:rFonts w:cs="AL-Mateen"/>
          <w:sz w:val="22"/>
          <w:szCs w:val="28"/>
        </w:rPr>
      </w:pPr>
    </w:p>
    <w:p w:rsidR="00D21602" w:rsidRDefault="00D21602" w:rsidP="00D21602">
      <w:pPr>
        <w:spacing w:line="360" w:lineRule="auto"/>
        <w:ind w:firstLine="0"/>
        <w:rPr>
          <w:rFonts w:cs="AL-Mohanad Bold"/>
          <w:sz w:val="30"/>
          <w:szCs w:val="36"/>
          <w:rtl/>
        </w:rPr>
      </w:pPr>
      <w:r>
        <w:rPr>
          <w:rFonts w:cs="AL-Mohanad Bold" w:hint="cs"/>
          <w:sz w:val="30"/>
          <w:szCs w:val="36"/>
          <w:rtl/>
        </w:rPr>
        <w:t xml:space="preserve">1ـ بحوث في فقه الاقتصاد الإسلامي. </w:t>
      </w:r>
    </w:p>
    <w:p w:rsidR="00D21602" w:rsidRDefault="00D21602" w:rsidP="00D21602">
      <w:pPr>
        <w:spacing w:line="360" w:lineRule="auto"/>
        <w:ind w:firstLine="0"/>
        <w:rPr>
          <w:rFonts w:cs="AL-Mohanad Bold"/>
          <w:sz w:val="30"/>
          <w:szCs w:val="36"/>
          <w:rtl/>
        </w:rPr>
      </w:pPr>
      <w:r>
        <w:rPr>
          <w:rFonts w:cs="AL-Mohanad Bold" w:hint="cs"/>
          <w:sz w:val="30"/>
          <w:szCs w:val="36"/>
          <w:rtl/>
        </w:rPr>
        <w:t xml:space="preserve">2ـ مقاربات في التجديد الفقهي. </w:t>
      </w:r>
    </w:p>
    <w:p w:rsidR="00D21602" w:rsidRDefault="00D21602" w:rsidP="00D21602">
      <w:pPr>
        <w:spacing w:line="360" w:lineRule="auto"/>
        <w:ind w:firstLine="0"/>
        <w:rPr>
          <w:rFonts w:cs="AL-Mohanad Bold"/>
          <w:sz w:val="30"/>
          <w:szCs w:val="36"/>
          <w:rtl/>
        </w:rPr>
      </w:pPr>
      <w:r>
        <w:rPr>
          <w:rFonts w:cs="AL-Mohanad Bold" w:hint="cs"/>
          <w:sz w:val="30"/>
          <w:szCs w:val="36"/>
          <w:rtl/>
        </w:rPr>
        <w:t>3ـ العنف والحريات الدينية، قراءات واجتهادات في الفقه الإسلامي.</w:t>
      </w:r>
    </w:p>
    <w:p w:rsidR="00D21602" w:rsidRDefault="00D21602" w:rsidP="00D21602">
      <w:pPr>
        <w:spacing w:line="360" w:lineRule="auto"/>
        <w:ind w:firstLine="0"/>
        <w:rPr>
          <w:rFonts w:cs="AL-Mohanad Bold"/>
          <w:sz w:val="30"/>
          <w:szCs w:val="36"/>
          <w:rtl/>
        </w:rPr>
      </w:pPr>
      <w:r>
        <w:rPr>
          <w:rFonts w:cs="AL-Mohanad Bold" w:hint="cs"/>
          <w:sz w:val="30"/>
          <w:szCs w:val="36"/>
          <w:rtl/>
        </w:rPr>
        <w:t>4 ـ فقه الحجاب في الشريعة الإسلاميّة، قراءات جديدة.</w:t>
      </w:r>
    </w:p>
    <w:p w:rsidR="00D21602" w:rsidRPr="00876394" w:rsidRDefault="00D21602" w:rsidP="00D21602">
      <w:pPr>
        <w:rPr>
          <w:rFonts w:eastAsia="Batang"/>
        </w:rPr>
      </w:pPr>
      <w:bookmarkStart w:id="76" w:name="_GoBack"/>
      <w:bookmarkEnd w:id="76"/>
    </w:p>
    <w:sectPr w:rsidR="00D21602" w:rsidRPr="00876394" w:rsidSect="00EA09EB">
      <w:headerReference w:type="even" r:id="rId83"/>
      <w:headerReference w:type="default" r:id="rId84"/>
      <w:headerReference w:type="first" r:id="rId85"/>
      <w:footnotePr>
        <w:numRestart w:val="eachPage"/>
      </w:footnotePr>
      <w:type w:val="oddPage"/>
      <w:pgSz w:w="11907" w:h="16840" w:code="9"/>
      <w:pgMar w:top="2835" w:right="2552" w:bottom="3232" w:left="2552" w:header="2268" w:footer="110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F13" w:rsidRDefault="00F93F13" w:rsidP="00E63D8A">
      <w:pPr>
        <w:spacing w:line="240" w:lineRule="auto"/>
      </w:pPr>
      <w:r>
        <w:separator/>
      </w:r>
    </w:p>
  </w:endnote>
  <w:endnote w:type="continuationSeparator" w:id="0">
    <w:p w:rsidR="00F93F13" w:rsidRDefault="00F93F13" w:rsidP="00E63D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 w:name="Mosawi">
    <w:panose1 w:val="02000000000000000000"/>
    <w:charset w:val="00"/>
    <w:family w:val="auto"/>
    <w:pitch w:val="variable"/>
    <w:sig w:usb0="00002007" w:usb1="80000000" w:usb2="00000008" w:usb3="00000000" w:csb0="00000043" w:csb1="00000000"/>
  </w:font>
  <w:font w:name="AL-Matee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Ya-Ali">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2  Elham">
    <w:panose1 w:val="00000400000000000000"/>
    <w:charset w:val="B2"/>
    <w:family w:val="auto"/>
    <w:pitch w:val="variable"/>
    <w:sig w:usb0="00002001" w:usb1="80000000" w:usb2="00000008" w:usb3="00000000" w:csb0="00000040" w:csb1="00000000"/>
  </w:font>
  <w:font w:name="Taher">
    <w:altName w:val="Courier New"/>
    <w:panose1 w:val="000004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AF_Najed">
    <w:panose1 w:val="00000000000000000000"/>
    <w:charset w:val="B2"/>
    <w:family w:val="auto"/>
    <w:pitch w:val="variable"/>
    <w:sig w:usb0="00002001" w:usb1="00000000" w:usb2="00000000" w:usb3="00000000" w:csb0="00000040" w:csb1="00000000"/>
  </w:font>
  <w:font w:name="AGA Islamic Phrases">
    <w:altName w:val="Courier New"/>
    <w:panose1 w:val="000004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bz-1 (Lotus)">
    <w:altName w:val="Courier New"/>
    <w:panose1 w:val="00000700000000000000"/>
    <w:charset w:val="B2"/>
    <w:family w:val="auto"/>
    <w:pitch w:val="variable"/>
    <w:sig w:usb0="00002001" w:usb1="00000000" w:usb2="00000000" w:usb3="00000000" w:csb0="00000040" w:csb1="00000000"/>
  </w:font>
  <w:font w:name="Roumouz">
    <w:altName w:val="Symbol"/>
    <w:panose1 w:val="05000000000000000000"/>
    <w:charset w:val="02"/>
    <w:family w:val="auto"/>
    <w:pitch w:val="variable"/>
    <w:sig w:usb0="00000000" w:usb1="10000000" w:usb2="00000000" w:usb3="00000000" w:csb0="80000000" w:csb1="00000000"/>
  </w:font>
  <w:font w:name="Helvetica">
    <w:panose1 w:val="020B0604020202030204"/>
    <w:charset w:val="00"/>
    <w:family w:val="swiss"/>
    <w:pitch w:val="variable"/>
    <w:sig w:usb0="00000007" w:usb1="00000000" w:usb2="00000000" w:usb3="00000000" w:csb0="00000093" w:csb1="00000000"/>
  </w:font>
  <w:font w:name="Microsoft Tai Le">
    <w:panose1 w:val="020B0502040204020203"/>
    <w:charset w:val="00"/>
    <w:family w:val="swiss"/>
    <w:pitch w:val="variable"/>
    <w:sig w:usb0="00000003" w:usb1="00000000" w:usb2="40000000" w:usb3="00000000" w:csb0="00000001" w:csb1="00000000"/>
  </w:font>
  <w:font w:name="SKR HEAD1">
    <w:panose1 w:val="00000000000000000000"/>
    <w:charset w:val="B2"/>
    <w:family w:val="auto"/>
    <w:pitch w:val="variable"/>
    <w:sig w:usb0="00002001" w:usb1="00000000" w:usb2="00000000" w:usb3="00000000" w:csb0="00000040" w:csb1="00000000"/>
  </w:font>
  <w:font w:name="Abz Roumouz">
    <w:altName w:val="Symbol"/>
    <w:charset w:val="02"/>
    <w:family w:val="auto"/>
    <w:pitch w:val="variable"/>
    <w:sig w:usb0="00000000" w:usb1="10000000" w:usb2="00000000" w:usb3="00000000" w:csb0="80000000" w:csb1="00000000"/>
  </w:font>
  <w:font w:name="Roumouz1">
    <w:altName w:val="Symbol"/>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NewPSMT">
    <w:altName w:val="Courier New"/>
    <w:panose1 w:val="00000000000000000000"/>
    <w:charset w:val="00"/>
    <w:family w:val="modern"/>
    <w:notTrueType/>
    <w:pitch w:val="default"/>
    <w:sig w:usb0="00000003" w:usb1="00000000" w:usb2="00000000" w:usb3="00000000" w:csb0="00000001" w:csb1="00000000"/>
  </w:font>
  <w:font w:name="IRBadr">
    <w:altName w:val="Segoe UI"/>
    <w:charset w:val="00"/>
    <w:family w:val="auto"/>
    <w:pitch w:val="variable"/>
    <w:sig w:usb0="00002003" w:usb1="00000000" w:usb2="00000000" w:usb3="00000000" w:csb0="00000041" w:csb1="00000000"/>
  </w:font>
  <w:font w:name="AL-Mohanad Bold">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F13" w:rsidRDefault="00F93F13" w:rsidP="00B41146">
      <w:pPr>
        <w:spacing w:line="240" w:lineRule="auto"/>
        <w:ind w:firstLine="0"/>
      </w:pPr>
      <w:r>
        <w:separator/>
      </w:r>
    </w:p>
  </w:footnote>
  <w:footnote w:type="continuationSeparator" w:id="0">
    <w:p w:rsidR="00F93F13" w:rsidRDefault="00F93F13" w:rsidP="00144239">
      <w:pPr>
        <w:spacing w:line="240" w:lineRule="auto"/>
        <w:ind w:firstLine="0"/>
      </w:pPr>
      <w:r>
        <w:continuationSeparator/>
      </w:r>
    </w:p>
  </w:footnote>
  <w:footnote w:type="continuationNotice" w:id="1">
    <w:p w:rsidR="00F93F13" w:rsidRPr="00A97582" w:rsidRDefault="00F93F13" w:rsidP="00A97582">
      <w:pPr>
        <w:bidi w:val="0"/>
        <w:spacing w:line="240" w:lineRule="auto"/>
        <w:ind w:firstLine="0"/>
        <w:rPr>
          <w:sz w:val="22"/>
          <w:szCs w:val="24"/>
        </w:rPr>
      </w:pPr>
      <w:r w:rsidRPr="00A97582">
        <w:rPr>
          <w:sz w:val="22"/>
          <w:szCs w:val="24"/>
        </w:rPr>
        <w:sym w:font="Wingdings 3" w:char="F095"/>
      </w:r>
    </w:p>
  </w:footnote>
  <w:footnote w:id="2">
    <w:p w:rsidR="00F93F13" w:rsidRPr="00064619" w:rsidRDefault="00F93F13" w:rsidP="00064619">
      <w:pPr>
        <w:pStyle w:val="FootnoteText"/>
      </w:pPr>
      <w:r w:rsidRPr="00064619">
        <w:rPr>
          <w:rtl/>
        </w:rPr>
        <w:t>(</w:t>
      </w:r>
      <w:r w:rsidRPr="00064619">
        <w:rPr>
          <w:rtl/>
        </w:rPr>
        <w:footnoteRef/>
      </w:r>
      <w:r w:rsidRPr="00064619">
        <w:rPr>
          <w:rtl/>
        </w:rPr>
        <w:t>) الثيوقراطية (</w:t>
      </w:r>
      <w:r w:rsidRPr="00064619">
        <w:t>theocracy</w:t>
      </w:r>
      <w:r w:rsidRPr="00064619">
        <w:rPr>
          <w:rtl/>
        </w:rPr>
        <w:t>): الحكومة الدينية، حكومة الكهنة، دولة خاضعة لحكم رجال الدين. (انظر: منير البعلبكي، المورد).</w:t>
      </w:r>
      <w:r>
        <w:rPr>
          <w:rFonts w:hint="cs"/>
          <w:rtl/>
        </w:rPr>
        <w:t xml:space="preserve"> المترجم.</w:t>
      </w:r>
    </w:p>
  </w:footnote>
  <w:footnote w:id="3">
    <w:p w:rsidR="00F93F13" w:rsidRPr="00064619" w:rsidRDefault="00F93F13" w:rsidP="00064619">
      <w:pPr>
        <w:pStyle w:val="FootnoteText"/>
      </w:pPr>
      <w:r w:rsidRPr="00064619">
        <w:rPr>
          <w:rtl/>
        </w:rPr>
        <w:t>(</w:t>
      </w:r>
      <w:r w:rsidRPr="00064619">
        <w:rPr>
          <w:rtl/>
        </w:rPr>
        <w:footnoteRef/>
      </w:r>
      <w:r w:rsidRPr="00064619">
        <w:rPr>
          <w:rtl/>
        </w:rPr>
        <w:t>) الأوتوقراطية (</w:t>
      </w:r>
      <w:r w:rsidRPr="00064619">
        <w:t>autocracy</w:t>
      </w:r>
      <w:r w:rsidRPr="00064619">
        <w:rPr>
          <w:rtl/>
        </w:rPr>
        <w:t>): حكومة الفرد المطلقة، حكم الفرد، جماعة أو دولة خاضعة لحكم فرد ذي سلطانٍ مطلق. (انظر: منير البعلبكي، المورد).</w:t>
      </w:r>
      <w:r>
        <w:rPr>
          <w:rFonts w:hint="cs"/>
          <w:rtl/>
        </w:rPr>
        <w:t xml:space="preserve"> المترجم.</w:t>
      </w:r>
    </w:p>
  </w:footnote>
  <w:footnote w:id="4">
    <w:p w:rsidR="00F93F13" w:rsidRPr="00064619" w:rsidRDefault="00F93F13" w:rsidP="00064619">
      <w:pPr>
        <w:pStyle w:val="FootnoteText"/>
        <w:rPr>
          <w:rtl/>
        </w:rPr>
      </w:pPr>
      <w:r w:rsidRPr="00064619">
        <w:rPr>
          <w:rtl/>
        </w:rPr>
        <w:t>(</w:t>
      </w:r>
      <w:r w:rsidRPr="00064619">
        <w:rPr>
          <w:rtl/>
        </w:rPr>
        <w:footnoteRef/>
      </w:r>
      <w:r w:rsidRPr="00064619">
        <w:rPr>
          <w:rtl/>
        </w:rPr>
        <w:t>) الديمقراطية (</w:t>
      </w:r>
      <w:r w:rsidRPr="00064619">
        <w:t>democracy</w:t>
      </w:r>
      <w:r w:rsidRPr="00064619">
        <w:rPr>
          <w:rtl/>
        </w:rPr>
        <w:t>): حكم الشعب، وبخاصة: حكم الأكثرية. (انظر: منير البعلبكي، المورد).</w:t>
      </w:r>
      <w:r>
        <w:rPr>
          <w:rFonts w:hint="cs"/>
          <w:rtl/>
        </w:rPr>
        <w:t xml:space="preserve"> المترجم.</w:t>
      </w:r>
    </w:p>
  </w:footnote>
  <w:footnote w:id="5">
    <w:p w:rsidR="00F93F13" w:rsidRPr="00064619" w:rsidRDefault="00F93F13" w:rsidP="00AD5743">
      <w:pPr>
        <w:pStyle w:val="FootnoteText"/>
        <w:rPr>
          <w:rtl/>
        </w:rPr>
      </w:pPr>
      <w:r w:rsidRPr="00064619">
        <w:rPr>
          <w:rtl/>
        </w:rPr>
        <w:t>(</w:t>
      </w:r>
      <w:r w:rsidRPr="00064619">
        <w:footnoteRef/>
      </w:r>
      <w:r w:rsidRPr="00064619">
        <w:rPr>
          <w:rtl/>
        </w:rPr>
        <w:t xml:space="preserve">) </w:t>
      </w:r>
      <w:r w:rsidRPr="00064619">
        <w:t>Fundamentalists</w:t>
      </w:r>
    </w:p>
  </w:footnote>
  <w:footnote w:id="6">
    <w:p w:rsidR="00F93F13" w:rsidRPr="00B5080E" w:rsidRDefault="00F93F13" w:rsidP="00064619">
      <w:pPr>
        <w:pStyle w:val="FootnoteText"/>
        <w:rPr>
          <w:color w:val="000000" w:themeColor="text1"/>
        </w:rPr>
      </w:pPr>
      <w:r w:rsidRPr="00064619">
        <w:rPr>
          <w:rtl/>
        </w:rPr>
        <w:t>(</w:t>
      </w:r>
      <w:r w:rsidRPr="00064619">
        <w:rPr>
          <w:rtl/>
        </w:rPr>
        <w:footnoteRef/>
      </w:r>
      <w:r w:rsidRPr="00064619">
        <w:rPr>
          <w:rtl/>
        </w:rPr>
        <w:t>) الحكومة التنصيبية، 316 صفحة، نسخة إلكترونية، عام 1393هـ.ش / 2014 م.</w:t>
      </w:r>
      <w:r>
        <w:rPr>
          <w:rFonts w:hint="cs"/>
          <w:rtl/>
        </w:rPr>
        <w:t xml:space="preserve"> متوفر في الموقع الإلكتر</w:t>
      </w:r>
      <w:r w:rsidRPr="00B5080E">
        <w:rPr>
          <w:rFonts w:hint="cs"/>
          <w:color w:val="000000" w:themeColor="text1"/>
          <w:rtl/>
        </w:rPr>
        <w:t>وني</w:t>
      </w:r>
      <w:r>
        <w:rPr>
          <w:rFonts w:hint="cs"/>
          <w:color w:val="000000" w:themeColor="text1"/>
          <w:rtl/>
        </w:rPr>
        <w:t xml:space="preserve"> للمؤلف</w:t>
      </w:r>
      <w:r w:rsidRPr="00B5080E">
        <w:rPr>
          <w:rFonts w:hint="cs"/>
          <w:color w:val="000000" w:themeColor="text1"/>
          <w:rtl/>
        </w:rPr>
        <w:t xml:space="preserve"> </w:t>
      </w:r>
      <w:r w:rsidRPr="00B5080E">
        <w:rPr>
          <w:rFonts w:ascii="Helvetica" w:hAnsi="Helvetica" w:cs="Helvetica"/>
          <w:color w:val="000000" w:themeColor="text1"/>
          <w:szCs w:val="28"/>
          <w:u w:color="386EFF"/>
        </w:rPr>
        <w:t>www.kadivar.com</w:t>
      </w:r>
      <w:r w:rsidRPr="00B5080E">
        <w:rPr>
          <w:rFonts w:ascii="Helvetica" w:hAnsi="Helvetica" w:cs="Helvetica" w:hint="cs"/>
          <w:color w:val="000000" w:themeColor="text1"/>
          <w:szCs w:val="28"/>
          <w:u w:color="386EFF"/>
          <w:rtl/>
        </w:rPr>
        <w:t>.</w:t>
      </w:r>
    </w:p>
  </w:footnote>
  <w:footnote w:id="7">
    <w:p w:rsidR="00F93F13" w:rsidRPr="00064619" w:rsidRDefault="00F93F13" w:rsidP="00064619">
      <w:pPr>
        <w:pStyle w:val="FootnoteText"/>
      </w:pPr>
      <w:r w:rsidRPr="00064619">
        <w:rPr>
          <w:rtl/>
        </w:rPr>
        <w:t>(</w:t>
      </w:r>
      <w:r w:rsidRPr="00064619">
        <w:rPr>
          <w:rtl/>
        </w:rPr>
        <w:footnoteRef/>
      </w:r>
      <w:r w:rsidRPr="00064619">
        <w:rPr>
          <w:rtl/>
        </w:rPr>
        <w:t>) إنّ مترجمة الكتاب إلى الأندونسية هي السيدة (</w:t>
      </w:r>
      <w:r w:rsidRPr="00064619">
        <w:t>Dudung Jumantarisawan</w:t>
      </w:r>
      <w:r w:rsidRPr="00064619">
        <w:rPr>
          <w:rtl/>
        </w:rPr>
        <w:t>) طالبة في حقل العلوم الإسلامية، وأما مترجم الكتاب إلى الإنجليزية فهو (</w:t>
      </w:r>
      <w:r w:rsidRPr="00064619">
        <w:t>Roy Parviz Mottahedeh</w:t>
      </w:r>
      <w:r>
        <w:rPr>
          <w:rtl/>
        </w:rPr>
        <w:t>) أستاذ في جامعة هارفارد</w:t>
      </w:r>
      <w:r>
        <w:t xml:space="preserve"> </w:t>
      </w:r>
      <w:r>
        <w:rPr>
          <w:rFonts w:hint="cs"/>
          <w:rtl/>
        </w:rPr>
        <w:t xml:space="preserve"> في أمريكا.</w:t>
      </w:r>
    </w:p>
  </w:footnote>
  <w:footnote w:id="8">
    <w:p w:rsidR="00F93F13" w:rsidRPr="00064619" w:rsidRDefault="00F93F13" w:rsidP="00064619">
      <w:pPr>
        <w:pStyle w:val="FootnoteText"/>
        <w:rPr>
          <w:rtl/>
        </w:rPr>
      </w:pPr>
      <w:r w:rsidRPr="00064619">
        <w:rPr>
          <w:rtl/>
        </w:rPr>
        <w:t>(</w:t>
      </w:r>
      <w:r w:rsidRPr="00064619">
        <w:rPr>
          <w:rtl/>
        </w:rPr>
        <w:footnoteRef/>
      </w:r>
      <w:r w:rsidRPr="00064619">
        <w:rPr>
          <w:rtl/>
        </w:rPr>
        <w:t>) عشرون مقالة والكتابان في نقد كتاب الحكومة الولائية، أما الكتابان فهما:</w:t>
      </w:r>
    </w:p>
    <w:p w:rsidR="00F93F13" w:rsidRPr="00064619" w:rsidRDefault="00F93F13" w:rsidP="00A94625">
      <w:pPr>
        <w:pStyle w:val="FootnoteText"/>
        <w:rPr>
          <w:rtl/>
        </w:rPr>
      </w:pPr>
      <w:r>
        <w:rPr>
          <w:rtl/>
        </w:rPr>
        <w:t>ـ بازشناسي حكومت ولائي:</w:t>
      </w:r>
      <w:r>
        <w:rPr>
          <w:rFonts w:hint="cs"/>
          <w:rtl/>
        </w:rPr>
        <w:t xml:space="preserve"> </w:t>
      </w:r>
      <w:r>
        <w:rPr>
          <w:rFonts w:ascii="Microsoft Tai Le" w:hAnsi="Microsoft Tai Le" w:cs="Microsoft Tai Le"/>
          <w:rtl/>
        </w:rPr>
        <w:t>[</w:t>
      </w:r>
      <w:r w:rsidRPr="00064619">
        <w:rPr>
          <w:rtl/>
        </w:rPr>
        <w:t>نقد كتاب الحكومة الولائية</w:t>
      </w:r>
      <w:r>
        <w:rPr>
          <w:rFonts w:ascii="Microsoft Tai Le" w:hAnsi="Microsoft Tai Le" w:cs="Microsoft Tai Le"/>
          <w:rtl/>
        </w:rPr>
        <w:t>]</w:t>
      </w:r>
      <w:r w:rsidRPr="00064619">
        <w:rPr>
          <w:rtl/>
        </w:rPr>
        <w:t>، محسن صالح، مركز أسناد انقلاب إسلامي، طهران، 1382هـ.ش، 260 صفحة (التنقيح الأول، دار الصالحين، 1379هـ.ش، 148 صفحة).</w:t>
      </w:r>
    </w:p>
    <w:p w:rsidR="00F93F13" w:rsidRPr="00064619" w:rsidRDefault="00F93F13" w:rsidP="00A94625">
      <w:pPr>
        <w:pStyle w:val="FootnoteText"/>
      </w:pPr>
      <w:r w:rsidRPr="00064619">
        <w:rPr>
          <w:rtl/>
        </w:rPr>
        <w:t xml:space="preserve">ـ جستاري در حكومت ولائي: </w:t>
      </w:r>
      <w:r>
        <w:rPr>
          <w:rFonts w:ascii="Microsoft Tai Le" w:hAnsi="Microsoft Tai Le" w:cs="Microsoft Tai Le"/>
          <w:rtl/>
        </w:rPr>
        <w:t>[</w:t>
      </w:r>
      <w:r w:rsidRPr="00064619">
        <w:rPr>
          <w:rtl/>
        </w:rPr>
        <w:t>نقدي بر كتاب حكومت ولائي محسن كديور</w:t>
      </w:r>
      <w:r>
        <w:rPr>
          <w:rFonts w:ascii="Microsoft Tai Le" w:hAnsi="Microsoft Tai Le" w:cs="Microsoft Tai Le"/>
          <w:rtl/>
        </w:rPr>
        <w:t>]</w:t>
      </w:r>
      <w:r w:rsidRPr="00064619">
        <w:rPr>
          <w:rtl/>
        </w:rPr>
        <w:t>، محمد مسعود معصومي لاري، نشر پژوهش معناگرا، طهران، 1385هـ.ش، 170 صفحة.</w:t>
      </w:r>
    </w:p>
  </w:footnote>
  <w:footnote w:id="9">
    <w:p w:rsidR="00F93F13" w:rsidRPr="00064619" w:rsidRDefault="00F93F13" w:rsidP="00064619">
      <w:pPr>
        <w:pStyle w:val="FootnoteText"/>
      </w:pPr>
      <w:r w:rsidRPr="00064619">
        <w:rPr>
          <w:rtl/>
        </w:rPr>
        <w:t>(</w:t>
      </w:r>
      <w:r w:rsidRPr="00064619">
        <w:rPr>
          <w:rtl/>
        </w:rPr>
        <w:footnoteRef/>
      </w:r>
      <w:r w:rsidRPr="00064619">
        <w:rPr>
          <w:rtl/>
        </w:rPr>
        <w:t>) إنّ بيان خصائص المرحلة الأولى يمكن أن يشكِّل موضوع بحثٍ مستقلّ سوف نستعرضه في موضعٍ آخر.</w:t>
      </w:r>
    </w:p>
  </w:footnote>
  <w:footnote w:id="10">
    <w:p w:rsidR="00F93F13" w:rsidRPr="00064619" w:rsidRDefault="00F93F13" w:rsidP="00064619">
      <w:pPr>
        <w:pStyle w:val="FootnoteText"/>
      </w:pPr>
      <w:r w:rsidRPr="00064619">
        <w:rPr>
          <w:rtl/>
        </w:rPr>
        <w:t>(</w:t>
      </w:r>
      <w:r w:rsidRPr="00064619">
        <w:rPr>
          <w:rtl/>
        </w:rPr>
        <w:footnoteRef/>
      </w:r>
      <w:r w:rsidRPr="00064619">
        <w:rPr>
          <w:rtl/>
        </w:rPr>
        <w:t>) رغم أنّ لهذه المراحل ترتيباً زمنياً، ولكنْ ليس من اللازم أن لا يكون جميع الفقهاء مسهمين في بلورة الفكر الغالب لتلك المرحلة، بل هناك مَنْ ينتمي إلى المرحلة السابقة. فعلى سبيل المثال: نجد شيخ الفقهاء (الشيخ الآراكي) قد أدرك المرحلة الرابعة من الناحية الزمنية، ولكنّه ينتمي من الناحية الفكرية إلى النصف الأول من المرحلة الثانية (القول بسلطة المسلمين من ذوي الشَّوْكة).</w:t>
      </w:r>
    </w:p>
  </w:footnote>
  <w:footnote w:id="11">
    <w:p w:rsidR="00F93F13" w:rsidRPr="00064619" w:rsidRDefault="00F93F13" w:rsidP="00064619">
      <w:pPr>
        <w:pStyle w:val="FootnoteText"/>
      </w:pPr>
      <w:r w:rsidRPr="00064619">
        <w:rPr>
          <w:rtl/>
        </w:rPr>
        <w:t>(</w:t>
      </w:r>
      <w:r w:rsidRPr="00064619">
        <w:rPr>
          <w:rtl/>
        </w:rPr>
        <w:footnoteRef/>
      </w:r>
      <w:r w:rsidRPr="00064619">
        <w:rPr>
          <w:rtl/>
        </w:rPr>
        <w:t>) وقد كان الشيخ الطوسي، والمحقِّق الحلّي، والعلاّمة الحلّي، والشهيدان الأوّل والثاني، من أبرز فقهاء هذه المرحلة.</w:t>
      </w:r>
    </w:p>
  </w:footnote>
  <w:footnote w:id="12">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w:t>
      </w:r>
      <w:r w:rsidRPr="00064619">
        <w:rPr>
          <w:rtl/>
        </w:rPr>
        <w:t>وقد تمخّضت هذه المرحلة عن نظريتين، وهما: ولاية الفقهاء في الأمور الشرعية، وسلطة المسلمين الشيعة من ذوي الشوكة في الأمور العرفية (السلطة المشروعة)، والولاية التنصيبية لعامة الفقهاء. ومن بين أبرز القائلين بالنظرية الأولى: العلامة المجلسي، والسيد الكشفي، والشيخ فضل الله النوري، وأما أبرز القائلين بالنظرية الثانية، فهم: المحقق الكركي، والمحقق الأردبيلي، والملا أحمد النراقي، والشيخ جعفر كاشف الغطاء.</w:t>
      </w:r>
    </w:p>
  </w:footnote>
  <w:footnote w:id="13">
    <w:p w:rsidR="00F93F13" w:rsidRPr="00064619" w:rsidRDefault="00F93F13" w:rsidP="00A97582">
      <w:pPr>
        <w:pStyle w:val="FootnoteText"/>
        <w:spacing w:line="223" w:lineRule="auto"/>
      </w:pPr>
      <w:r w:rsidRPr="00064619">
        <w:rPr>
          <w:rtl/>
        </w:rPr>
        <w:t>(</w:t>
      </w:r>
      <w:r w:rsidRPr="00064619">
        <w:rPr>
          <w:rtl/>
        </w:rPr>
        <w:footnoteRef/>
      </w:r>
      <w:r w:rsidRPr="00064619">
        <w:rPr>
          <w:rtl/>
        </w:rPr>
        <w:t>) إنّ أهمّ كتاب يعكس هذه المرحلة هو كتاب: (تنبيه الأمّة وتنزيه الملّة)، للميرزا النائيني، وبعده رسالة اللآلئ المربوطة في وجوب المشروطة، للشيخ إسماعيل محلاتي.</w:t>
      </w:r>
    </w:p>
  </w:footnote>
  <w:footnote w:id="14">
    <w:p w:rsidR="00F93F13" w:rsidRPr="00064619" w:rsidRDefault="00F93F13" w:rsidP="00064619">
      <w:pPr>
        <w:pStyle w:val="FootnoteText"/>
      </w:pPr>
      <w:r w:rsidRPr="00064619">
        <w:rPr>
          <w:rtl/>
        </w:rPr>
        <w:t>(</w:t>
      </w:r>
      <w:r w:rsidRPr="00064619">
        <w:rPr>
          <w:rtl/>
        </w:rPr>
        <w:footnoteRef/>
      </w:r>
      <w:r w:rsidRPr="00064619">
        <w:rPr>
          <w:rtl/>
        </w:rPr>
        <w:t>) قال السيد الخميني: إن ما نريده من التعبير بـ (الجمهورية الإسلامية) ممّا يجري عليه شروط المنتخب والأحكام لا بُدَّ من أن يكون مستنداً إلى الإسلام، ولكنْ يجب أن يكون ذلك من خلال اختيار الشعب، وأن يكون في الإطار الجمهوري المعروف. (</w:t>
      </w:r>
      <w:r>
        <w:rPr>
          <w:rFonts w:hint="cs"/>
          <w:rtl/>
        </w:rPr>
        <w:t xml:space="preserve">السيد </w:t>
      </w:r>
      <w:r w:rsidRPr="00064619">
        <w:rPr>
          <w:rtl/>
        </w:rPr>
        <w:t>الخميني، صحيفة النور 3: 145).</w:t>
      </w:r>
    </w:p>
  </w:footnote>
  <w:footnote w:id="15">
    <w:p w:rsidR="00F93F13" w:rsidRPr="00064619" w:rsidRDefault="00F93F13" w:rsidP="00064619">
      <w:pPr>
        <w:pStyle w:val="FootnoteText"/>
      </w:pPr>
      <w:r w:rsidRPr="00064619">
        <w:rPr>
          <w:rtl/>
        </w:rPr>
        <w:t>(</w:t>
      </w:r>
      <w:r w:rsidRPr="00064619">
        <w:rPr>
          <w:rtl/>
        </w:rPr>
        <w:footnoteRef/>
      </w:r>
      <w:r w:rsidRPr="00064619">
        <w:rPr>
          <w:rtl/>
        </w:rPr>
        <w:t>) انظر: الأستاذ الشهيد مرتضى المطهري، ﭘيرامون انقلاب إسلامي: 80.</w:t>
      </w:r>
    </w:p>
  </w:footnote>
  <w:footnote w:id="16">
    <w:p w:rsidR="00F93F13" w:rsidRPr="00064619" w:rsidRDefault="00F93F13" w:rsidP="00064619">
      <w:pPr>
        <w:pStyle w:val="FootnoteText"/>
      </w:pPr>
      <w:r w:rsidRPr="00064619">
        <w:rPr>
          <w:rtl/>
        </w:rPr>
        <w:t>(</w:t>
      </w:r>
      <w:r w:rsidRPr="00064619">
        <w:rPr>
          <w:rtl/>
        </w:rPr>
        <w:footnoteRef/>
      </w:r>
      <w:r w:rsidRPr="00064619">
        <w:rPr>
          <w:rtl/>
        </w:rPr>
        <w:t xml:space="preserve">) انظر: </w:t>
      </w:r>
      <w:r>
        <w:rPr>
          <w:rFonts w:hint="cs"/>
          <w:rtl/>
        </w:rPr>
        <w:t xml:space="preserve">السيد </w:t>
      </w:r>
      <w:r w:rsidRPr="00064619">
        <w:rPr>
          <w:rtl/>
        </w:rPr>
        <w:t>الخميني، صحيفة النور 3: 145.</w:t>
      </w:r>
    </w:p>
  </w:footnote>
  <w:footnote w:id="17">
    <w:p w:rsidR="00F93F13" w:rsidRPr="00064619" w:rsidRDefault="00F93F13" w:rsidP="00B7256D">
      <w:pPr>
        <w:pStyle w:val="FootnoteText"/>
      </w:pPr>
      <w:r w:rsidRPr="00064619">
        <w:rPr>
          <w:rtl/>
        </w:rPr>
        <w:t>(</w:t>
      </w:r>
      <w:r w:rsidRPr="00064619">
        <w:rPr>
          <w:rtl/>
        </w:rPr>
        <w:footnoteRef/>
      </w:r>
      <w:r w:rsidRPr="00064619">
        <w:rPr>
          <w:rtl/>
        </w:rPr>
        <w:t>) المجلد الأول من (الفكر السياسي في الإسلام)، تحت عنوان: نظريات الدولة في الفقه الشيعي، تمّ نشره من قبل دار نشر ني  1375هـ.ش / 1996 م.</w:t>
      </w:r>
    </w:p>
  </w:footnote>
  <w:footnote w:id="18">
    <w:p w:rsidR="00F93F13" w:rsidRPr="00064619" w:rsidRDefault="00F93F13" w:rsidP="00064619">
      <w:pPr>
        <w:pStyle w:val="FootnoteText"/>
      </w:pPr>
      <w:r w:rsidRPr="00064619">
        <w:rPr>
          <w:rtl/>
        </w:rPr>
        <w:t>(</w:t>
      </w:r>
      <w:r w:rsidRPr="00064619">
        <w:rPr>
          <w:rtl/>
        </w:rPr>
        <w:footnoteRef/>
      </w:r>
      <w:r w:rsidRPr="00064619">
        <w:rPr>
          <w:rtl/>
        </w:rPr>
        <w:t>) لقد أنجزنا كتابة الإجابة عن السؤال الثاني في سلسلة مقالات (الحكومة التنصيبية)، ويتمّ نشرها في فصليّة آفتاب تباعاً.</w:t>
      </w:r>
    </w:p>
  </w:footnote>
  <w:footnote w:id="19">
    <w:p w:rsidR="00F93F13" w:rsidRPr="00064619" w:rsidRDefault="00F93F13" w:rsidP="00064619">
      <w:pPr>
        <w:pStyle w:val="FootnoteText"/>
      </w:pPr>
      <w:r w:rsidRPr="00064619">
        <w:rPr>
          <w:rtl/>
        </w:rPr>
        <w:t>(</w:t>
      </w:r>
      <w:r w:rsidRPr="00064619">
        <w:rPr>
          <w:rtl/>
        </w:rPr>
        <w:footnoteRef/>
      </w:r>
      <w:r w:rsidRPr="00064619">
        <w:rPr>
          <w:rtl/>
        </w:rPr>
        <w:t>) أما القسم الثالث، الذي يتكفَّل ببيان الأحكام واللوازم الحقوقية والسياسية والفقهية للولاية، فقد ألجأتنا الأسباب والظروف إلى إرجائه إلى المجلَّدات القادمة، وسوف ننشره لاحقاً إنْ شاء الله تعالى.</w:t>
      </w:r>
    </w:p>
  </w:footnote>
  <w:footnote w:id="20">
    <w:p w:rsidR="00F93F13" w:rsidRPr="00064619" w:rsidRDefault="00F93F13" w:rsidP="00064619">
      <w:pPr>
        <w:pStyle w:val="FootnoteText"/>
      </w:pPr>
      <w:r w:rsidRPr="00064619">
        <w:rPr>
          <w:rtl/>
        </w:rPr>
        <w:t>(</w:t>
      </w:r>
      <w:r w:rsidRPr="00064619">
        <w:rPr>
          <w:rtl/>
        </w:rPr>
        <w:footnoteRef/>
      </w:r>
      <w:r w:rsidRPr="00064619">
        <w:rPr>
          <w:rtl/>
        </w:rPr>
        <w:t xml:space="preserve">) يقول السيد الخميني: إن ولاية الفقيه من الأمور التي يكفي تصوُّرها في تصديقها، ولا تحتاج إلى كثيرٍ من البراهين، بمعنى أنّ كل مَنْ يكون لديه أدنى إلمامٍ بعقائد وأحكام الإسلام، ولو على نحو الإجمال، فإنّه بمجرَّد أن يتصوَّر ولاية الفقيه سيصدِّق بها مباشرةً؛ باعتبارها من الأمور الضرورية والبديهية. (ولاية الفقيه: 3؛ وانظر أيضاً: </w:t>
      </w:r>
      <w:r>
        <w:rPr>
          <w:rFonts w:hint="cs"/>
          <w:rtl/>
        </w:rPr>
        <w:t xml:space="preserve">السيد </w:t>
      </w:r>
      <w:r w:rsidRPr="00064619">
        <w:rPr>
          <w:rtl/>
        </w:rPr>
        <w:t>الخميني، كتاب البيع 2: 467).</w:t>
      </w:r>
    </w:p>
  </w:footnote>
  <w:footnote w:id="21">
    <w:p w:rsidR="00F93F13" w:rsidRPr="00064619" w:rsidRDefault="00F93F13" w:rsidP="00064619">
      <w:pPr>
        <w:pStyle w:val="FootnoteText"/>
      </w:pPr>
      <w:r w:rsidRPr="00064619">
        <w:rPr>
          <w:rtl/>
        </w:rPr>
        <w:t>(</w:t>
      </w:r>
      <w:r w:rsidRPr="00064619">
        <w:rPr>
          <w:rtl/>
        </w:rPr>
        <w:footnoteRef/>
      </w:r>
      <w:r w:rsidRPr="00064619">
        <w:rPr>
          <w:rtl/>
        </w:rPr>
        <w:t xml:space="preserve">) يقول السيد الخميني: نشهد اليوم، لحسن الحظّ، وبفضل قيام الثورة الإسلامية، حضوراً وتواجداً للفقهاء والمفكِّرين في الإذاعة والتلفزيون والصحف، حيث هناك حاجة علمية لطرح هذه الأبحاث والمسائل، من قبيل: الحرّيات الشخصية والاجتماعية على سبيل المثال ... والأهمّ من ذلك كله رسم تصوير وتحديد حاكمية ولاية الفقيه في الحكومة والمجتمع، ممّا يشكِّل مسألةً من آلاف المسائل الابتلائية بالنسبة إلى الشعب والدولة، التي بحث الفقهاء الكبار بشأنها رغم اختلاف آرائهم حولها. وإذا لم تكن بعض هذه المسائل مطروحةً سابقاً، أو لم يتحقَّق موضوعها، فإنّ على الفقهاء اليوم أن يفكِّروا فيها. ولذلك يجب أن يكون باب الاجتهاد في الحكومة الإسلامية مفتوحاً على الدوام، فإنّ طبيعة الثورة والنظام تقتضي على الدوام عرض الآراء الاجتهادية ـ الفقهية في مختلف المجالات (حتّى إذا اختلفت فيما بينها) بحرّيةٍ تامّة، ولا يحقّ لأحدٍ أن يحول دونها أو يمنعها .... (انظر: </w:t>
      </w:r>
      <w:r>
        <w:rPr>
          <w:rFonts w:hint="cs"/>
          <w:rtl/>
        </w:rPr>
        <w:t xml:space="preserve">السيد </w:t>
      </w:r>
      <w:r w:rsidRPr="00064619">
        <w:rPr>
          <w:rtl/>
        </w:rPr>
        <w:t>الخميني، صحيفة النور 21: 46).</w:t>
      </w:r>
    </w:p>
  </w:footnote>
  <w:footnote w:id="22">
    <w:p w:rsidR="00F93F13" w:rsidRPr="00064619" w:rsidRDefault="00F93F13" w:rsidP="00064619">
      <w:pPr>
        <w:pStyle w:val="FootnoteText"/>
      </w:pPr>
      <w:r w:rsidRPr="00064619">
        <w:rPr>
          <w:rtl/>
        </w:rPr>
        <w:t>(</w:t>
      </w:r>
      <w:r w:rsidRPr="00064619">
        <w:rPr>
          <w:rtl/>
        </w:rPr>
        <w:footnoteRef/>
      </w:r>
      <w:r w:rsidRPr="00064619">
        <w:rPr>
          <w:rtl/>
        </w:rPr>
        <w:t>) الولاء والتوالي: أن يحصل شيئان فصاعداً حصولاً ليس بينهما ما ليس منهما، ويُستعار ذلك للقرب.... (الراغب الإصفهاني، معجم مفردات ألفاظ القرآن).</w:t>
      </w:r>
    </w:p>
  </w:footnote>
  <w:footnote w:id="23">
    <w:p w:rsidR="00F93F13" w:rsidRPr="00064619" w:rsidRDefault="00F93F13" w:rsidP="00064619">
      <w:pPr>
        <w:pStyle w:val="FootnoteText"/>
      </w:pPr>
      <w:r w:rsidRPr="00064619">
        <w:rPr>
          <w:rtl/>
        </w:rPr>
        <w:t>(</w:t>
      </w:r>
      <w:r w:rsidRPr="00064619">
        <w:rPr>
          <w:rtl/>
        </w:rPr>
        <w:footnoteRef/>
      </w:r>
      <w:r w:rsidRPr="00064619">
        <w:rPr>
          <w:rtl/>
        </w:rPr>
        <w:t>) انظر: مادة (و ل ي) في المصادر والمراجع اللغوية، من قبيل: كتاب العين، للخليل بن أحمد الفراهيدي؛ ومقاييس اللغة، لأبي الحسين أحمد بن فارس بن زكريا؛ وأساس البلاغة، للزمخشري؛ وصحاح اللغة، للجوهري؛ ولسان العرب، لابن منظور الأفريقي؛ وتاج العروس، للزبيدي؛ وكذلك الكتب والمصادر اللغوية المعاصرة، من قبيل: أقرب الموارد؛ والمنجد.</w:t>
      </w:r>
    </w:p>
  </w:footnote>
  <w:footnote w:id="24">
    <w:p w:rsidR="00F93F13" w:rsidRPr="00064619" w:rsidRDefault="00F93F13" w:rsidP="00064619">
      <w:pPr>
        <w:pStyle w:val="FootnoteText"/>
      </w:pPr>
      <w:r w:rsidRPr="00064619">
        <w:rPr>
          <w:rtl/>
        </w:rPr>
        <w:t>(</w:t>
      </w:r>
      <w:r w:rsidRPr="00064619">
        <w:rPr>
          <w:rtl/>
        </w:rPr>
        <w:footnoteRef/>
      </w:r>
      <w:r w:rsidRPr="00064619">
        <w:rPr>
          <w:rtl/>
        </w:rPr>
        <w:t>) سوف نتعرَّض إلى طرق استعمال الولاية في الكتاب والسنّة في الفصل الخامس والسادس بشكلٍ تفصيلي.</w:t>
      </w:r>
    </w:p>
  </w:footnote>
  <w:footnote w:id="25">
    <w:p w:rsidR="00F93F13" w:rsidRPr="00064619" w:rsidRDefault="00F93F13" w:rsidP="00064619">
      <w:pPr>
        <w:pStyle w:val="FootnoteText"/>
      </w:pPr>
      <w:r w:rsidRPr="00064619">
        <w:rPr>
          <w:rtl/>
        </w:rPr>
        <w:t>(</w:t>
      </w:r>
      <w:r w:rsidRPr="00064619">
        <w:rPr>
          <w:rtl/>
        </w:rPr>
        <w:footnoteRef/>
      </w:r>
      <w:r w:rsidRPr="00064619">
        <w:rPr>
          <w:rtl/>
        </w:rPr>
        <w:t>) انظر أيضاً: مادة الولاية في لغتنامه دهخدا (معجم فارسي).</w:t>
      </w:r>
    </w:p>
  </w:footnote>
  <w:footnote w:id="26">
    <w:p w:rsidR="00F93F13" w:rsidRPr="00064619" w:rsidRDefault="00F93F13" w:rsidP="00064619">
      <w:pPr>
        <w:pStyle w:val="FootnoteText"/>
        <w:rPr>
          <w:rtl/>
        </w:rPr>
      </w:pPr>
      <w:r w:rsidRPr="00064619">
        <w:rPr>
          <w:rtl/>
        </w:rPr>
        <w:t>(</w:t>
      </w:r>
      <w:r w:rsidRPr="00064619">
        <w:rPr>
          <w:rtl/>
        </w:rPr>
        <w:footnoteRef/>
      </w:r>
      <w:r w:rsidRPr="00064619">
        <w:rPr>
          <w:rtl/>
        </w:rPr>
        <w:t>) «الولاية الكونية، البشريّة، الملكية هي منها (من ولاية الحقّ)» (محيي الدين ابن عربي، الفتوحات المكية 14: 514).</w:t>
      </w:r>
    </w:p>
  </w:footnote>
  <w:footnote w:id="27">
    <w:p w:rsidR="00F93F13" w:rsidRPr="00064619" w:rsidRDefault="00F93F13" w:rsidP="00064619">
      <w:pPr>
        <w:pStyle w:val="FootnoteText"/>
        <w:rPr>
          <w:rtl/>
        </w:rPr>
      </w:pPr>
      <w:r w:rsidRPr="00064619">
        <w:rPr>
          <w:rtl/>
        </w:rPr>
        <w:t xml:space="preserve"> (</w:t>
      </w:r>
      <w:r w:rsidRPr="00064619">
        <w:rPr>
          <w:rtl/>
        </w:rPr>
        <w:footnoteRef/>
      </w:r>
      <w:r w:rsidRPr="00064619">
        <w:rPr>
          <w:rtl/>
        </w:rPr>
        <w:t>) الفتوحات المكية 14: 507.</w:t>
      </w:r>
    </w:p>
  </w:footnote>
  <w:footnote w:id="28">
    <w:p w:rsidR="00F93F13" w:rsidRPr="00064619" w:rsidRDefault="00F93F13" w:rsidP="00064619">
      <w:pPr>
        <w:pStyle w:val="FootnoteText"/>
        <w:rPr>
          <w:rtl/>
        </w:rPr>
      </w:pPr>
      <w:r w:rsidRPr="00064619">
        <w:rPr>
          <w:rtl/>
        </w:rPr>
        <w:t>(</w:t>
      </w:r>
      <w:r w:rsidRPr="00064619">
        <w:rPr>
          <w:rtl/>
        </w:rPr>
        <w:footnoteRef/>
      </w:r>
      <w:r w:rsidRPr="00064619">
        <w:rPr>
          <w:rtl/>
        </w:rPr>
        <w:t>) «ثم إنّه سبحانه من عموم ولايته أن تولاّهم بالوجود في أعيانهم، وبحفظ الوجود عليهم، وبتمشية أغراضهم، وتولاّهم بما رزقهم ممّا فيه قوام عيشهم ومصالحهم عموماً...» (الفتوحات المكية 14: 511).</w:t>
      </w:r>
    </w:p>
  </w:footnote>
  <w:footnote w:id="29">
    <w:p w:rsidR="00F93F13" w:rsidRPr="00064619" w:rsidRDefault="00F93F13" w:rsidP="00064619">
      <w:pPr>
        <w:pStyle w:val="FootnoteText"/>
        <w:rPr>
          <w:rtl/>
        </w:rPr>
      </w:pPr>
      <w:r w:rsidRPr="00064619">
        <w:rPr>
          <w:rtl/>
        </w:rPr>
        <w:t>(</w:t>
      </w:r>
      <w:r w:rsidRPr="00064619">
        <w:rPr>
          <w:rtl/>
        </w:rPr>
        <w:footnoteRef/>
      </w:r>
      <w:r w:rsidRPr="00064619">
        <w:rPr>
          <w:rtl/>
        </w:rPr>
        <w:t>) الفتوحات المكية 14: 508.</w:t>
      </w:r>
    </w:p>
  </w:footnote>
  <w:footnote w:id="30">
    <w:p w:rsidR="00F93F13" w:rsidRPr="00064619" w:rsidRDefault="00F93F13" w:rsidP="00064619">
      <w:pPr>
        <w:pStyle w:val="FootnoteText"/>
        <w:rPr>
          <w:rtl/>
        </w:rPr>
      </w:pPr>
      <w:r w:rsidRPr="00064619">
        <w:rPr>
          <w:rtl/>
        </w:rPr>
        <w:t>(</w:t>
      </w:r>
      <w:r w:rsidRPr="00064619">
        <w:rPr>
          <w:rtl/>
        </w:rPr>
        <w:footnoteRef/>
      </w:r>
      <w:r w:rsidRPr="00064619">
        <w:rPr>
          <w:rtl/>
        </w:rPr>
        <w:t>) «لسان الخصوص في الولاية» الفتوحات المكية 14: 508.</w:t>
      </w:r>
    </w:p>
  </w:footnote>
  <w:footnote w:id="31">
    <w:p w:rsidR="00F93F13" w:rsidRPr="00064619" w:rsidRDefault="00F93F13" w:rsidP="00064619">
      <w:pPr>
        <w:pStyle w:val="FootnoteText"/>
        <w:rPr>
          <w:rtl/>
        </w:rPr>
      </w:pPr>
      <w:r w:rsidRPr="00064619">
        <w:rPr>
          <w:rtl/>
        </w:rPr>
        <w:t>(</w:t>
      </w:r>
      <w:r w:rsidRPr="00064619">
        <w:rPr>
          <w:rtl/>
        </w:rPr>
        <w:footnoteRef/>
      </w:r>
      <w:r w:rsidRPr="00064619">
        <w:rPr>
          <w:rtl/>
        </w:rPr>
        <w:t>) الفتوحات المكية14: 526 ـ 530، الباب الرابع والخمسون بعد المئة، في معرفة مقام الولاية الملكيّة.</w:t>
      </w:r>
    </w:p>
  </w:footnote>
  <w:footnote w:id="32">
    <w:p w:rsidR="00F93F13" w:rsidRPr="00064619" w:rsidRDefault="00F93F13" w:rsidP="00064619">
      <w:pPr>
        <w:pStyle w:val="FootnoteText"/>
        <w:rPr>
          <w:rtl/>
        </w:rPr>
      </w:pPr>
      <w:r w:rsidRPr="00064619">
        <w:rPr>
          <w:rtl/>
        </w:rPr>
        <w:t>(</w:t>
      </w:r>
      <w:r w:rsidRPr="00064619">
        <w:rPr>
          <w:rtl/>
        </w:rPr>
        <w:footnoteRef/>
      </w:r>
      <w:r w:rsidRPr="00064619">
        <w:rPr>
          <w:rtl/>
        </w:rPr>
        <w:t>) الفتوحات المكية 14: 521، الباب الثالث والخمسون بعد المائة، في معرفة مقام الولاية البشريّة وأسرارها.</w:t>
      </w:r>
    </w:p>
  </w:footnote>
  <w:footnote w:id="33">
    <w:p w:rsidR="00F93F13" w:rsidRPr="00064619" w:rsidRDefault="00F93F13" w:rsidP="00064619">
      <w:pPr>
        <w:pStyle w:val="FootnoteText"/>
        <w:rPr>
          <w:rtl/>
        </w:rPr>
      </w:pPr>
      <w:r w:rsidRPr="00064619">
        <w:rPr>
          <w:rtl/>
        </w:rPr>
        <w:t>(</w:t>
      </w:r>
      <w:r w:rsidRPr="00064619">
        <w:rPr>
          <w:rtl/>
        </w:rPr>
        <w:footnoteRef/>
      </w:r>
      <w:r>
        <w:rPr>
          <w:rtl/>
        </w:rPr>
        <w:t>) محمد داوود القيصري الرو</w:t>
      </w:r>
      <w:r>
        <w:rPr>
          <w:rFonts w:hint="cs"/>
          <w:rtl/>
        </w:rPr>
        <w:t>م</w:t>
      </w:r>
      <w:r w:rsidRPr="00064619">
        <w:rPr>
          <w:rtl/>
        </w:rPr>
        <w:t xml:space="preserve">ي، شرح فصوص الحكم: 146، الفصل الثاني عشر من المقدّمة، في النبوة والرسالة والولاية، تصحيح: السيد جلال الدين آشتياني، طهران، 1376؛ رسائل القيصري، رسالة في التوحيد والنبوة والولاية. </w:t>
      </w:r>
    </w:p>
  </w:footnote>
  <w:footnote w:id="34">
    <w:p w:rsidR="00F93F13" w:rsidRPr="00064619" w:rsidRDefault="00F93F13" w:rsidP="00064619">
      <w:pPr>
        <w:pStyle w:val="FootnoteText"/>
        <w:rPr>
          <w:rtl/>
        </w:rPr>
      </w:pPr>
      <w:r w:rsidRPr="00064619">
        <w:rPr>
          <w:rtl/>
        </w:rPr>
        <w:t>(</w:t>
      </w:r>
      <w:r w:rsidRPr="00064619">
        <w:rPr>
          <w:rtl/>
        </w:rPr>
        <w:footnoteRef/>
      </w:r>
      <w:r w:rsidRPr="00064619">
        <w:rPr>
          <w:rtl/>
        </w:rPr>
        <w:t>) رسائل القيصري: 61، تصحيح: السيد جلال الدين آشتياني، تعليقات الآقا محمد رضا قمشه إي على فصوص الحكم (تحقيق في مباحث الولاية الكليّة).</w:t>
      </w:r>
    </w:p>
  </w:footnote>
  <w:footnote w:id="35">
    <w:p w:rsidR="00F93F13" w:rsidRPr="00064619" w:rsidRDefault="00F93F13" w:rsidP="00064619">
      <w:pPr>
        <w:pStyle w:val="FootnoteText"/>
        <w:rPr>
          <w:rtl/>
        </w:rPr>
      </w:pPr>
      <w:r w:rsidRPr="00064619">
        <w:rPr>
          <w:rtl/>
        </w:rPr>
        <w:t>(</w:t>
      </w:r>
      <w:r w:rsidRPr="00064619">
        <w:rPr>
          <w:rtl/>
        </w:rPr>
        <w:footnoteRef/>
      </w:r>
      <w:r w:rsidRPr="00064619">
        <w:rPr>
          <w:rtl/>
        </w:rPr>
        <w:t>) «وقد يطلق الولاية المطلقة على الولاية العامّة» (رسائل القيصري: 63، تعليقات الآقا محمد رضا قمشه إي).</w:t>
      </w:r>
    </w:p>
  </w:footnote>
  <w:footnote w:id="36">
    <w:p w:rsidR="00F93F13" w:rsidRPr="00064619" w:rsidRDefault="00F93F13" w:rsidP="00B7256D">
      <w:pPr>
        <w:pStyle w:val="FootnoteText"/>
        <w:rPr>
          <w:rtl/>
        </w:rPr>
      </w:pPr>
      <w:r w:rsidRPr="00064619">
        <w:rPr>
          <w:rtl/>
        </w:rPr>
        <w:t>(</w:t>
      </w:r>
      <w:r w:rsidRPr="00064619">
        <w:rPr>
          <w:rtl/>
        </w:rPr>
        <w:footnoteRef/>
      </w:r>
      <w:r w:rsidRPr="00064619">
        <w:rPr>
          <w:rtl/>
        </w:rPr>
        <w:t>) محيي الدين ابن عربي، التجلّيات الإلهية، المطبوع مع كشف الغايات في شرح ما اكتنفت عليه التجليات: 299 ـ 301، تحقيق: عثمان إسماعيل، طهران، 1367هـ.ش؛ محمد داوود القيصري، شرح فصوص الحكم: 146 ـ 148، الفصل الثاني عشر من المقدّمة وفصّ عزي</w:t>
      </w:r>
      <w:r>
        <w:rPr>
          <w:rFonts w:hint="cs"/>
          <w:rtl/>
        </w:rPr>
        <w:t>زية</w:t>
      </w:r>
      <w:r w:rsidRPr="00064619">
        <w:rPr>
          <w:rtl/>
        </w:rPr>
        <w:t xml:space="preserve">، تصحيح: السيد جلال الدين آشتياني، طهران، 1375هـ.ش؛ حاشية </w:t>
      </w:r>
      <w:r>
        <w:rPr>
          <w:rFonts w:hint="cs"/>
          <w:rtl/>
        </w:rPr>
        <w:t xml:space="preserve">السيد </w:t>
      </w:r>
      <w:r w:rsidRPr="00064619">
        <w:rPr>
          <w:rtl/>
        </w:rPr>
        <w:t>الخميني على شرح فصوص الحكم للقيصريّ: 146؛ السيد جلال الدين آشتياني، شرح مقدمة القيصري على فصوص الحكم: 862 ـ 941، قم 1365هـ.ش؛ كمال الدين عبد الرزاق الكاشاني، شرح منازل السائرين؛ الخواجة عبد الله الأنصاري، باب الغرق: 492 ـ 495، تصحيح: محسن بيدار فر، قم، 1413هـ؛ السيد حيدر الآملي، نص النصوص في شرح فصوص الحكم: 167 ـ 169، تصحيح: هنري كوربان وعثمان إسماعيل يحيى، طهران، 1367هـ.ش؛ شمس الدين محمد اللاهيجي، مفاتيح الإعجاز في شرح ﮔلشن راز: 231 ـ 236، تصحيح: محمد رضا برزﮔر خالقي وعفت كرباسي، طهران، 1371هـ.ش؛ رسائل القيصري: 26 ـ 28، رسالة التوحيد والنبوة والولاية (الفصل الثاني في الولاية)، تصحيح: السيد جلال الدين آشتياني، طهران، 1357هـ.ش؛ كمال الدين عبد الرزاق كاشاني، اصطلاحات الصوفية: 54، تحقيق: محمد كمال إبراهيم جعفر، قم، 1370هـ.ش؛ رسائل القيصري: 60 ـ 108، رسائل القيصري (حاشية الفصوص لقمشه إي، تحقيق في مباحث الولاية الكلية)؛ مرتضى مطهري، ولاءها وولايتها، مجموعة الآثار 3: 284 ـ 307.</w:t>
      </w:r>
    </w:p>
  </w:footnote>
  <w:footnote w:id="37">
    <w:p w:rsidR="00F93F13" w:rsidRPr="00064619" w:rsidRDefault="00F93F13" w:rsidP="00064619">
      <w:pPr>
        <w:pStyle w:val="FootnoteText"/>
        <w:rPr>
          <w:rtl/>
        </w:rPr>
      </w:pPr>
      <w:r w:rsidRPr="00064619">
        <w:rPr>
          <w:rtl/>
        </w:rPr>
        <w:t>(</w:t>
      </w:r>
      <w:r w:rsidRPr="00064619">
        <w:rPr>
          <w:rtl/>
        </w:rPr>
        <w:footnoteRef/>
      </w:r>
      <w:r w:rsidRPr="00064619">
        <w:rPr>
          <w:rtl/>
        </w:rPr>
        <w:t>) القيصري، شرح فصوص الحكم: 146؛ رسالة التوحيد والنبوة والولاية للقيصري: 26؛ رسائل القيصري (حاشية الفصوص لقمشه إي).</w:t>
      </w:r>
    </w:p>
  </w:footnote>
  <w:footnote w:id="38">
    <w:p w:rsidR="00F93F13" w:rsidRPr="00064619" w:rsidRDefault="00F93F13" w:rsidP="00064619">
      <w:pPr>
        <w:pStyle w:val="FootnoteText"/>
        <w:rPr>
          <w:rtl/>
        </w:rPr>
      </w:pPr>
      <w:r w:rsidRPr="00064619">
        <w:rPr>
          <w:rtl/>
        </w:rPr>
        <w:t>(</w:t>
      </w:r>
      <w:r w:rsidRPr="00064619">
        <w:rPr>
          <w:rtl/>
        </w:rPr>
        <w:footnoteRef/>
      </w:r>
      <w:r w:rsidRPr="00064619">
        <w:rPr>
          <w:rtl/>
        </w:rPr>
        <w:t>) القيصري، شرح فصوص الحكم: 146 ـ 147؛ الآشتياني، شرح مقدمة الفصوص: 866 وما بعدها؛ رسائل القيصري (حاشية الفصوص لقمشه إي).</w:t>
      </w:r>
    </w:p>
  </w:footnote>
  <w:footnote w:id="39">
    <w:p w:rsidR="00F93F13" w:rsidRPr="00064619" w:rsidRDefault="00F93F13" w:rsidP="00064619">
      <w:pPr>
        <w:pStyle w:val="FootnoteText"/>
        <w:rPr>
          <w:rtl/>
        </w:rPr>
      </w:pPr>
      <w:r w:rsidRPr="00064619">
        <w:rPr>
          <w:rtl/>
        </w:rPr>
        <w:t>(</w:t>
      </w:r>
      <w:r w:rsidRPr="00064619">
        <w:rPr>
          <w:rtl/>
        </w:rPr>
        <w:footnoteRef/>
      </w:r>
      <w:r w:rsidRPr="00064619">
        <w:rPr>
          <w:rtl/>
        </w:rPr>
        <w:t xml:space="preserve">) القيصري، شرح فصوص الحكم: 147؛ رسائل القيصري (حاشية الفصوص لقمشه إي): 62؛ </w:t>
      </w:r>
      <w:r>
        <w:rPr>
          <w:rFonts w:hint="cs"/>
          <w:rtl/>
        </w:rPr>
        <w:t xml:space="preserve">السيد </w:t>
      </w:r>
      <w:r w:rsidRPr="00064619">
        <w:rPr>
          <w:rtl/>
        </w:rPr>
        <w:t>الخميني، حاشية شرح فصوص الحكم: 166: «فالولي المطلق من ظهر عن حضرة الذات بحسب المقام الجمعيّ والاسم الجامع الأعظم ربّ الأسماء والأعيان» (الآشتياني، شرح مقدمة الفصوص: 866 وما بعدها).</w:t>
      </w:r>
    </w:p>
  </w:footnote>
  <w:footnote w:id="40">
    <w:p w:rsidR="00F93F13" w:rsidRPr="00064619" w:rsidRDefault="00F93F13" w:rsidP="00B7256D">
      <w:pPr>
        <w:pStyle w:val="FootnoteText"/>
        <w:rPr>
          <w:rtl/>
        </w:rPr>
      </w:pPr>
      <w:r w:rsidRPr="00064619">
        <w:rPr>
          <w:rtl/>
        </w:rPr>
        <w:t>(</w:t>
      </w:r>
      <w:r w:rsidRPr="00064619">
        <w:rPr>
          <w:rtl/>
        </w:rPr>
        <w:footnoteRef/>
      </w:r>
      <w:r w:rsidRPr="00064619">
        <w:rPr>
          <w:rtl/>
        </w:rPr>
        <w:t>) حاشي</w:t>
      </w:r>
      <w:r>
        <w:rPr>
          <w:rtl/>
        </w:rPr>
        <w:t xml:space="preserve">ة </w:t>
      </w:r>
      <w:r>
        <w:rPr>
          <w:rFonts w:hint="cs"/>
          <w:rtl/>
        </w:rPr>
        <w:t xml:space="preserve">السيد </w:t>
      </w:r>
      <w:r>
        <w:rPr>
          <w:rtl/>
        </w:rPr>
        <w:t>الخميني على فصوص الحكم: 166</w:t>
      </w:r>
      <w:r>
        <w:rPr>
          <w:rFonts w:hint="cs"/>
          <w:rtl/>
        </w:rPr>
        <w:t>.</w:t>
      </w:r>
    </w:p>
  </w:footnote>
  <w:footnote w:id="41">
    <w:p w:rsidR="00F93F13" w:rsidRPr="00064619" w:rsidRDefault="00F93F13" w:rsidP="00064619">
      <w:pPr>
        <w:pStyle w:val="FootnoteText"/>
        <w:rPr>
          <w:rtl/>
        </w:rPr>
      </w:pPr>
      <w:r w:rsidRPr="00064619">
        <w:rPr>
          <w:rtl/>
        </w:rPr>
        <w:t>(</w:t>
      </w:r>
      <w:r w:rsidRPr="00064619">
        <w:rPr>
          <w:rtl/>
        </w:rPr>
        <w:footnoteRef/>
      </w:r>
      <w:r w:rsidRPr="00064619">
        <w:rPr>
          <w:rtl/>
        </w:rPr>
        <w:t>) محيي الدين ابن عربي، الفتوحات المكية.</w:t>
      </w:r>
    </w:p>
  </w:footnote>
  <w:footnote w:id="42">
    <w:p w:rsidR="00F93F13" w:rsidRPr="00064619" w:rsidRDefault="00F93F13" w:rsidP="00064619">
      <w:pPr>
        <w:pStyle w:val="FootnoteText"/>
        <w:rPr>
          <w:rtl/>
        </w:rPr>
      </w:pPr>
      <w:r w:rsidRPr="00064619">
        <w:rPr>
          <w:rtl/>
        </w:rPr>
        <w:t>(</w:t>
      </w:r>
      <w:r w:rsidRPr="00064619">
        <w:rPr>
          <w:rtl/>
        </w:rPr>
        <w:footnoteRef/>
      </w:r>
      <w:r w:rsidRPr="00064619">
        <w:rPr>
          <w:rtl/>
        </w:rPr>
        <w:t>) القيصري، شرح فصوص الحكم، آخر المقدمة: 148 ـ 149.</w:t>
      </w:r>
    </w:p>
  </w:footnote>
  <w:footnote w:id="43">
    <w:p w:rsidR="00F93F13" w:rsidRPr="00064619" w:rsidRDefault="00F93F13" w:rsidP="005A7B11">
      <w:pPr>
        <w:pStyle w:val="FootnoteText"/>
        <w:rPr>
          <w:rtl/>
        </w:rPr>
      </w:pPr>
      <w:r w:rsidRPr="00064619">
        <w:rPr>
          <w:rtl/>
        </w:rPr>
        <w:t>(</w:t>
      </w:r>
      <w:r w:rsidRPr="00064619">
        <w:rPr>
          <w:rtl/>
        </w:rPr>
        <w:footnoteRef/>
      </w:r>
      <w:r w:rsidRPr="00064619">
        <w:rPr>
          <w:rtl/>
        </w:rPr>
        <w:t>) المصدر نفسه: 146 ـ 147. جلال الدين الآشتياني، شرح مقدمة الفصوص: 867</w:t>
      </w:r>
      <w:r>
        <w:rPr>
          <w:rFonts w:hint="cs"/>
          <w:rtl/>
        </w:rPr>
        <w:t xml:space="preserve">. </w:t>
      </w:r>
    </w:p>
  </w:footnote>
  <w:footnote w:id="44">
    <w:p w:rsidR="00F93F13" w:rsidRPr="00064619" w:rsidRDefault="00F93F13" w:rsidP="005A7B11">
      <w:pPr>
        <w:pStyle w:val="FootnoteText"/>
        <w:rPr>
          <w:rtl/>
        </w:rPr>
      </w:pPr>
      <w:r w:rsidRPr="00064619">
        <w:rPr>
          <w:rtl/>
        </w:rPr>
        <w:t>(</w:t>
      </w:r>
      <w:r w:rsidRPr="00064619">
        <w:rPr>
          <w:rtl/>
        </w:rPr>
        <w:footnoteRef/>
      </w:r>
      <w:r w:rsidRPr="00064619">
        <w:rPr>
          <w:rtl/>
        </w:rPr>
        <w:t xml:space="preserve">) </w:t>
      </w:r>
      <w:r>
        <w:rPr>
          <w:rFonts w:hint="cs"/>
          <w:rtl/>
        </w:rPr>
        <w:t xml:space="preserve">القيصري، شرح فصوص الحكم: 146ـ147؛ السيد </w:t>
      </w:r>
      <w:r w:rsidRPr="00064619">
        <w:rPr>
          <w:rtl/>
        </w:rPr>
        <w:t xml:space="preserve">الخميني، حاشية شرح فصوص الحكم: 166؛ </w:t>
      </w:r>
      <w:r w:rsidRPr="005A7B11">
        <w:rPr>
          <w:rtl/>
        </w:rPr>
        <w:t xml:space="preserve">«فيصير الله سمعه وبصره ويده، كما في الحديث. وهذا حقيقة قرب النوافل، فيصير </w:t>
      </w:r>
      <w:r w:rsidRPr="005A7B11">
        <w:rPr>
          <w:rFonts w:hint="cs"/>
          <w:rtl/>
        </w:rPr>
        <w:t>العبد</w:t>
      </w:r>
      <w:r w:rsidRPr="005A7B11">
        <w:rPr>
          <w:rtl/>
        </w:rPr>
        <w:t xml:space="preserve"> مخلعاً</w:t>
      </w:r>
      <w:r>
        <w:rPr>
          <w:rFonts w:hint="cs"/>
          <w:rtl/>
        </w:rPr>
        <w:t xml:space="preserve"> ب</w:t>
      </w:r>
      <w:r w:rsidRPr="005A7B11">
        <w:rPr>
          <w:rtl/>
        </w:rPr>
        <w:t>...</w:t>
      </w:r>
      <w:r>
        <w:rPr>
          <w:rFonts w:hint="cs"/>
          <w:rtl/>
        </w:rPr>
        <w:t xml:space="preserve"> خلعة الولاية، فيكون حقا في صورة الخلق...</w:t>
      </w:r>
      <w:r>
        <w:rPr>
          <w:rtl/>
        </w:rPr>
        <w:t>»</w:t>
      </w:r>
      <w:r>
        <w:rPr>
          <w:rFonts w:hint="cs"/>
          <w:rtl/>
        </w:rPr>
        <w:t xml:space="preserve">، </w:t>
      </w:r>
      <w:r w:rsidRPr="00064619">
        <w:rPr>
          <w:rtl/>
        </w:rPr>
        <w:t>الآشتياني، مقدمة شرح فصوص الحكم: 868 ـ 869.</w:t>
      </w:r>
    </w:p>
    <w:p w:rsidR="00F93F13" w:rsidRPr="00064619" w:rsidRDefault="00F93F13" w:rsidP="00064619">
      <w:pPr>
        <w:pStyle w:val="FootnoteText"/>
        <w:rPr>
          <w:rtl/>
        </w:rPr>
      </w:pPr>
      <w:r w:rsidRPr="00064619">
        <w:rPr>
          <w:rtl/>
        </w:rPr>
        <w:t>والمراد من حديث قرب النوافل هو حديث أبان بن تغلب عن الباقر×: «وما يتقرَّب إليَّ عبد من عبادي بشيء أحبّ إليّ ممّا افترضت عليه، وإنّه ليتقرَّب إليّ بالنافلة حتّى أحبّه، فإذا أحببتُه كنت سمعه الذي يسمع به، وبصره الذي يبصر به، ولسانه الذي ينطق به، ويده التي يبطش بها، إن دعاني أجبته، وإن سألني أعطيته» (أصول الكافي 2: 352، كتاب الإيمان والكفر، باب مَنْ آذى المسلمين واحتقرهم، الحديث 8).</w:t>
      </w:r>
    </w:p>
  </w:footnote>
  <w:footnote w:id="45">
    <w:p w:rsidR="00F93F13" w:rsidRPr="00064619" w:rsidRDefault="00F93F13" w:rsidP="00526B15">
      <w:pPr>
        <w:pStyle w:val="FootnoteText"/>
        <w:rPr>
          <w:rtl/>
        </w:rPr>
      </w:pPr>
      <w:r w:rsidRPr="00064619">
        <w:rPr>
          <w:rtl/>
        </w:rPr>
        <w:t>(</w:t>
      </w:r>
      <w:r w:rsidRPr="00064619">
        <w:rPr>
          <w:rtl/>
        </w:rPr>
        <w:footnoteRef/>
      </w:r>
      <w:r w:rsidRPr="00064619">
        <w:rPr>
          <w:rtl/>
        </w:rPr>
        <w:t xml:space="preserve">) </w:t>
      </w:r>
      <w:r>
        <w:rPr>
          <w:rFonts w:hint="cs"/>
          <w:rtl/>
        </w:rPr>
        <w:t xml:space="preserve">تحقيق في مسئلة الولاية </w:t>
      </w:r>
      <w:r w:rsidRPr="00A97582">
        <w:rPr>
          <w:rFonts w:hint="cs"/>
          <w:rtl/>
        </w:rPr>
        <w:t xml:space="preserve">الكلية، حاشية الفصوص لمحمدرضا القمشه اي (المندرج في رسائل القيصري، تصحيح الآشتياني  ص71) : </w:t>
      </w:r>
      <w:r w:rsidRPr="00A97582">
        <w:rPr>
          <w:rtl/>
        </w:rPr>
        <w:t>«فيصير</w:t>
      </w:r>
      <w:r w:rsidRPr="00064619">
        <w:rPr>
          <w:rtl/>
        </w:rPr>
        <w:t xml:space="preserve"> الولي حينئذٍ في مراتب الولاية الخاصّة، ومدارج الألوهية، حتّى يسري في جميع الأسماء الإلهيّة، وينتهي إلى مرتبة جميع الأسماء، ويصير إماماً ومرجعاً لجميع الأولياء الخاصة والعامة، والكل يأوي إليه، ويستفيض منه. فهذا أحد معاني قوله: (السلطان ظل الله يأوي إليه كلّ مظلوم). وهو علي بن موسى الرضا×؛ لأن الأسماء تنزل من السماء، والأولياء ـ لا سيما الخواص منهم ـ هم المظلومون لأنفسهم؛ لأنهم يغنون في الله، وتلك الولاية الجامعة لدى اشتداده تكون صفة من أوصافه تعالى، المشار إليه بقوله ﴿</w:t>
      </w:r>
      <w:r w:rsidRPr="00526B15">
        <w:rPr>
          <w:b/>
          <w:bCs/>
          <w:rtl/>
        </w:rPr>
        <w:t>وهو الولي الحميد</w:t>
      </w:r>
      <w:r w:rsidRPr="00064619">
        <w:rPr>
          <w:rtl/>
        </w:rPr>
        <w:t>﴾».</w:t>
      </w:r>
    </w:p>
  </w:footnote>
  <w:footnote w:id="46">
    <w:p w:rsidR="00F93F13" w:rsidRPr="00064619" w:rsidRDefault="00F93F13" w:rsidP="00064619">
      <w:pPr>
        <w:pStyle w:val="FootnoteText"/>
        <w:rPr>
          <w:rtl/>
        </w:rPr>
      </w:pPr>
      <w:r w:rsidRPr="00064619">
        <w:rPr>
          <w:rtl/>
        </w:rPr>
        <w:t>(</w:t>
      </w:r>
      <w:r w:rsidRPr="00064619">
        <w:rPr>
          <w:rtl/>
        </w:rPr>
        <w:footnoteRef/>
      </w:r>
      <w:r w:rsidRPr="00064619">
        <w:rPr>
          <w:rtl/>
        </w:rPr>
        <w:t xml:space="preserve">) ابن عربي، فصوص الحكم، فص العزيزية: 134: «إنّ الولاية هي الفلك المحيط العام، ولهذا لم تنقطع، ولها الإنباء العام، وأما نبوة التشريع والرسالة فمنقطعة»؛ القيصري، شرح فصوص الحكم: 147 و832، أواخر المقدمة وفصّ العزيزية. </w:t>
      </w:r>
      <w:r>
        <w:rPr>
          <w:rFonts w:hint="cs"/>
          <w:rtl/>
        </w:rPr>
        <w:t xml:space="preserve">السيد </w:t>
      </w:r>
      <w:r w:rsidRPr="00064619">
        <w:rPr>
          <w:rtl/>
        </w:rPr>
        <w:t>الخميني، حاشية شرح الفصوص للقيصري: 832: «لما كان مدار الرسالة على الاحتياجات الملكية من السياسات والمعاملات والعبادات، وهي من الأمور الكونية المنقطعة بانقطاعه، فلا محال تنقطع هي أيضاً، بل بالتشريع التام المتكفل لجميع الاحتياجات، كتشريع نبينا</w:t>
      </w:r>
      <w:r w:rsidRPr="00064619">
        <w:rPr>
          <w:rtl/>
        </w:rPr>
        <w:sym w:font="Roumouz" w:char="F02D"/>
      </w:r>
      <w:r w:rsidRPr="00064619">
        <w:rPr>
          <w:rtl/>
        </w:rPr>
        <w:t>، بخلاف الولاية، فإن حقيقتها تحصل بالقرب، أو نفس القرب التامّ، وهو غير منقطع، كما لا يخفى» (تعليقات أبو العلاء العفيفي على فصوص الحكم لابن عربي: 174).</w:t>
      </w:r>
    </w:p>
  </w:footnote>
  <w:footnote w:id="47">
    <w:p w:rsidR="00F93F13" w:rsidRPr="00064619" w:rsidRDefault="00F93F13" w:rsidP="00064619">
      <w:pPr>
        <w:pStyle w:val="FootnoteText"/>
        <w:rPr>
          <w:rtl/>
        </w:rPr>
      </w:pPr>
      <w:r w:rsidRPr="00064619">
        <w:rPr>
          <w:rtl/>
        </w:rPr>
        <w:t>(</w:t>
      </w:r>
      <w:r w:rsidRPr="00064619">
        <w:rPr>
          <w:rtl/>
        </w:rPr>
        <w:footnoteRef/>
      </w:r>
      <w:r w:rsidRPr="00064619">
        <w:rPr>
          <w:rtl/>
        </w:rPr>
        <w:t>) ابن عربي، فصوص الحكم، فص العزيزية: 135؛ ابن عربي، التجليات الإلهية: 299 ـ 301؛ القيصري، شرح الفصوص، الفصل الثاني عشر من المقدّمة: 138 ـ 147. الآشتياني، شرح مقدمة فصوص الحكم؛ السيد حيدر الآملي، نص النصوص في شرح فصوص الحكم: 168؛ الفيض الكاشاني، علم اليقين 1: 366؛</w:t>
      </w:r>
      <w:r>
        <w:rPr>
          <w:rFonts w:hint="cs"/>
          <w:rtl/>
        </w:rPr>
        <w:t xml:space="preserve"> السيد</w:t>
      </w:r>
      <w:r w:rsidRPr="00064619">
        <w:rPr>
          <w:rtl/>
        </w:rPr>
        <w:t xml:space="preserve"> الخميني، مصباح الهداية إلى الخلافة والولاية.</w:t>
      </w:r>
    </w:p>
  </w:footnote>
  <w:footnote w:id="48">
    <w:p w:rsidR="00F93F13" w:rsidRPr="00064619" w:rsidRDefault="00F93F13" w:rsidP="00064619">
      <w:pPr>
        <w:pStyle w:val="FootnoteText"/>
        <w:rPr>
          <w:rtl/>
        </w:rPr>
      </w:pPr>
      <w:r w:rsidRPr="00064619">
        <w:rPr>
          <w:rtl/>
        </w:rPr>
        <w:t>(</w:t>
      </w:r>
      <w:r w:rsidRPr="00064619">
        <w:rPr>
          <w:rtl/>
        </w:rPr>
        <w:footnoteRef/>
      </w:r>
      <w:r w:rsidRPr="00064619">
        <w:rPr>
          <w:rtl/>
        </w:rPr>
        <w:t xml:space="preserve">) الآملي، نصّ النصوص في شرح فصوص الحكم: 168؛ رسائل القيصري (حاشية الفصوص لقمشه إي): 66 ـ 89: «فالولاية المحمدية هي الولاية المطلقة الإلهية، التي ظهرت بأوصاف كماله ونعوت جماله». القيصري، شرح مقدمة الفصوص؛ رسالة بيان حقيقة الولاية: 889 ـ 941؛ </w:t>
      </w:r>
      <w:r>
        <w:rPr>
          <w:rFonts w:hint="cs"/>
          <w:rtl/>
        </w:rPr>
        <w:t xml:space="preserve">السيد </w:t>
      </w:r>
      <w:r w:rsidRPr="00064619">
        <w:rPr>
          <w:rtl/>
        </w:rPr>
        <w:t>الخميني، حاشية شرح فصوص الحكم: 166: «فالولاية الأحمدية والأحدية والجمعية مظهر الاسم الأحدي الجمعي، وسائر الأولياء مظاهر ولايته ومحال تجلياته،...فالله تعالى هو الهو المطلق، وهو</w:t>
      </w:r>
      <w:r w:rsidRPr="00064619">
        <w:rPr>
          <w:rtl/>
        </w:rPr>
        <w:sym w:font="Roumouz" w:char="F02D"/>
      </w:r>
      <w:r w:rsidRPr="00064619">
        <w:rPr>
          <w:rtl/>
        </w:rPr>
        <w:t xml:space="preserve"> الولي المطلق». ويقول السيد الخميني في مصباح الهداية: 52: «هذه الخلافة هي روح الخلافة المحمدية، وربها وأصلها ومبدؤها، منها بدأ أصل الخلافة في العوالم كلها، بل أصل الخلافة والخليفة والمستخلف إليه...».</w:t>
      </w:r>
    </w:p>
  </w:footnote>
  <w:footnote w:id="49">
    <w:p w:rsidR="00F93F13" w:rsidRPr="00064619" w:rsidRDefault="00F93F13" w:rsidP="00064619">
      <w:pPr>
        <w:pStyle w:val="FootnoteText"/>
        <w:rPr>
          <w:rtl/>
        </w:rPr>
      </w:pPr>
      <w:r w:rsidRPr="00064619">
        <w:rPr>
          <w:rtl/>
        </w:rPr>
        <w:t>(</w:t>
      </w:r>
      <w:r w:rsidRPr="00064619">
        <w:rPr>
          <w:rtl/>
        </w:rPr>
        <w:footnoteRef/>
      </w:r>
      <w:r w:rsidRPr="00064619">
        <w:rPr>
          <w:rtl/>
        </w:rPr>
        <w:t>) رسائل القيصري (حاشية الفصوص لقمشه إي): 65 ـ 66؛ الآشتياني، شرح مقدمة الفصوص: 894 فما بعدها. في هذين المصدرين كان هنالك سعي حثيث للجمع بين قولي محي الدين ابن عربي في</w:t>
      </w:r>
      <w:r>
        <w:rPr>
          <w:rFonts w:hint="cs"/>
          <w:rtl/>
        </w:rPr>
        <w:t xml:space="preserve"> </w:t>
      </w:r>
      <w:r w:rsidRPr="00064619">
        <w:rPr>
          <w:rtl/>
        </w:rPr>
        <w:t>خصوص خاتم الأولياء، أي هل هو المسيح× أم المهدي</w:t>
      </w:r>
      <w:r w:rsidRPr="00064619">
        <w:rPr>
          <w:rtl/>
        </w:rPr>
        <w:sym w:font="Abz Roumouz" w:char="F02E"/>
      </w:r>
      <w:r w:rsidRPr="00064619">
        <w:rPr>
          <w:rtl/>
        </w:rPr>
        <w:t>؟</w:t>
      </w:r>
    </w:p>
  </w:footnote>
  <w:footnote w:id="50">
    <w:p w:rsidR="00F93F13" w:rsidRPr="00064619" w:rsidRDefault="00F93F13" w:rsidP="00064619">
      <w:pPr>
        <w:pStyle w:val="FootnoteText"/>
        <w:rPr>
          <w:rtl/>
        </w:rPr>
      </w:pPr>
      <w:r w:rsidRPr="00064619">
        <w:rPr>
          <w:rtl/>
        </w:rPr>
        <w:t>(</w:t>
      </w:r>
      <w:r w:rsidRPr="00064619">
        <w:rPr>
          <w:rtl/>
        </w:rPr>
        <w:footnoteRef/>
      </w:r>
      <w:r w:rsidRPr="00064619">
        <w:rPr>
          <w:rtl/>
        </w:rPr>
        <w:t>) محيي الدين ابن عربي، الفتوحات المكية 14: 554.</w:t>
      </w:r>
    </w:p>
  </w:footnote>
  <w:footnote w:id="51">
    <w:p w:rsidR="00F93F13" w:rsidRPr="00064619" w:rsidRDefault="00F93F13" w:rsidP="00E10F75">
      <w:pPr>
        <w:pStyle w:val="FootnoteText"/>
        <w:rPr>
          <w:rtl/>
        </w:rPr>
      </w:pPr>
      <w:r w:rsidRPr="00064619">
        <w:rPr>
          <w:rtl/>
        </w:rPr>
        <w:t>(</w:t>
      </w:r>
      <w:r w:rsidRPr="00064619">
        <w:rPr>
          <w:rtl/>
        </w:rPr>
        <w:footnoteRef/>
      </w:r>
      <w:r w:rsidRPr="00064619">
        <w:rPr>
          <w:rtl/>
        </w:rPr>
        <w:t xml:space="preserve">) يقول </w:t>
      </w:r>
      <w:r>
        <w:rPr>
          <w:rFonts w:hint="cs"/>
          <w:rtl/>
        </w:rPr>
        <w:t xml:space="preserve">مولانا جلال الدين البلخي الرومي في المثنوي (تصحيح الإستعلامي، الدفتر الثاني، الأبيات 818 ،820 و821) </w:t>
      </w:r>
      <w:r w:rsidRPr="00064619">
        <w:rPr>
          <w:rtl/>
        </w:rPr>
        <w:t>ما يمكن ترجمته بما يلي:</w:t>
      </w:r>
    </w:p>
    <w:p w:rsidR="00F93F13" w:rsidRPr="00A97582" w:rsidRDefault="00F93F13" w:rsidP="00A97582">
      <w:pPr>
        <w:pStyle w:val="FootnoteText"/>
        <w:jc w:val="center"/>
        <w:rPr>
          <w:rtl/>
        </w:rPr>
      </w:pPr>
      <w:r w:rsidRPr="00A97582">
        <w:rPr>
          <w:rtl/>
        </w:rPr>
        <w:t>لك</w:t>
      </w:r>
      <w:r>
        <w:rPr>
          <w:rFonts w:hint="cs"/>
          <w:rtl/>
        </w:rPr>
        <w:t>ـــــ</w:t>
      </w:r>
      <w:r w:rsidRPr="00A97582">
        <w:rPr>
          <w:rtl/>
        </w:rPr>
        <w:t>ل فت</w:t>
      </w:r>
      <w:r w:rsidRPr="00A97582">
        <w:rPr>
          <w:rFonts w:hint="cs"/>
          <w:rtl/>
        </w:rPr>
        <w:t>ــ</w:t>
      </w:r>
      <w:r>
        <w:rPr>
          <w:rFonts w:hint="cs"/>
          <w:rtl/>
        </w:rPr>
        <w:t>ــــ</w:t>
      </w:r>
      <w:r w:rsidRPr="00A97582">
        <w:rPr>
          <w:rFonts w:hint="cs"/>
          <w:rtl/>
        </w:rPr>
        <w:t>ــ</w:t>
      </w:r>
      <w:r w:rsidRPr="00A97582">
        <w:rPr>
          <w:rtl/>
        </w:rPr>
        <w:t>رة ول</w:t>
      </w:r>
      <w:r w:rsidRPr="00A97582">
        <w:rPr>
          <w:rFonts w:hint="cs"/>
          <w:rtl/>
        </w:rPr>
        <w:t>ــ</w:t>
      </w:r>
      <w:r w:rsidRPr="00A97582">
        <w:rPr>
          <w:rtl/>
        </w:rPr>
        <w:t xml:space="preserve">يّ </w:t>
      </w:r>
      <w:r>
        <w:rPr>
          <w:rtl/>
        </w:rPr>
        <w:t>قائم</w:t>
      </w:r>
      <w:r>
        <w:rPr>
          <w:rtl/>
        </w:rPr>
        <w:tab/>
      </w:r>
      <w:r w:rsidRPr="00A97582">
        <w:rPr>
          <w:rtl/>
        </w:rPr>
        <w:t>وإلى ي</w:t>
      </w:r>
      <w:r>
        <w:rPr>
          <w:rFonts w:hint="cs"/>
          <w:rtl/>
        </w:rPr>
        <w:t>ــ</w:t>
      </w:r>
      <w:r w:rsidRPr="00A97582">
        <w:rPr>
          <w:rtl/>
        </w:rPr>
        <w:t>وم القيامة الام</w:t>
      </w:r>
      <w:r>
        <w:rPr>
          <w:rFonts w:hint="cs"/>
          <w:rtl/>
        </w:rPr>
        <w:t>ـــــ</w:t>
      </w:r>
      <w:r w:rsidRPr="00A97582">
        <w:rPr>
          <w:rtl/>
        </w:rPr>
        <w:t>تحان دائ</w:t>
      </w:r>
      <w:r>
        <w:rPr>
          <w:rFonts w:hint="cs"/>
          <w:rtl/>
        </w:rPr>
        <w:t>ــ</w:t>
      </w:r>
      <w:r w:rsidRPr="00A97582">
        <w:rPr>
          <w:rtl/>
        </w:rPr>
        <w:t>م</w:t>
      </w:r>
    </w:p>
    <w:p w:rsidR="00F93F13" w:rsidRPr="00A97582" w:rsidRDefault="00F93F13" w:rsidP="00A97582">
      <w:pPr>
        <w:pStyle w:val="FootnoteText"/>
        <w:jc w:val="center"/>
        <w:rPr>
          <w:rtl/>
        </w:rPr>
      </w:pPr>
      <w:r w:rsidRPr="00A97582">
        <w:rPr>
          <w:rFonts w:hint="cs"/>
          <w:rtl/>
        </w:rPr>
        <w:t>فالإمام الحي القائم هو ذاك ال</w:t>
      </w:r>
      <w:r>
        <w:rPr>
          <w:rFonts w:hint="cs"/>
          <w:rtl/>
        </w:rPr>
        <w:t>ــ</w:t>
      </w:r>
      <w:r w:rsidRPr="00A97582">
        <w:rPr>
          <w:rFonts w:hint="cs"/>
          <w:rtl/>
        </w:rPr>
        <w:t xml:space="preserve">ولي </w:t>
      </w:r>
      <w:r>
        <w:rPr>
          <w:rtl/>
        </w:rPr>
        <w:tab/>
      </w:r>
      <w:r w:rsidRPr="00A97582">
        <w:rPr>
          <w:rFonts w:hint="cs"/>
          <w:rtl/>
        </w:rPr>
        <w:t xml:space="preserve"> </w:t>
      </w:r>
      <w:r w:rsidRPr="00A97582">
        <w:rPr>
          <w:rtl/>
        </w:rPr>
        <w:t>سواء كان من نسل عمر أم من نسل علي</w:t>
      </w:r>
    </w:p>
    <w:p w:rsidR="00F93F13" w:rsidRPr="00064619" w:rsidRDefault="00F93F13" w:rsidP="00A97582">
      <w:pPr>
        <w:pStyle w:val="FootnoteText"/>
        <w:jc w:val="center"/>
        <w:rPr>
          <w:rtl/>
        </w:rPr>
      </w:pPr>
      <w:r w:rsidRPr="00A97582">
        <w:rPr>
          <w:rtl/>
        </w:rPr>
        <w:t>يا أيها السالك هو المهدي والهادي</w:t>
      </w:r>
      <w:r w:rsidRPr="00A97582">
        <w:rPr>
          <w:rFonts w:hint="cs"/>
          <w:rtl/>
        </w:rPr>
        <w:t xml:space="preserve"> </w:t>
      </w:r>
      <w:r>
        <w:rPr>
          <w:rtl/>
        </w:rPr>
        <w:tab/>
      </w:r>
      <w:r w:rsidRPr="00A97582">
        <w:rPr>
          <w:rFonts w:hint="cs"/>
          <w:rtl/>
        </w:rPr>
        <w:t xml:space="preserve"> </w:t>
      </w:r>
      <w:r w:rsidRPr="00A97582">
        <w:rPr>
          <w:rtl/>
        </w:rPr>
        <w:t>س</w:t>
      </w:r>
      <w:r>
        <w:rPr>
          <w:rFonts w:hint="cs"/>
          <w:rtl/>
        </w:rPr>
        <w:t>ــــــ</w:t>
      </w:r>
      <w:r w:rsidRPr="00A97582">
        <w:rPr>
          <w:rtl/>
        </w:rPr>
        <w:t>واء كان غائباً أم حاض</w:t>
      </w:r>
      <w:r>
        <w:rPr>
          <w:rFonts w:hint="cs"/>
          <w:rtl/>
        </w:rPr>
        <w:t>ـــــــ</w:t>
      </w:r>
      <w:r w:rsidRPr="00A97582">
        <w:rPr>
          <w:rtl/>
        </w:rPr>
        <w:t>راً</w:t>
      </w:r>
    </w:p>
    <w:p w:rsidR="00F93F13" w:rsidRPr="00064619" w:rsidRDefault="00F93F13" w:rsidP="00064619">
      <w:pPr>
        <w:pStyle w:val="FootnoteText"/>
        <w:rPr>
          <w:rtl/>
        </w:rPr>
      </w:pPr>
      <w:r w:rsidRPr="00064619">
        <w:rPr>
          <w:rtl/>
        </w:rPr>
        <w:t>يقول شمس الدين محمد اللاهيجي في كتابه «مفاتيح الإعجاز في شرح ﮔلشن راز»: 231: «الولي اسم من الأسماء الإلهية. وفي كل زمن لابدّ من مظهر لهذا الاسم. ولذلك فإن الولاية باقية، وإنْ اختتمت النبوة...».</w:t>
      </w:r>
    </w:p>
    <w:p w:rsidR="00F93F13" w:rsidRPr="00064619" w:rsidRDefault="00F93F13" w:rsidP="00064619">
      <w:pPr>
        <w:pStyle w:val="FootnoteText"/>
        <w:rPr>
          <w:rtl/>
        </w:rPr>
      </w:pPr>
      <w:r w:rsidRPr="00064619">
        <w:rPr>
          <w:rtl/>
        </w:rPr>
        <w:t>ويقول شيخ الإشراق السهروردي في كتاب «حكمة الإشراق»، مجموعة مصنفات شيخ الإشراق 2: 12: «ولا يخلو الأرض عن متوغِّل في التألُّه أبداً...».</w:t>
      </w:r>
    </w:p>
  </w:footnote>
  <w:footnote w:id="52">
    <w:p w:rsidR="00F93F13" w:rsidRPr="00064619" w:rsidRDefault="00F93F13" w:rsidP="00635BE2">
      <w:pPr>
        <w:pStyle w:val="FootnoteText"/>
        <w:spacing w:line="199" w:lineRule="auto"/>
        <w:rPr>
          <w:rtl/>
        </w:rPr>
      </w:pPr>
      <w:r w:rsidRPr="00064619">
        <w:rPr>
          <w:rtl/>
        </w:rPr>
        <w:t>(</w:t>
      </w:r>
      <w:r w:rsidRPr="00064619">
        <w:rPr>
          <w:rtl/>
        </w:rPr>
        <w:footnoteRef/>
      </w:r>
      <w:r w:rsidRPr="00064619">
        <w:rPr>
          <w:rtl/>
        </w:rPr>
        <w:t>) راجع على سبيل المثال: عزيز الدين نسفي، الإنسان الكامل: 361 ـ 454، تصحيح: ماري جان موله، طهران، 1359هـ.ش.</w:t>
      </w:r>
    </w:p>
  </w:footnote>
  <w:footnote w:id="53">
    <w:p w:rsidR="00F93F13" w:rsidRPr="00064619" w:rsidRDefault="00F93F13" w:rsidP="00635BE2">
      <w:pPr>
        <w:pStyle w:val="FootnoteText"/>
        <w:spacing w:line="199" w:lineRule="auto"/>
        <w:rPr>
          <w:rtl/>
        </w:rPr>
      </w:pPr>
      <w:r w:rsidRPr="00064619">
        <w:rPr>
          <w:rtl/>
        </w:rPr>
        <w:t>(</w:t>
      </w:r>
      <w:r w:rsidRPr="00064619">
        <w:rPr>
          <w:rtl/>
        </w:rPr>
        <w:footnoteRef/>
      </w:r>
      <w:r w:rsidRPr="00064619">
        <w:rPr>
          <w:rtl/>
        </w:rPr>
        <w:t>) شهاب الدين السهروردي، مصنفات شيخ الإشراق، كتاب حكمة الإشراق 2: 12: «ولا رئاسة في أرض الله للباحث المتوغِّل في البحث الذي لم يتوغَّل في التألُّه، فإنّ المتوغِّل في التألُّه لا يخلو العالم عنه، وهو أحقّ من الباحث فحسب، إذ لابدّ للخلافة من التلقّي. ولست أعني بهذه الرئاسة التغلب، بل قد يكون الإمام المتألِّه مستولياً ظاهراً مكشوفاً، وقد يكون خفيّاً، وهو الذي سماه الكافّة القطب، فله الرئاسة وإنْ كان في غاية الخمول، وإذا كانت السياسة بيده كان الزمان نوريّاً، وإذا خلا الزمان عن تدبير إلهيّ كانت الظلمة غالبة».</w:t>
      </w:r>
    </w:p>
  </w:footnote>
  <w:footnote w:id="54">
    <w:p w:rsidR="00F93F13" w:rsidRPr="00064619" w:rsidRDefault="00F93F13" w:rsidP="00064619">
      <w:pPr>
        <w:pStyle w:val="FootnoteText"/>
        <w:rPr>
          <w:rtl/>
        </w:rPr>
      </w:pPr>
      <w:r w:rsidRPr="00064619">
        <w:rPr>
          <w:rtl/>
        </w:rPr>
        <w:t>(</w:t>
      </w:r>
      <w:r w:rsidRPr="00064619">
        <w:rPr>
          <w:rtl/>
        </w:rPr>
        <w:footnoteRef/>
      </w:r>
      <w:r w:rsidRPr="00064619">
        <w:rPr>
          <w:rtl/>
        </w:rPr>
        <w:t>) القيصري، شرح فصوص الحكم، آخر المقدمة: 148 ـ 149: «...ولكل منهما التصرّف في العالم، وهؤلاء إنْ ساعدتهم الأسباب الخارجية استولوا على أهل العالم، وصار كلٌّ منهم صاحب قرنه وزمانه بحسب الدولة الظاهرة، وإنْ لم تساعدهم الأسباب لم يحصل لهم ذلك إلاّ أنّهم بأيّ شيء اشتغلوا كانوا فيه بالكمال». وانظر أيضاً: رسائل القيصري (حاشية الفصوص لقمشه إي): 92 ـ 93.</w:t>
      </w:r>
    </w:p>
  </w:footnote>
  <w:footnote w:id="55">
    <w:p w:rsidR="00F93F13" w:rsidRPr="00064619" w:rsidRDefault="00F93F13" w:rsidP="00064619">
      <w:pPr>
        <w:pStyle w:val="FootnoteText"/>
        <w:rPr>
          <w:rtl/>
        </w:rPr>
      </w:pPr>
      <w:r w:rsidRPr="00064619">
        <w:rPr>
          <w:rtl/>
        </w:rPr>
        <w:t>(</w:t>
      </w:r>
      <w:r w:rsidRPr="00064619">
        <w:rPr>
          <w:rtl/>
        </w:rPr>
        <w:footnoteRef/>
      </w:r>
      <w:r w:rsidRPr="00064619">
        <w:rPr>
          <w:rtl/>
        </w:rPr>
        <w:t>) رسائل القيصري (حاشية الفصوص لقمشه إي) ص 92 ـ 93.</w:t>
      </w:r>
    </w:p>
  </w:footnote>
  <w:footnote w:id="56">
    <w:p w:rsidR="00F93F13" w:rsidRPr="00064619" w:rsidRDefault="00F93F13" w:rsidP="00064619">
      <w:pPr>
        <w:pStyle w:val="FootnoteText"/>
        <w:rPr>
          <w:rtl/>
        </w:rPr>
      </w:pPr>
      <w:r w:rsidRPr="00064619">
        <w:rPr>
          <w:rtl/>
        </w:rPr>
        <w:t>(</w:t>
      </w:r>
      <w:r w:rsidRPr="00064619">
        <w:rPr>
          <w:rtl/>
        </w:rPr>
        <w:footnoteRef/>
      </w:r>
      <w:r w:rsidRPr="00064619">
        <w:rPr>
          <w:rtl/>
        </w:rPr>
        <w:t>) العلاقة بين العرفان والسياسة هو بحث محلّ تأمل في عصرنا هذا. فقد خصَّص الدكتور سيد جواد طباطبائي الفصل السادس من كتابه «در آمدى فلسفي بر تاريخ أنديشه سياسي در إيران»، طهران، 1367هـ.ش، للبحث حول استحالة قيام الفكر السياسيّ المبنيّ على الفكر العرفانيّ. وفي محلّه سوف نبحث حول النقاط السلبية والإيجابية للقيادة الكاريزمية والسياسة العرفائية.</w:t>
      </w:r>
    </w:p>
  </w:footnote>
  <w:footnote w:id="57">
    <w:p w:rsidR="00F93F13" w:rsidRPr="00064619" w:rsidRDefault="00F93F13" w:rsidP="00064619">
      <w:pPr>
        <w:pStyle w:val="FootnoteText"/>
        <w:rPr>
          <w:rtl/>
        </w:rPr>
      </w:pPr>
      <w:r w:rsidRPr="00064619">
        <w:rPr>
          <w:rtl/>
        </w:rPr>
        <w:t>(</w:t>
      </w:r>
      <w:r w:rsidRPr="00064619">
        <w:rPr>
          <w:rtl/>
        </w:rPr>
        <w:footnoteRef/>
      </w:r>
      <w:r w:rsidRPr="00064619">
        <w:rPr>
          <w:rtl/>
        </w:rPr>
        <w:t>) كما في سورة الشورى: 23، حيث يقول تعالى: ﴿</w:t>
      </w:r>
      <w:r w:rsidRPr="007A340E">
        <w:rPr>
          <w:b/>
          <w:bCs/>
          <w:rtl/>
        </w:rPr>
        <w:t>قُلْ لاَ أَسْأَلُكُمْ عَلَيْهِ أَجْراً إِلاَّ الْمَوَدَّةَ فِي الْقُرْبَى</w:t>
      </w:r>
      <w:r w:rsidRPr="00064619">
        <w:rPr>
          <w:rtl/>
        </w:rPr>
        <w:t>﴾.</w:t>
      </w:r>
    </w:p>
  </w:footnote>
  <w:footnote w:id="58">
    <w:p w:rsidR="00F93F13" w:rsidRPr="00064619" w:rsidRDefault="00F93F13" w:rsidP="00064619">
      <w:pPr>
        <w:pStyle w:val="FootnoteText"/>
        <w:rPr>
          <w:rtl/>
        </w:rPr>
      </w:pPr>
      <w:r w:rsidRPr="00064619">
        <w:rPr>
          <w:rtl/>
        </w:rPr>
        <w:t>(</w:t>
      </w:r>
      <w:r w:rsidRPr="00064619">
        <w:rPr>
          <w:rtl/>
        </w:rPr>
        <w:footnoteRef/>
      </w:r>
      <w:r w:rsidRPr="00064619">
        <w:rPr>
          <w:rtl/>
        </w:rPr>
        <w:t>) مرتضى مطهري، ولاء وولايتها، مجموعة آثار 3: 271 ـ 276.</w:t>
      </w:r>
    </w:p>
  </w:footnote>
  <w:footnote w:id="59">
    <w:p w:rsidR="00F93F13" w:rsidRPr="00064619" w:rsidRDefault="00F93F13" w:rsidP="00064619">
      <w:pPr>
        <w:pStyle w:val="FootnoteText"/>
        <w:rPr>
          <w:rtl/>
        </w:rPr>
      </w:pPr>
      <w:r w:rsidRPr="00064619">
        <w:rPr>
          <w:rtl/>
        </w:rPr>
        <w:t>(</w:t>
      </w:r>
      <w:r w:rsidRPr="00064619">
        <w:rPr>
          <w:rtl/>
        </w:rPr>
        <w:footnoteRef/>
      </w:r>
      <w:r w:rsidRPr="00064619">
        <w:rPr>
          <w:rtl/>
        </w:rPr>
        <w:t>) انظر: محمد مؤمن القمي في مجموعة آثار المؤتمر العالمي الثاني للإمام الرضا 1: مقالة (ولاية الوليّ المعصوم×)، مشهد، 1365هـ.ش.</w:t>
      </w:r>
    </w:p>
  </w:footnote>
  <w:footnote w:id="60">
    <w:p w:rsidR="00F93F13" w:rsidRPr="00064619" w:rsidRDefault="00F93F13" w:rsidP="00064619">
      <w:pPr>
        <w:pStyle w:val="FootnoteText"/>
        <w:rPr>
          <w:rtl/>
        </w:rPr>
      </w:pPr>
      <w:r w:rsidRPr="00064619">
        <w:rPr>
          <w:rtl/>
        </w:rPr>
        <w:t>(</w:t>
      </w:r>
      <w:r w:rsidRPr="00064619">
        <w:rPr>
          <w:rtl/>
        </w:rPr>
        <w:footnoteRef/>
      </w:r>
      <w:r w:rsidRPr="00064619">
        <w:rPr>
          <w:rtl/>
        </w:rPr>
        <w:t>) مرتضى مطهري، إمامت ورهبري، بحث معاني ومراتب إمامت: 46 ـ 56؛ الشيخ محمد تقي مصباح يزدي، راهنما شناسي، بخش إمامت.</w:t>
      </w:r>
    </w:p>
  </w:footnote>
  <w:footnote w:id="61">
    <w:p w:rsidR="00F93F13" w:rsidRPr="00064619" w:rsidRDefault="00F93F13" w:rsidP="00064619">
      <w:pPr>
        <w:pStyle w:val="FootnoteText"/>
        <w:rPr>
          <w:rtl/>
        </w:rPr>
      </w:pPr>
      <w:r w:rsidRPr="00064619">
        <w:rPr>
          <w:rtl/>
        </w:rPr>
        <w:t>(</w:t>
      </w:r>
      <w:r w:rsidRPr="00064619">
        <w:rPr>
          <w:rtl/>
        </w:rPr>
        <w:footnoteRef/>
      </w:r>
      <w:r w:rsidRPr="00064619">
        <w:rPr>
          <w:rtl/>
        </w:rPr>
        <w:t>) مرتضى مطهري، إمامت ورهبري: 50 ـ 51.</w:t>
      </w:r>
    </w:p>
  </w:footnote>
  <w:footnote w:id="62">
    <w:p w:rsidR="00F93F13" w:rsidRPr="00064619" w:rsidRDefault="00F93F13" w:rsidP="00064619">
      <w:pPr>
        <w:pStyle w:val="FootnoteText"/>
        <w:rPr>
          <w:rtl/>
        </w:rPr>
      </w:pPr>
      <w:r w:rsidRPr="00064619">
        <w:rPr>
          <w:rtl/>
        </w:rPr>
        <w:t>(</w:t>
      </w:r>
      <w:r w:rsidRPr="00064619">
        <w:rPr>
          <w:rtl/>
        </w:rPr>
        <w:footnoteRef/>
      </w:r>
      <w:r w:rsidRPr="00064619">
        <w:rPr>
          <w:rtl/>
        </w:rPr>
        <w:t>) الشيخ المفيد، أوائل المقالات، مصنفات الشيخ المفيد 4: 38 ـ 39؛ السيد المرتضى، الشافي في الإمامة؛ الشيخ الطوسي تلخيص الشافي؛ الخواجة نصير الدين الطوسي، تجريد الاعتقاد، المقصد الخامس في الإمامة، المسألة 2 ـ 3 ـ 4. العلامة الحلّي، نهج الحق وكشف الصدق.</w:t>
      </w:r>
    </w:p>
    <w:p w:rsidR="00F93F13" w:rsidRPr="00064619" w:rsidRDefault="00F93F13" w:rsidP="00635BE2">
      <w:pPr>
        <w:pStyle w:val="FootnoteText"/>
        <w:ind w:firstLine="0"/>
        <w:rPr>
          <w:rtl/>
        </w:rPr>
      </w:pPr>
      <w:r w:rsidRPr="00064619">
        <w:rPr>
          <w:rtl/>
        </w:rPr>
        <w:t>ومن المعاصرين انظر: الشيخ جعفر السبحاني، الإلهيات على هدى الكتاب والسنة والعقل؛ الشيخ مصباح اليزدي، راهنما شناسي.</w:t>
      </w:r>
    </w:p>
  </w:footnote>
  <w:footnote w:id="63">
    <w:p w:rsidR="00F93F13" w:rsidRPr="00064619" w:rsidRDefault="00F93F13" w:rsidP="00064619">
      <w:pPr>
        <w:pStyle w:val="FootnoteText"/>
        <w:rPr>
          <w:rtl/>
        </w:rPr>
      </w:pPr>
      <w:r w:rsidRPr="00064619">
        <w:rPr>
          <w:rtl/>
        </w:rPr>
        <w:t>(</w:t>
      </w:r>
      <w:r w:rsidRPr="00064619">
        <w:rPr>
          <w:rtl/>
        </w:rPr>
        <w:footnoteRef/>
      </w:r>
      <w:r w:rsidRPr="00064619">
        <w:rPr>
          <w:rtl/>
        </w:rPr>
        <w:t>) الخواجة نصير الدين الطوسي، تجريد الاعتقاد، المقصد الخامس، المسألة الخامسة والمسألة الثامنة؛ العلامة الحلي، كشف المراد في شرح تجريد الاعتقاد: 367 ـ 397.</w:t>
      </w:r>
    </w:p>
  </w:footnote>
  <w:footnote w:id="64">
    <w:p w:rsidR="00F93F13" w:rsidRPr="00064619" w:rsidRDefault="00F93F13" w:rsidP="00064619">
      <w:pPr>
        <w:pStyle w:val="FootnoteText"/>
        <w:rPr>
          <w:rtl/>
        </w:rPr>
      </w:pPr>
      <w:r w:rsidRPr="00064619">
        <w:rPr>
          <w:rtl/>
        </w:rPr>
        <w:t>(</w:t>
      </w:r>
      <w:r w:rsidRPr="00064619">
        <w:rPr>
          <w:rtl/>
        </w:rPr>
        <w:footnoteRef/>
      </w:r>
      <w:r w:rsidRPr="00064619">
        <w:rPr>
          <w:rtl/>
        </w:rPr>
        <w:t>) قال رسول الله</w:t>
      </w:r>
      <w:r w:rsidRPr="00064619">
        <w:rPr>
          <w:rtl/>
        </w:rPr>
        <w:sym w:font="Roumouz" w:char="F02D"/>
      </w:r>
      <w:r w:rsidRPr="00064619">
        <w:rPr>
          <w:rtl/>
        </w:rPr>
        <w:t>: «أيها الناس، إني تارك فيكم الثقلين: كتاب الله؛ وعترتي أهل بيتي، ما إن تمسكتم بهما لن تضلّوا بعدي أبداً، فإنّ اللطيف الخبير أخبرني وعهد إليّ أنهما لن يفترقا حتّى يَرِدا عليَّ الحوض» (جامع أحاديث الشيعة 1: 29).</w:t>
      </w:r>
    </w:p>
  </w:footnote>
  <w:footnote w:id="65">
    <w:p w:rsidR="00F93F13" w:rsidRPr="00064619" w:rsidRDefault="00F93F13" w:rsidP="00064619">
      <w:pPr>
        <w:pStyle w:val="FootnoteText"/>
        <w:rPr>
          <w:rtl/>
        </w:rPr>
      </w:pPr>
      <w:r w:rsidRPr="00064619">
        <w:rPr>
          <w:rtl/>
        </w:rPr>
        <w:t>(</w:t>
      </w:r>
      <w:r w:rsidRPr="00064619">
        <w:rPr>
          <w:rtl/>
        </w:rPr>
        <w:footnoteRef/>
      </w:r>
      <w:r w:rsidRPr="00064619">
        <w:rPr>
          <w:rtl/>
        </w:rPr>
        <w:t>) انظر: البروجردي، جامع أحاديث الشيعة 1: المقدّمة.</w:t>
      </w:r>
    </w:p>
  </w:footnote>
  <w:footnote w:id="66">
    <w:p w:rsidR="00F93F13" w:rsidRPr="00064619" w:rsidRDefault="00F93F13" w:rsidP="00064619">
      <w:pPr>
        <w:pStyle w:val="FootnoteText"/>
        <w:rPr>
          <w:rtl/>
        </w:rPr>
      </w:pPr>
      <w:r w:rsidRPr="00064619">
        <w:rPr>
          <w:rtl/>
        </w:rPr>
        <w:t>(</w:t>
      </w:r>
      <w:r w:rsidRPr="00064619">
        <w:rPr>
          <w:rtl/>
        </w:rPr>
        <w:footnoteRef/>
      </w:r>
      <w:r w:rsidRPr="00064619">
        <w:rPr>
          <w:rtl/>
        </w:rPr>
        <w:t>) لتفسير هذه الآية انظر: الطباطبائي، الميزان في تفسير القرآن 5: 167 ـ 201؛ مرتضى مطهري، إمامت ورهبري: 115 ـ 137.</w:t>
      </w:r>
    </w:p>
  </w:footnote>
  <w:footnote w:id="67">
    <w:p w:rsidR="00F93F13" w:rsidRPr="00064619" w:rsidRDefault="00F93F13" w:rsidP="00064619">
      <w:pPr>
        <w:pStyle w:val="FootnoteText"/>
        <w:rPr>
          <w:rtl/>
        </w:rPr>
      </w:pPr>
      <w:r w:rsidRPr="00064619">
        <w:rPr>
          <w:rtl/>
        </w:rPr>
        <w:t>(</w:t>
      </w:r>
      <w:r w:rsidRPr="00064619">
        <w:rPr>
          <w:rtl/>
        </w:rPr>
        <w:footnoteRef/>
      </w:r>
      <w:r w:rsidRPr="00064619">
        <w:rPr>
          <w:rtl/>
        </w:rPr>
        <w:t>) انظر: الطباطبائي، قرآن در إسلام، الفصل الثاني، كيفية تعليم القرآن المجيد.</w:t>
      </w:r>
    </w:p>
  </w:footnote>
  <w:footnote w:id="68">
    <w:p w:rsidR="00F93F13" w:rsidRPr="00064619" w:rsidRDefault="00F93F13" w:rsidP="00064619">
      <w:pPr>
        <w:pStyle w:val="FootnoteText"/>
        <w:rPr>
          <w:rtl/>
        </w:rPr>
      </w:pPr>
      <w:r w:rsidRPr="00064619">
        <w:rPr>
          <w:rtl/>
        </w:rPr>
        <w:t>(</w:t>
      </w:r>
      <w:r w:rsidRPr="00064619">
        <w:rPr>
          <w:rtl/>
        </w:rPr>
        <w:footnoteRef/>
      </w:r>
      <w:r w:rsidRPr="00064619">
        <w:rPr>
          <w:rtl/>
        </w:rPr>
        <w:t>) انظر على سبيل المثال: الطباطبائي، علي وفلسفه إلهي.</w:t>
      </w:r>
    </w:p>
  </w:footnote>
  <w:footnote w:id="69">
    <w:p w:rsidR="00F93F13" w:rsidRPr="00064619" w:rsidRDefault="00F93F13" w:rsidP="00E10F75">
      <w:pPr>
        <w:pStyle w:val="FootnoteText"/>
        <w:rPr>
          <w:rtl/>
        </w:rPr>
      </w:pPr>
      <w:r w:rsidRPr="00064619">
        <w:rPr>
          <w:rtl/>
        </w:rPr>
        <w:t>(</w:t>
      </w:r>
      <w:r w:rsidRPr="00064619">
        <w:rPr>
          <w:rtl/>
        </w:rPr>
        <w:footnoteRef/>
      </w:r>
      <w:r w:rsidRPr="00064619">
        <w:rPr>
          <w:rtl/>
        </w:rPr>
        <w:t>) تمّ جمع روايات أئمّة أهل البيت</w:t>
      </w:r>
      <w:r>
        <w:rPr>
          <w:rFonts w:ascii="Mosawi" w:hAnsi="Mosawi" w:hint="cs"/>
          <w:rtl/>
        </w:rPr>
        <w:t>^</w:t>
      </w:r>
      <w:r w:rsidRPr="00064619">
        <w:rPr>
          <w:rtl/>
        </w:rPr>
        <w:t xml:space="preserve"> في الفروع الفقهية في مجموعتين:</w:t>
      </w:r>
    </w:p>
    <w:p w:rsidR="00F93F13" w:rsidRPr="00064619" w:rsidRDefault="00F93F13" w:rsidP="00635BE2">
      <w:pPr>
        <w:pStyle w:val="FootnoteText"/>
        <w:ind w:left="568"/>
        <w:rPr>
          <w:rtl/>
        </w:rPr>
      </w:pPr>
      <w:r w:rsidRPr="00064619">
        <w:rPr>
          <w:rtl/>
        </w:rPr>
        <w:t>1ـ وسائل الشيعة، للحر العاملي، في 30 مجلّداً.</w:t>
      </w:r>
    </w:p>
    <w:p w:rsidR="00F93F13" w:rsidRPr="00064619" w:rsidRDefault="00F93F13" w:rsidP="00635BE2">
      <w:pPr>
        <w:pStyle w:val="FootnoteText"/>
        <w:ind w:left="568"/>
        <w:rPr>
          <w:rtl/>
        </w:rPr>
      </w:pPr>
      <w:r w:rsidRPr="00064619">
        <w:rPr>
          <w:rtl/>
        </w:rPr>
        <w:t>2ـ مستدرك وسائل الشيعة، للمحدث النوري، في 18 مجلداً.</w:t>
      </w:r>
    </w:p>
  </w:footnote>
  <w:footnote w:id="70">
    <w:p w:rsidR="00F93F13" w:rsidRPr="00064619" w:rsidRDefault="00F93F13" w:rsidP="00064619">
      <w:pPr>
        <w:pStyle w:val="FootnoteText"/>
        <w:rPr>
          <w:rtl/>
        </w:rPr>
      </w:pPr>
      <w:r w:rsidRPr="00064619">
        <w:rPr>
          <w:rtl/>
        </w:rPr>
        <w:t>(</w:t>
      </w:r>
      <w:r w:rsidRPr="00064619">
        <w:rPr>
          <w:rtl/>
        </w:rPr>
        <w:footnoteRef/>
      </w:r>
      <w:r w:rsidRPr="00064619">
        <w:rPr>
          <w:rtl/>
        </w:rPr>
        <w:t>) ما نقل عن الأئمة يشكِّل مجموعة كبيرة. انظر على سبيل المثال: بحار الأنوار، للعلامة المجلسي، في 110 مجلدات.</w:t>
      </w:r>
    </w:p>
  </w:footnote>
  <w:footnote w:id="71">
    <w:p w:rsidR="00F93F13" w:rsidRPr="00064619" w:rsidRDefault="00F93F13" w:rsidP="00064619">
      <w:pPr>
        <w:pStyle w:val="FootnoteText"/>
        <w:rPr>
          <w:rtl/>
        </w:rPr>
      </w:pPr>
      <w:r w:rsidRPr="00064619">
        <w:rPr>
          <w:rtl/>
        </w:rPr>
        <w:t>(</w:t>
      </w:r>
      <w:r w:rsidRPr="00064619">
        <w:rPr>
          <w:rtl/>
        </w:rPr>
        <w:footnoteRef/>
      </w:r>
      <w:r w:rsidRPr="00064619">
        <w:rPr>
          <w:rtl/>
        </w:rPr>
        <w:t>) انظر: الشيخ محمد مؤمن القمي، المؤتمر العالمي الثاني للإمام الرضا×: مقالة (ولاية الولي المعصوم)، مشهد، 1365هـ.ش.</w:t>
      </w:r>
    </w:p>
  </w:footnote>
  <w:footnote w:id="72">
    <w:p w:rsidR="00F93F13" w:rsidRPr="00064619" w:rsidRDefault="00F93F13" w:rsidP="00064619">
      <w:pPr>
        <w:pStyle w:val="FootnoteText"/>
        <w:rPr>
          <w:rtl/>
        </w:rPr>
      </w:pPr>
      <w:r w:rsidRPr="00064619">
        <w:rPr>
          <w:rtl/>
        </w:rPr>
        <w:t>(</w:t>
      </w:r>
      <w:r w:rsidRPr="00064619">
        <w:rPr>
          <w:rtl/>
        </w:rPr>
        <w:footnoteRef/>
      </w:r>
      <w:r w:rsidRPr="00064619">
        <w:rPr>
          <w:rtl/>
        </w:rPr>
        <w:t>) انظر: الشيخ مرتضى مطهري، ولاء وولايتها، مجموعة آثار 3: 274 ـ 307؛ مطهري، إمامت ورهبري: 81 ـ 83.</w:t>
      </w:r>
    </w:p>
  </w:footnote>
  <w:footnote w:id="73">
    <w:p w:rsidR="00F93F13" w:rsidRPr="00064619" w:rsidRDefault="00F93F13" w:rsidP="00064619">
      <w:pPr>
        <w:pStyle w:val="FootnoteText"/>
        <w:rPr>
          <w:rtl/>
        </w:rPr>
      </w:pPr>
      <w:r w:rsidRPr="00064619">
        <w:rPr>
          <w:rtl/>
        </w:rPr>
        <w:t>(</w:t>
      </w:r>
      <w:r w:rsidRPr="00064619">
        <w:rPr>
          <w:rtl/>
        </w:rPr>
        <w:footnoteRef/>
      </w:r>
      <w:r w:rsidRPr="00064619">
        <w:rPr>
          <w:rtl/>
        </w:rPr>
        <w:t>) انظر على سبيل المثال: السيد المرتضى، الذخيرة في علم الكلام، باب الكلام في الإمامة: 409 ـ 429؛ عبد الرزاق اللاهيجي، گوهر مراد: 460 فما بعد، مقالة 3، باب 3.</w:t>
      </w:r>
    </w:p>
  </w:footnote>
  <w:footnote w:id="74">
    <w:p w:rsidR="00F93F13" w:rsidRPr="00064619" w:rsidRDefault="00F93F13" w:rsidP="00064619">
      <w:pPr>
        <w:pStyle w:val="FootnoteText"/>
        <w:rPr>
          <w:rtl/>
        </w:rPr>
      </w:pPr>
      <w:r w:rsidRPr="00064619">
        <w:rPr>
          <w:rtl/>
        </w:rPr>
        <w:t>(</w:t>
      </w:r>
      <w:r w:rsidRPr="00064619">
        <w:rPr>
          <w:rtl/>
        </w:rPr>
        <w:footnoteRef/>
      </w:r>
      <w:r w:rsidRPr="00064619">
        <w:rPr>
          <w:rtl/>
        </w:rPr>
        <w:t>) انظر: مطهري، إمامت ورهبري: 47 ـ 51.</w:t>
      </w:r>
    </w:p>
  </w:footnote>
  <w:footnote w:id="75">
    <w:p w:rsidR="00F93F13" w:rsidRPr="00064619" w:rsidRDefault="00F93F13" w:rsidP="00064619">
      <w:pPr>
        <w:pStyle w:val="FootnoteText"/>
        <w:rPr>
          <w:rtl/>
        </w:rPr>
      </w:pPr>
      <w:r w:rsidRPr="00064619">
        <w:rPr>
          <w:rtl/>
        </w:rPr>
        <w:t>(</w:t>
      </w:r>
      <w:r w:rsidRPr="00064619">
        <w:rPr>
          <w:rtl/>
        </w:rPr>
        <w:footnoteRef/>
      </w:r>
      <w:r w:rsidRPr="00064619">
        <w:rPr>
          <w:rtl/>
        </w:rPr>
        <w:t>) المصدر نفسه: 71.</w:t>
      </w:r>
    </w:p>
  </w:footnote>
  <w:footnote w:id="76">
    <w:p w:rsidR="00F93F13" w:rsidRPr="00064619" w:rsidRDefault="00F93F13" w:rsidP="00064619">
      <w:pPr>
        <w:pStyle w:val="FootnoteText"/>
        <w:rPr>
          <w:rtl/>
        </w:rPr>
      </w:pPr>
      <w:r w:rsidRPr="00064619">
        <w:rPr>
          <w:rtl/>
        </w:rPr>
        <w:t>(</w:t>
      </w:r>
      <w:r w:rsidRPr="00064619">
        <w:rPr>
          <w:rtl/>
        </w:rPr>
        <w:footnoteRef/>
      </w:r>
      <w:r w:rsidRPr="00064619">
        <w:rPr>
          <w:rtl/>
        </w:rPr>
        <w:t>) المصدر نفسه: 70.</w:t>
      </w:r>
    </w:p>
  </w:footnote>
  <w:footnote w:id="77">
    <w:p w:rsidR="00F93F13" w:rsidRPr="00064619" w:rsidRDefault="00F93F13" w:rsidP="00064619">
      <w:pPr>
        <w:pStyle w:val="FootnoteText"/>
        <w:rPr>
          <w:rtl/>
        </w:rPr>
      </w:pPr>
      <w:r w:rsidRPr="00064619">
        <w:rPr>
          <w:rtl/>
        </w:rPr>
        <w:t>(</w:t>
      </w:r>
      <w:r w:rsidRPr="00064619">
        <w:rPr>
          <w:rtl/>
        </w:rPr>
        <w:footnoteRef/>
      </w:r>
      <w:r w:rsidRPr="00064619">
        <w:rPr>
          <w:rtl/>
        </w:rPr>
        <w:t>) المصدر نفسه: 71.</w:t>
      </w:r>
    </w:p>
  </w:footnote>
  <w:footnote w:id="78">
    <w:p w:rsidR="00F93F13" w:rsidRPr="00064619" w:rsidRDefault="00F93F13" w:rsidP="00064619">
      <w:pPr>
        <w:pStyle w:val="FootnoteText"/>
        <w:rPr>
          <w:rtl/>
        </w:rPr>
      </w:pPr>
      <w:r w:rsidRPr="00064619">
        <w:rPr>
          <w:rtl/>
        </w:rPr>
        <w:t>(</w:t>
      </w:r>
      <w:r w:rsidRPr="00064619">
        <w:rPr>
          <w:rtl/>
        </w:rPr>
        <w:footnoteRef/>
      </w:r>
      <w:r w:rsidRPr="00064619">
        <w:rPr>
          <w:rtl/>
        </w:rPr>
        <w:t>) المصدر نفسه: 71.</w:t>
      </w:r>
    </w:p>
  </w:footnote>
  <w:footnote w:id="79">
    <w:p w:rsidR="00F93F13" w:rsidRPr="00064619" w:rsidRDefault="00F93F13" w:rsidP="00064619">
      <w:pPr>
        <w:pStyle w:val="FootnoteText"/>
        <w:rPr>
          <w:rtl/>
        </w:rPr>
      </w:pPr>
      <w:r w:rsidRPr="00064619">
        <w:rPr>
          <w:rtl/>
        </w:rPr>
        <w:t>(</w:t>
      </w:r>
      <w:r w:rsidRPr="00064619">
        <w:rPr>
          <w:rtl/>
        </w:rPr>
        <w:footnoteRef/>
      </w:r>
      <w:r w:rsidRPr="00064619">
        <w:rPr>
          <w:rtl/>
        </w:rPr>
        <w:t>) الشيخ محمد رضا المُظفَّر، العقائد الإمامية: 70: «لا يهمنا من بحث الإمامة في هذه العصور إثبات أنهم هم الخلفاء الشرعيون وأهل السلطة الإلهية، فإنّ ذلك أمر مضى في ذمّة التاريخ، وليس في إثباته ما يعيد دورة الزمن من جديد، أو يعيد الحقوق المسلوبة إلى أهلها، وإنما الذي يهمنا منه ما ذكرنا من لزوم الرجوع إليهم في الأخذ بأحكام الله الشرعية، وتحصيل ما جاء به الرسول الأكرم على الوجه الصحيح الذي جاء به».</w:t>
      </w:r>
    </w:p>
    <w:p w:rsidR="00F93F13" w:rsidRPr="00064619" w:rsidRDefault="00F93F13" w:rsidP="00635BE2">
      <w:pPr>
        <w:pStyle w:val="FootnoteText"/>
        <w:ind w:firstLine="0"/>
        <w:rPr>
          <w:rtl/>
        </w:rPr>
      </w:pPr>
      <w:r w:rsidRPr="00064619">
        <w:rPr>
          <w:rtl/>
        </w:rPr>
        <w:t>انظر أيضاً: مطهري، إمامت ورهبري: 92؛ اليزدي، راهنما شناسي: 414: «إن الاختلاف في بحث الإمامة ليس على تعيين الرسول خليفة أم لا؛ لأن هذا بحث تاريخي، وليس عقائدياً. والأمر الاعتقادي الذي يعتبره الشيعة من أصول الدين، وأن قبوله يبعث على مرضاة الله في الدنيا والآخرة، وإنكاره يؤدي إلى الفساد، هذا الأمر هو أن الله عيَّن خليفة للنبي في جميع شؤونه، ما عدا الوحي، وهذا الأمر واجب فعله على الله، وخليفة النبيّ معصوم وعالم بالغيب».</w:t>
      </w:r>
    </w:p>
  </w:footnote>
  <w:footnote w:id="80">
    <w:p w:rsidR="00F93F13" w:rsidRPr="00064619" w:rsidRDefault="00F93F13" w:rsidP="00064619">
      <w:pPr>
        <w:pStyle w:val="FootnoteText"/>
        <w:rPr>
          <w:rtl/>
        </w:rPr>
      </w:pPr>
      <w:r w:rsidRPr="00064619">
        <w:rPr>
          <w:rtl/>
        </w:rPr>
        <w:t>(</w:t>
      </w:r>
      <w:r w:rsidRPr="00064619">
        <w:rPr>
          <w:rtl/>
        </w:rPr>
        <w:footnoteRef/>
      </w:r>
      <w:r w:rsidRPr="00064619">
        <w:rPr>
          <w:rtl/>
        </w:rPr>
        <w:t>) مطهري، إمامت ورهبري: 81.</w:t>
      </w:r>
    </w:p>
  </w:footnote>
  <w:footnote w:id="81">
    <w:p w:rsidR="00F93F13" w:rsidRPr="00064619" w:rsidRDefault="00F93F13" w:rsidP="00064619">
      <w:pPr>
        <w:pStyle w:val="FootnoteText"/>
        <w:rPr>
          <w:rtl/>
        </w:rPr>
      </w:pPr>
      <w:r w:rsidRPr="00064619">
        <w:rPr>
          <w:rtl/>
        </w:rPr>
        <w:t>(</w:t>
      </w:r>
      <w:r w:rsidRPr="00064619">
        <w:rPr>
          <w:rtl/>
        </w:rPr>
        <w:footnoteRef/>
      </w:r>
      <w:r w:rsidRPr="00064619">
        <w:rPr>
          <w:rtl/>
        </w:rPr>
        <w:t>) انظر على سبيل المثال: المحقق الحلي، شرائع الإسلام، المقدمة.</w:t>
      </w:r>
    </w:p>
  </w:footnote>
  <w:footnote w:id="82">
    <w:p w:rsidR="00F93F13" w:rsidRPr="00064619" w:rsidRDefault="00F93F13" w:rsidP="00635BE2">
      <w:pPr>
        <w:pStyle w:val="FootnoteText"/>
        <w:spacing w:line="175" w:lineRule="auto"/>
        <w:rPr>
          <w:rtl/>
        </w:rPr>
      </w:pPr>
      <w:r w:rsidRPr="00064619">
        <w:rPr>
          <w:rtl/>
        </w:rPr>
        <w:t>(</w:t>
      </w:r>
      <w:r w:rsidRPr="00064619">
        <w:rPr>
          <w:rtl/>
        </w:rPr>
        <w:footnoteRef/>
      </w:r>
      <w:r w:rsidRPr="00064619">
        <w:rPr>
          <w:rtl/>
        </w:rPr>
        <w:t xml:space="preserve">) للتوسُّع في موضوع الأحكام الوضعية راجع: كفاية الأصول، بحث الاستصحاب: 402؛ </w:t>
      </w:r>
      <w:r>
        <w:rPr>
          <w:rFonts w:hint="cs"/>
          <w:rtl/>
        </w:rPr>
        <w:t xml:space="preserve">السيد </w:t>
      </w:r>
      <w:r w:rsidRPr="00064619">
        <w:rPr>
          <w:rtl/>
        </w:rPr>
        <w:t>الخميني، الرسائل: 114؛ الخوئي، مصباح الفقاهة 3: 9.</w:t>
      </w:r>
    </w:p>
  </w:footnote>
  <w:footnote w:id="83">
    <w:p w:rsidR="00F93F13" w:rsidRPr="00064619" w:rsidRDefault="00F93F13" w:rsidP="00635BE2">
      <w:pPr>
        <w:pStyle w:val="FootnoteText"/>
        <w:spacing w:line="175" w:lineRule="auto"/>
        <w:rPr>
          <w:rtl/>
        </w:rPr>
      </w:pPr>
      <w:r w:rsidRPr="00064619">
        <w:rPr>
          <w:rtl/>
        </w:rPr>
        <w:t>(</w:t>
      </w:r>
      <w:r w:rsidRPr="00064619">
        <w:rPr>
          <w:rtl/>
        </w:rPr>
        <w:footnoteRef/>
      </w:r>
      <w:r w:rsidRPr="00064619">
        <w:rPr>
          <w:rtl/>
        </w:rPr>
        <w:t>)</w:t>
      </w:r>
      <w:r>
        <w:rPr>
          <w:rFonts w:hint="cs"/>
          <w:rtl/>
        </w:rPr>
        <w:t xml:space="preserve"> السيد </w:t>
      </w:r>
      <w:r w:rsidRPr="00064619">
        <w:rPr>
          <w:rtl/>
        </w:rPr>
        <w:t xml:space="preserve">الخميني، كتاب البيع 1: 23 ـ 29؛ </w:t>
      </w:r>
      <w:r>
        <w:rPr>
          <w:rFonts w:hint="cs"/>
          <w:rtl/>
        </w:rPr>
        <w:t xml:space="preserve">السيد </w:t>
      </w:r>
      <w:r w:rsidRPr="00064619">
        <w:rPr>
          <w:rtl/>
        </w:rPr>
        <w:t>الخميني، المكاسب المحرمة 2: 106؛</w:t>
      </w:r>
      <w:r>
        <w:rPr>
          <w:rFonts w:hint="cs"/>
          <w:rtl/>
        </w:rPr>
        <w:t xml:space="preserve"> السيد</w:t>
      </w:r>
      <w:r w:rsidRPr="00064619">
        <w:rPr>
          <w:rtl/>
        </w:rPr>
        <w:t xml:space="preserve"> الخميني، الرسائل: 114؛ الخراساني، كفاية الأصول: 402.</w:t>
      </w:r>
    </w:p>
  </w:footnote>
  <w:footnote w:id="84">
    <w:p w:rsidR="00F93F13" w:rsidRPr="00064619" w:rsidRDefault="00F93F13" w:rsidP="00635BE2">
      <w:pPr>
        <w:pStyle w:val="FootnoteText"/>
        <w:spacing w:line="175" w:lineRule="auto"/>
        <w:rPr>
          <w:rtl/>
        </w:rPr>
      </w:pPr>
      <w:r w:rsidRPr="00064619">
        <w:rPr>
          <w:rtl/>
        </w:rPr>
        <w:t>(</w:t>
      </w:r>
      <w:r w:rsidRPr="00064619">
        <w:rPr>
          <w:rtl/>
        </w:rPr>
        <w:footnoteRef/>
      </w:r>
      <w:r w:rsidRPr="00064619">
        <w:rPr>
          <w:rtl/>
        </w:rPr>
        <w:t>) للتوسُّع في موضوع الحقوق والأحكام راجع: الأنصاري، المكاسب المحرمة، أول بحث البيع؛ الغروي الأصفهاني (الكمباني)، تعليقة على المكاسب؛ الشيخ هادي الطهراني، رسالة الحقّ والحكم، المنشور في فصلية (نامه مفيد)، العدد الرابع، شتاء 1374هـ.ش؛ السيد محمد آل بحر العلوم، بلغة الفقيه 1: 13 ـ 32.</w:t>
      </w:r>
    </w:p>
  </w:footnote>
  <w:footnote w:id="85">
    <w:p w:rsidR="00F93F13" w:rsidRPr="00064619" w:rsidRDefault="00F93F13" w:rsidP="00064619">
      <w:pPr>
        <w:pStyle w:val="FootnoteText"/>
        <w:rPr>
          <w:rtl/>
        </w:rPr>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1: 29: «مثل الولاية والوصاية ونحوها من الوضعيات المقابلة للحق والملك والسلطنة». وفي 1: 23: «الولاية والتولية... ليس شيء منها من الحقوق، بل هي اعتبارات أخرى غير الحق والملك والسلطنة، فالولاية والوصاية من الاعتبارات الم</w:t>
      </w:r>
      <w:r>
        <w:rPr>
          <w:rtl/>
        </w:rPr>
        <w:t>جعولة بذاتها غير مربوطة بالحق»</w:t>
      </w:r>
      <w:r>
        <w:rPr>
          <w:rFonts w:hint="cs"/>
          <w:rtl/>
        </w:rPr>
        <w:t xml:space="preserve">؛ </w:t>
      </w:r>
      <w:r w:rsidRPr="00064619">
        <w:rPr>
          <w:rtl/>
        </w:rPr>
        <w:t>السيد محمد آل بحر العلوم، بلغة ال</w:t>
      </w:r>
      <w:r>
        <w:rPr>
          <w:rtl/>
        </w:rPr>
        <w:t>فقيه، رسالة في الولايات 3: 211</w:t>
      </w:r>
      <w:r>
        <w:rPr>
          <w:rFonts w:hint="cs"/>
          <w:rtl/>
        </w:rPr>
        <w:t>.</w:t>
      </w:r>
    </w:p>
  </w:footnote>
  <w:footnote w:id="86">
    <w:p w:rsidR="00F93F13" w:rsidRPr="00064619" w:rsidRDefault="00F93F13" w:rsidP="00635BE2">
      <w:pPr>
        <w:pStyle w:val="FootnoteText"/>
        <w:spacing w:line="199" w:lineRule="auto"/>
        <w:rPr>
          <w:rtl/>
        </w:rPr>
      </w:pPr>
      <w:r w:rsidRPr="00064619">
        <w:rPr>
          <w:rtl/>
        </w:rPr>
        <w:t>(</w:t>
      </w:r>
      <w:r w:rsidRPr="00064619">
        <w:rPr>
          <w:rtl/>
        </w:rPr>
        <w:footnoteRef/>
      </w:r>
      <w:r w:rsidRPr="00064619">
        <w:rPr>
          <w:rtl/>
        </w:rPr>
        <w:t>)</w:t>
      </w:r>
      <w:r>
        <w:rPr>
          <w:rFonts w:hint="cs"/>
          <w:rtl/>
        </w:rPr>
        <w:t xml:space="preserve"> السيد </w:t>
      </w:r>
      <w:r w:rsidRPr="00064619">
        <w:rPr>
          <w:rtl/>
        </w:rPr>
        <w:t xml:space="preserve">الخميني، المكاسب المحرمة 2: 106: «السلطنة والخلافة والولاية من الأمور الوضعيّة الاعتباريّة العقلائيّة»؛ </w:t>
      </w:r>
      <w:r>
        <w:rPr>
          <w:rFonts w:hint="cs"/>
          <w:rtl/>
        </w:rPr>
        <w:t xml:space="preserve">السيد </w:t>
      </w:r>
      <w:r w:rsidRPr="00064619">
        <w:rPr>
          <w:rtl/>
        </w:rPr>
        <w:t>الخميني، ولاية الفقيه: 40: «إن ولاية الفقيه من الأمور الاعتبارية العقلائية، وليس لها واقع سوى الجعل». ويمكن الرجوع إلى ترجمة هذا الكتاب، تحت عنوان الحكومة الإسلامية: 81.</w:t>
      </w:r>
    </w:p>
  </w:footnote>
  <w:footnote w:id="87">
    <w:p w:rsidR="00F93F13" w:rsidRPr="00064619" w:rsidRDefault="00F93F13" w:rsidP="00064619">
      <w:pPr>
        <w:pStyle w:val="FootnoteText"/>
        <w:rPr>
          <w:rtl/>
        </w:rPr>
      </w:pPr>
      <w:r w:rsidRPr="00064619">
        <w:rPr>
          <w:rtl/>
        </w:rPr>
        <w:t>(</w:t>
      </w:r>
      <w:r w:rsidRPr="00064619">
        <w:rPr>
          <w:rtl/>
        </w:rPr>
        <w:footnoteRef/>
      </w:r>
      <w:r w:rsidRPr="00064619">
        <w:rPr>
          <w:rtl/>
        </w:rPr>
        <w:t>) للتوسُّع في موضوع الولاية الشرعية راجع: السيد محمد آل بحر العلوم، بلغة الفقيه، رسالة في الولايات 3: 210 ـ 298. السيد مير عبد الفتاح الحسيني المراغي، العناوين، عنوان 73 في الإشارة إلى الأولياء والمولّى عليهم إجمالاً في النفس والمال وبيان مراتبهم في الولاية.</w:t>
      </w:r>
    </w:p>
  </w:footnote>
  <w:footnote w:id="88">
    <w:p w:rsidR="00F93F13" w:rsidRPr="00064619" w:rsidRDefault="00F93F13" w:rsidP="00064619">
      <w:pPr>
        <w:pStyle w:val="FootnoteText"/>
        <w:rPr>
          <w:rtl/>
        </w:rPr>
      </w:pPr>
      <w:r w:rsidRPr="00064619">
        <w:rPr>
          <w:rtl/>
        </w:rPr>
        <w:t>(</w:t>
      </w:r>
      <w:r w:rsidRPr="00064619">
        <w:rPr>
          <w:rtl/>
        </w:rPr>
        <w:footnoteRef/>
      </w:r>
      <w:r w:rsidRPr="00064619">
        <w:rPr>
          <w:rtl/>
        </w:rPr>
        <w:t>) النقاط المذكورة هنا، والتي هي أعم من الأركان واللوازم وأحكام الولاية، توصَّلتُ إليها من خلال التأمُّل في الموارد المختلفة للولاية الفقهية. وتظهر صحّتها من خلال تطبيقها الصحيح على موارد الولاية الشرعية المختلفة.</w:t>
      </w:r>
    </w:p>
  </w:footnote>
  <w:footnote w:id="89">
    <w:p w:rsidR="00F93F13" w:rsidRPr="00064619" w:rsidRDefault="00F93F13" w:rsidP="00064619">
      <w:pPr>
        <w:pStyle w:val="FootnoteText"/>
        <w:rPr>
          <w:rtl/>
        </w:rPr>
      </w:pPr>
      <w:r w:rsidRPr="00064619">
        <w:rPr>
          <w:rtl/>
        </w:rPr>
        <w:t>(</w:t>
      </w:r>
      <w:r w:rsidRPr="00064619">
        <w:rPr>
          <w:rtl/>
        </w:rPr>
        <w:footnoteRef/>
      </w:r>
      <w:r w:rsidRPr="00064619">
        <w:rPr>
          <w:rtl/>
        </w:rPr>
        <w:t>) يمكن الرجوع إلى بلغة الفقيه، رسالة في الولايات 3: 211.</w:t>
      </w:r>
    </w:p>
  </w:footnote>
  <w:footnote w:id="90">
    <w:p w:rsidR="00F93F13" w:rsidRPr="00064619" w:rsidRDefault="00F93F13" w:rsidP="00064619">
      <w:pPr>
        <w:pStyle w:val="FootnoteText"/>
        <w:rPr>
          <w:rtl/>
        </w:rPr>
      </w:pPr>
      <w:r w:rsidRPr="00064619">
        <w:rPr>
          <w:rtl/>
        </w:rPr>
        <w:t>(</w:t>
      </w:r>
      <w:r w:rsidRPr="00064619">
        <w:rPr>
          <w:rtl/>
        </w:rPr>
        <w:footnoteRef/>
      </w:r>
      <w:r w:rsidRPr="00064619">
        <w:rPr>
          <w:rtl/>
        </w:rPr>
        <w:t>) راجع: السيد كاظم الحسيني الحائري، أساس الحكومة الإسلامية: 213: «الولاية في حدود تكميل نقص المولّى عليه وعلاج قصوره»؛ الحائري، الإمامة وقيادة المجتمع.</w:t>
      </w:r>
    </w:p>
  </w:footnote>
  <w:footnote w:id="91">
    <w:p w:rsidR="00F93F13" w:rsidRPr="00064619" w:rsidRDefault="00F93F13" w:rsidP="00064619">
      <w:pPr>
        <w:pStyle w:val="FootnoteText"/>
        <w:rPr>
          <w:rtl/>
        </w:rPr>
      </w:pPr>
      <w:r w:rsidRPr="00064619">
        <w:rPr>
          <w:rtl/>
        </w:rPr>
        <w:t>(</w:t>
      </w:r>
      <w:r w:rsidRPr="00064619">
        <w:rPr>
          <w:rtl/>
        </w:rPr>
        <w:footnoteRef/>
      </w:r>
      <w:r w:rsidRPr="00064619">
        <w:rPr>
          <w:rtl/>
        </w:rPr>
        <w:t>) وراجع: محمد مؤمن القمي، كلمات سديدة في مسائل جديدة: 22: «حكم الولاية ومقتضاها أن لا خيرة لأحد إذا قضى الولي في دائرة ولايته شيئاً، بل يجب اتباعه، وينفذ هذا القضاء على جميع مَنْ تحت الولاية».</w:t>
      </w:r>
    </w:p>
  </w:footnote>
  <w:footnote w:id="92">
    <w:p w:rsidR="00F93F13" w:rsidRPr="00064619" w:rsidRDefault="00F93F13" w:rsidP="00B36623">
      <w:pPr>
        <w:pStyle w:val="FootnoteText"/>
      </w:pPr>
      <w:r w:rsidRPr="00064619">
        <w:rPr>
          <w:rtl/>
        </w:rPr>
        <w:t>(</w:t>
      </w:r>
      <w:r w:rsidRPr="00064619">
        <w:rPr>
          <w:rtl/>
        </w:rPr>
        <w:footnoteRef/>
      </w:r>
      <w:r w:rsidRPr="00064619">
        <w:rPr>
          <w:rtl/>
        </w:rPr>
        <w:t xml:space="preserve">) السيد </w:t>
      </w:r>
      <w:r>
        <w:rPr>
          <w:rtl/>
        </w:rPr>
        <w:t>مير عبد الفتاح الحسيني المراغي</w:t>
      </w:r>
      <w:r>
        <w:rPr>
          <w:rFonts w:hint="cs"/>
          <w:rtl/>
        </w:rPr>
        <w:t xml:space="preserve"> </w:t>
      </w:r>
      <w:r>
        <w:rPr>
          <w:rFonts w:ascii="Mosawi" w:hAnsi="Mosawi"/>
          <w:rtl/>
        </w:rPr>
        <w:t>«</w:t>
      </w:r>
      <w:r>
        <w:rPr>
          <w:rFonts w:ascii="Mosawi" w:hAnsi="Mosawi" w:hint="cs"/>
          <w:rtl/>
        </w:rPr>
        <w:t>م1250ق</w:t>
      </w:r>
      <w:r>
        <w:rPr>
          <w:rFonts w:ascii="Mosawi" w:hAnsi="Mosawi"/>
          <w:rtl/>
        </w:rPr>
        <w:t>»</w:t>
      </w:r>
      <w:r>
        <w:rPr>
          <w:rFonts w:ascii="Microsoft Tai Le" w:hAnsi="Microsoft Tai Le" w:cs="Arial" w:hint="cs"/>
          <w:rtl/>
        </w:rPr>
        <w:t xml:space="preserve">، </w:t>
      </w:r>
      <w:r w:rsidRPr="00064619">
        <w:rPr>
          <w:rtl/>
        </w:rPr>
        <w:t xml:space="preserve">العناوين، العنوان رقم 73 (في </w:t>
      </w:r>
      <w:r>
        <w:rPr>
          <w:rFonts w:hint="cs"/>
          <w:rtl/>
        </w:rPr>
        <w:t>الإشارة</w:t>
      </w:r>
      <w:r w:rsidRPr="00064619">
        <w:rPr>
          <w:rtl/>
        </w:rPr>
        <w:t xml:space="preserve"> إلى الأولياء والمولى عليهم إجمالاً في النفس والمال وبيان مراتبهم في الولاية</w:t>
      </w:r>
      <w:r>
        <w:rPr>
          <w:rFonts w:hint="cs"/>
          <w:rtl/>
        </w:rPr>
        <w:t xml:space="preserve"> </w:t>
      </w:r>
      <w:r>
        <w:rPr>
          <w:rFonts w:ascii="Mosawi" w:hAnsi="Mosawi"/>
          <w:rtl/>
        </w:rPr>
        <w:t>«</w:t>
      </w:r>
      <w:r>
        <w:rPr>
          <w:rFonts w:hint="cs"/>
          <w:rtl/>
        </w:rPr>
        <w:t>الطبعة الحجرية</w:t>
      </w:r>
      <w:r>
        <w:rPr>
          <w:rFonts w:ascii="Mosawi" w:hAnsi="Mosawi"/>
          <w:rtl/>
        </w:rPr>
        <w:t>»</w:t>
      </w:r>
      <w:r w:rsidRPr="00064619">
        <w:rPr>
          <w:rtl/>
        </w:rPr>
        <w:t>)؛ بلغة الفقيه، رسالة في الولايات 3: 210 ـ 298.</w:t>
      </w:r>
    </w:p>
  </w:footnote>
  <w:footnote w:id="93">
    <w:p w:rsidR="00F93F13" w:rsidRPr="00064619" w:rsidRDefault="00F93F13" w:rsidP="00064619">
      <w:pPr>
        <w:pStyle w:val="FootnoteText"/>
      </w:pPr>
      <w:r w:rsidRPr="00064619">
        <w:rPr>
          <w:rtl/>
        </w:rPr>
        <w:t>(</w:t>
      </w:r>
      <w:r w:rsidRPr="00064619">
        <w:rPr>
          <w:rtl/>
        </w:rPr>
        <w:footnoteRef/>
      </w:r>
      <w:r w:rsidRPr="00064619">
        <w:rPr>
          <w:rtl/>
        </w:rPr>
        <w:t>) لقد ركزنا في بحثنا حول الولايات الشرعية المختلفة على ثلاثة مصادر: العروة الوثقى، للسيد محمد كاظم الطباطبائي اليزدي؛ تحرير الوسيلة، للسيد الخميني؛ التقريرات في شرح العروة الوثقى، التنقيح، المستند...، ومصباح الفقاهة، ومباني تكملة المنهاج، للسيد أبو القاسم الخوئي. وفي موارد الاختلاف بين الفقهاء أوردنا رأي السيد الخميني في المتن.</w:t>
      </w:r>
    </w:p>
  </w:footnote>
  <w:footnote w:id="94">
    <w:p w:rsidR="00F93F13" w:rsidRPr="00064619" w:rsidRDefault="00F93F13" w:rsidP="00064619">
      <w:pPr>
        <w:pStyle w:val="FootnoteText"/>
      </w:pPr>
      <w:r w:rsidRPr="00064619">
        <w:rPr>
          <w:rtl/>
        </w:rPr>
        <w:t>(</w:t>
      </w:r>
      <w:r w:rsidRPr="00064619">
        <w:rPr>
          <w:rtl/>
        </w:rPr>
        <w:footnoteRef/>
      </w:r>
      <w:r w:rsidRPr="00064619">
        <w:rPr>
          <w:rtl/>
        </w:rPr>
        <w:t xml:space="preserve">) اليزدي، العروة الوثقى 1: 376 ـ 381، كتاب الطهارة، أحكام الأموات، فصل في مراتب الأولياء؛ </w:t>
      </w:r>
      <w:r>
        <w:rPr>
          <w:rFonts w:hint="cs"/>
          <w:rtl/>
        </w:rPr>
        <w:t xml:space="preserve">السيد </w:t>
      </w:r>
      <w:r w:rsidRPr="00064619">
        <w:rPr>
          <w:rtl/>
        </w:rPr>
        <w:t>الخميني، تحرير الوسيلة 1: 67، القول في غسل الميت، المسألة 4؛ الخوئي، التنقيح في شرح العروة الوثقى 8: كتاب الطهارة.</w:t>
      </w:r>
    </w:p>
  </w:footnote>
  <w:footnote w:id="95">
    <w:p w:rsidR="00F93F13" w:rsidRPr="00064619" w:rsidRDefault="00F93F13" w:rsidP="00064619">
      <w:pPr>
        <w:pStyle w:val="FootnoteText"/>
      </w:pPr>
      <w:r w:rsidRPr="00064619">
        <w:rPr>
          <w:rtl/>
        </w:rPr>
        <w:t>(</w:t>
      </w:r>
      <w:r w:rsidRPr="00064619">
        <w:rPr>
          <w:rtl/>
        </w:rPr>
        <w:footnoteRef/>
      </w:r>
      <w:r w:rsidRPr="00064619">
        <w:rPr>
          <w:rtl/>
        </w:rPr>
        <w:t xml:space="preserve">) اليزدي، العروة الوثقى 1: 75، كتاب الصلاة، فضل في قضاء الولي؛ </w:t>
      </w:r>
      <w:r>
        <w:rPr>
          <w:rFonts w:hint="cs"/>
          <w:rtl/>
        </w:rPr>
        <w:t xml:space="preserve">السيد </w:t>
      </w:r>
      <w:r w:rsidRPr="00064619">
        <w:rPr>
          <w:rtl/>
        </w:rPr>
        <w:t>الخميني، تحرير الوسيلة 1: 227، القول في صلاة القضاء، مسألة 16؛ الخوئي، المستند في شرح العروة الوثقى 2: كتاب الصلاة.</w:t>
      </w:r>
    </w:p>
  </w:footnote>
  <w:footnote w:id="96">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 xml:space="preserve">الخميني، تحرير الوسيلة 1: 514، القول في شروط المتعاقدين، مسألة 18؛ </w:t>
      </w:r>
      <w:r>
        <w:rPr>
          <w:rFonts w:hint="cs"/>
          <w:rtl/>
        </w:rPr>
        <w:t xml:space="preserve">السيد </w:t>
      </w:r>
      <w:r w:rsidRPr="00064619">
        <w:rPr>
          <w:rtl/>
        </w:rPr>
        <w:t>الخميني، كتاب البيع 2: 435 ـ 459، بحث أولياء العقد؛ الخوئي، مصباح الفقاهة 5: 11 ـ 34، بحث أولياء العقد.</w:t>
      </w:r>
    </w:p>
  </w:footnote>
  <w:footnote w:id="97">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w:t>
      </w:r>
      <w:r w:rsidRPr="00064619">
        <w:rPr>
          <w:rtl/>
        </w:rPr>
        <w:t xml:space="preserve"> الخميني، تحرير الوسيلة 3: 33، القول في كيفية الاستيفاد، مسألة 1؛ الخوئي، مباني تكملة المنهاج 3: 133.</w:t>
      </w:r>
    </w:p>
  </w:footnote>
  <w:footnote w:id="98">
    <w:p w:rsidR="00F93F13" w:rsidRPr="00064619" w:rsidRDefault="00F93F13" w:rsidP="00064619">
      <w:pPr>
        <w:pStyle w:val="FootnoteText"/>
      </w:pPr>
      <w:r w:rsidRPr="00064619">
        <w:rPr>
          <w:rtl/>
        </w:rPr>
        <w:t>(</w:t>
      </w:r>
      <w:r w:rsidRPr="00064619">
        <w:rPr>
          <w:rtl/>
        </w:rPr>
        <w:footnoteRef/>
      </w:r>
      <w:r w:rsidRPr="00064619">
        <w:rPr>
          <w:rtl/>
        </w:rPr>
        <w:t xml:space="preserve">) اليزدي، العروة الوثقى، كتاب الوصية 3: 877 ـ 894؛ </w:t>
      </w:r>
      <w:r>
        <w:rPr>
          <w:rFonts w:hint="cs"/>
          <w:rtl/>
        </w:rPr>
        <w:t xml:space="preserve">السيد </w:t>
      </w:r>
      <w:r w:rsidRPr="00064619">
        <w:rPr>
          <w:rtl/>
        </w:rPr>
        <w:t>الخميني، تحرير الوسيلة 3: 105 ـ 106؛ الخوئي، مستند العروة الوثقى، كتاب الوصية (آخر الجزء الثاني، كتاب النكاح).</w:t>
      </w:r>
    </w:p>
  </w:footnote>
  <w:footnote w:id="99">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تحرير الوسيلة 3: 70، 83، 84، الوقف وأخواته.</w:t>
      </w:r>
    </w:p>
  </w:footnote>
  <w:footnote w:id="100">
    <w:p w:rsidR="00F93F13" w:rsidRPr="00064619" w:rsidRDefault="00F93F13" w:rsidP="00064619">
      <w:pPr>
        <w:pStyle w:val="FootnoteText"/>
      </w:pPr>
      <w:r w:rsidRPr="00064619">
        <w:rPr>
          <w:rtl/>
        </w:rPr>
        <w:t>(</w:t>
      </w:r>
      <w:r w:rsidRPr="00064619">
        <w:rPr>
          <w:rtl/>
        </w:rPr>
        <w:footnoteRef/>
      </w:r>
      <w:r w:rsidRPr="00064619">
        <w:rPr>
          <w:rtl/>
        </w:rPr>
        <w:t>) منهم: السيد الخميني في كتاب البيع 3: 459؛ وفي تحرير الوسيلة، القول في شرائط المتعاقدين، مسألة 30.</w:t>
      </w:r>
    </w:p>
  </w:footnote>
  <w:footnote w:id="101">
    <w:p w:rsidR="00F93F13" w:rsidRPr="00064619" w:rsidRDefault="00F93F13" w:rsidP="00064619">
      <w:pPr>
        <w:pStyle w:val="FootnoteText"/>
      </w:pPr>
      <w:r w:rsidRPr="00064619">
        <w:rPr>
          <w:rtl/>
        </w:rPr>
        <w:t>(</w:t>
      </w:r>
      <w:r w:rsidRPr="00064619">
        <w:rPr>
          <w:rtl/>
        </w:rPr>
        <w:footnoteRef/>
      </w:r>
      <w:r w:rsidRPr="00064619">
        <w:rPr>
          <w:rtl/>
        </w:rPr>
        <w:t>) الخراساني، حاشية كتاب المكاسب: 196؛ السيد محسن الحكيم، نهج الفقاهة (تعليق على كتاب البيع من مطالب الشيخ الأنصاري)؛ السيد أحمد الخوانساري، جامع المدارك في شرح مختصر المنافع 3: 100؛ الخوئي، مصباح الفقاهة (تقرير أبحاثه بقلم: محمد علي التوحيدي) 5: 53؛ الخوئي، التنقيح في شرح العروة الوثقى (الاجتهاد والتقليد) (تقرير أبحاثه بقلم: الميرزا علي الغروي التبريزي): 434.</w:t>
      </w:r>
    </w:p>
  </w:footnote>
  <w:footnote w:id="102">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3: 508؛ الخوئي، مصباح الفقاهة 5: 53. والسيد الخميني في تحرير الوسيلة 1: 515، مسألة 30، يقول بولاية عدول المؤمنين.</w:t>
      </w:r>
    </w:p>
  </w:footnote>
  <w:footnote w:id="103">
    <w:p w:rsidR="00F93F13" w:rsidRPr="00064619" w:rsidRDefault="00F93F13" w:rsidP="00064619">
      <w:pPr>
        <w:pStyle w:val="FootnoteText"/>
      </w:pPr>
      <w:r w:rsidRPr="00064619">
        <w:rPr>
          <w:rtl/>
        </w:rPr>
        <w:t>(</w:t>
      </w:r>
      <w:r w:rsidRPr="00064619">
        <w:rPr>
          <w:rtl/>
        </w:rPr>
        <w:footnoteRef/>
      </w:r>
      <w:r w:rsidRPr="00064619">
        <w:rPr>
          <w:rtl/>
        </w:rPr>
        <w:t>) اليزدي، العروة الوثقى، كتاب النكاح، بحث أولياء العقد، 3: 864 ـ 876.</w:t>
      </w:r>
      <w:r>
        <w:rPr>
          <w:rFonts w:hint="cs"/>
          <w:rtl/>
        </w:rPr>
        <w:t xml:space="preserve"> السيد</w:t>
      </w:r>
      <w:r w:rsidRPr="00064619">
        <w:rPr>
          <w:rtl/>
        </w:rPr>
        <w:t xml:space="preserve"> الخميني، تحرير الوسيلة 3: 354، فصل في أولياء العقد، المسألة 3. الخوئي، مستند العروة الوثقى 3: كتاب النكاح.</w:t>
      </w:r>
    </w:p>
  </w:footnote>
  <w:footnote w:id="104">
    <w:p w:rsidR="00F93F13" w:rsidRPr="00064619" w:rsidRDefault="00F93F13" w:rsidP="00064619">
      <w:pPr>
        <w:pStyle w:val="FootnoteText"/>
      </w:pPr>
      <w:r w:rsidRPr="00064619">
        <w:rPr>
          <w:rtl/>
        </w:rPr>
        <w:t>(</w:t>
      </w:r>
      <w:r w:rsidRPr="00064619">
        <w:rPr>
          <w:rtl/>
        </w:rPr>
        <w:footnoteRef/>
      </w:r>
      <w:r w:rsidRPr="00064619">
        <w:rPr>
          <w:rtl/>
        </w:rPr>
        <w:t>) انظر: بلغة الفقيه، رسالة في الولايات 3: 313.</w:t>
      </w:r>
    </w:p>
  </w:footnote>
  <w:footnote w:id="105">
    <w:p w:rsidR="00F93F13" w:rsidRPr="00064619" w:rsidRDefault="00F93F13" w:rsidP="00064619">
      <w:pPr>
        <w:pStyle w:val="FootnoteText"/>
      </w:pPr>
      <w:r w:rsidRPr="00064619">
        <w:rPr>
          <w:rtl/>
        </w:rPr>
        <w:t>(</w:t>
      </w:r>
      <w:r w:rsidRPr="00064619">
        <w:rPr>
          <w:rtl/>
        </w:rPr>
        <w:footnoteRef/>
      </w:r>
      <w:r w:rsidRPr="00064619">
        <w:rPr>
          <w:rtl/>
        </w:rPr>
        <w:t>) انظر: بلغة الفقيه، رسالة في الولايات 3: 313.</w:t>
      </w:r>
    </w:p>
  </w:footnote>
  <w:footnote w:id="106">
    <w:p w:rsidR="00F93F13" w:rsidRPr="00064619" w:rsidRDefault="00F93F13" w:rsidP="00064619">
      <w:pPr>
        <w:pStyle w:val="FootnoteText"/>
      </w:pPr>
      <w:r w:rsidRPr="00064619">
        <w:rPr>
          <w:rtl/>
        </w:rPr>
        <w:t>(</w:t>
      </w:r>
      <w:r w:rsidRPr="00064619">
        <w:rPr>
          <w:rtl/>
        </w:rPr>
        <w:footnoteRef/>
      </w:r>
      <w:r w:rsidRPr="00064619">
        <w:rPr>
          <w:rtl/>
        </w:rPr>
        <w:t>) المصدر نفسه.</w:t>
      </w:r>
    </w:p>
  </w:footnote>
  <w:footnote w:id="107">
    <w:p w:rsidR="00F93F13" w:rsidRPr="00064619" w:rsidRDefault="00F93F13" w:rsidP="00064619">
      <w:pPr>
        <w:pStyle w:val="FootnoteText"/>
      </w:pPr>
      <w:r w:rsidRPr="00064619">
        <w:rPr>
          <w:rtl/>
        </w:rPr>
        <w:t>(</w:t>
      </w:r>
      <w:r w:rsidRPr="00064619">
        <w:rPr>
          <w:rtl/>
        </w:rPr>
        <w:footnoteRef/>
      </w:r>
      <w:r w:rsidRPr="00064619">
        <w:rPr>
          <w:rtl/>
        </w:rPr>
        <w:t>) انظر:</w:t>
      </w:r>
      <w:r>
        <w:rPr>
          <w:rFonts w:hint="cs"/>
          <w:rtl/>
        </w:rPr>
        <w:t xml:space="preserve"> السيد</w:t>
      </w:r>
      <w:r w:rsidRPr="00064619">
        <w:rPr>
          <w:rtl/>
        </w:rPr>
        <w:t xml:space="preserve"> الخميني، تحرير الوسيلة 3: 84، الوقف وأخواته.</w:t>
      </w:r>
    </w:p>
  </w:footnote>
  <w:footnote w:id="108">
    <w:p w:rsidR="00F93F13" w:rsidRPr="00064619" w:rsidRDefault="00F93F13" w:rsidP="00064619">
      <w:pPr>
        <w:pStyle w:val="FootnoteText"/>
      </w:pPr>
      <w:r w:rsidRPr="00064619">
        <w:rPr>
          <w:rtl/>
        </w:rPr>
        <w:t>(</w:t>
      </w:r>
      <w:r w:rsidRPr="00064619">
        <w:rPr>
          <w:rtl/>
        </w:rPr>
        <w:footnoteRef/>
      </w:r>
      <w:r w:rsidRPr="00064619">
        <w:rPr>
          <w:rtl/>
        </w:rPr>
        <w:t>) انظر: بلغة الفقيه، رسالة في الولايات 3: 313؛ الأنصاري، المكاسب (الطبع</w:t>
      </w:r>
      <w:r>
        <w:rPr>
          <w:rFonts w:hint="cs"/>
          <w:rtl/>
        </w:rPr>
        <w:t>ة</w:t>
      </w:r>
      <w:r w:rsidRPr="00064619">
        <w:rPr>
          <w:rtl/>
        </w:rPr>
        <w:t xml:space="preserve"> الحجري</w:t>
      </w:r>
      <w:r>
        <w:rPr>
          <w:rFonts w:hint="cs"/>
          <w:rtl/>
        </w:rPr>
        <w:t>ة</w:t>
      </w:r>
      <w:r w:rsidRPr="00064619">
        <w:rPr>
          <w:rtl/>
        </w:rPr>
        <w:t>): 153، أوائل بحث ولاية الفقيه. وقد قمنا بالتصرُّف في تقسيم الشيخ الأنصاري. وقد توصلنا إلى بقيّة تقسيمات الولاية الشرعية من خلال البحث والمقارنة بين الموارد المختلفة.</w:t>
      </w:r>
    </w:p>
  </w:footnote>
  <w:footnote w:id="109">
    <w:p w:rsidR="00F93F13" w:rsidRPr="00064619" w:rsidRDefault="00F93F13" w:rsidP="00064619">
      <w:pPr>
        <w:pStyle w:val="FootnoteText"/>
      </w:pPr>
      <w:r w:rsidRPr="00064619">
        <w:rPr>
          <w:rtl/>
        </w:rPr>
        <w:t>(</w:t>
      </w:r>
      <w:r w:rsidRPr="00064619">
        <w:rPr>
          <w:rtl/>
        </w:rPr>
        <w:footnoteRef/>
      </w:r>
      <w:r w:rsidRPr="00064619">
        <w:rPr>
          <w:rtl/>
        </w:rPr>
        <w:t>) الشيخ جعفر كاشف الغطاء، كشف الغطاء عن مبهمات الشريعة الغراء 1: 207، قم، مكتب الإعلام الإسلامي، الطبعة الأولى، 1422؛ الأنصاري، المكاسب (الطبع</w:t>
      </w:r>
      <w:r>
        <w:rPr>
          <w:rFonts w:hint="cs"/>
          <w:rtl/>
        </w:rPr>
        <w:t>ة</w:t>
      </w:r>
      <w:r w:rsidRPr="00064619">
        <w:rPr>
          <w:rtl/>
        </w:rPr>
        <w:t xml:space="preserve"> الحجري</w:t>
      </w:r>
      <w:r>
        <w:rPr>
          <w:rFonts w:hint="cs"/>
          <w:rtl/>
        </w:rPr>
        <w:t>ة</w:t>
      </w:r>
      <w:r w:rsidRPr="00064619">
        <w:rPr>
          <w:rtl/>
        </w:rPr>
        <w:t xml:space="preserve">): 153؛ </w:t>
      </w:r>
      <w:r>
        <w:rPr>
          <w:rFonts w:hint="cs"/>
          <w:rtl/>
        </w:rPr>
        <w:t xml:space="preserve">السيد </w:t>
      </w:r>
      <w:r w:rsidRPr="00064619">
        <w:rPr>
          <w:rtl/>
        </w:rPr>
        <w:t>الخميني، تهذيب الأصول (تقرير أبحاثه بقلم: الشيخ جعفر السبحاني) 3: 144.</w:t>
      </w:r>
    </w:p>
  </w:footnote>
  <w:footnote w:id="110">
    <w:p w:rsidR="00F93F13" w:rsidRPr="00064619" w:rsidRDefault="00F93F13" w:rsidP="00064619">
      <w:pPr>
        <w:pStyle w:val="FootnoteText"/>
      </w:pPr>
      <w:r w:rsidRPr="00064619">
        <w:rPr>
          <w:rtl/>
        </w:rPr>
        <w:t>(</w:t>
      </w:r>
      <w:r w:rsidRPr="00064619">
        <w:rPr>
          <w:rtl/>
        </w:rPr>
        <w:footnoteRef/>
      </w:r>
      <w:r w:rsidRPr="00064619">
        <w:rPr>
          <w:rtl/>
        </w:rPr>
        <w:t>) راجع: أصول الكافي 1: 99، كتاب فضل العلم، باب الأخذ بالسنة وشواهد الكتاب، أحاديث 1 إلى 6.</w:t>
      </w:r>
    </w:p>
  </w:footnote>
  <w:footnote w:id="111">
    <w:p w:rsidR="00F93F13" w:rsidRPr="00064619" w:rsidRDefault="00F93F13" w:rsidP="00064619">
      <w:pPr>
        <w:pStyle w:val="FootnoteText"/>
      </w:pPr>
      <w:r w:rsidRPr="00064619">
        <w:rPr>
          <w:rtl/>
        </w:rPr>
        <w:t>(</w:t>
      </w:r>
      <w:r w:rsidRPr="00064619">
        <w:rPr>
          <w:rtl/>
        </w:rPr>
        <w:footnoteRef/>
      </w:r>
      <w:r w:rsidRPr="00064619">
        <w:rPr>
          <w:rtl/>
        </w:rPr>
        <w:t>) ﴿يَا أَيُّهَا الَّذِينَ آمَنُوا قَاتِلُوا الَّذِينَ يَلُونَكُمْ مِنْ الْكُفَّارِ﴾(التوبة: 123).</w:t>
      </w:r>
    </w:p>
  </w:footnote>
  <w:footnote w:id="112">
    <w:p w:rsidR="00F93F13" w:rsidRPr="00064619" w:rsidRDefault="00F93F13" w:rsidP="00064619">
      <w:pPr>
        <w:pStyle w:val="FootnoteText"/>
      </w:pPr>
      <w:r w:rsidRPr="00064619">
        <w:rPr>
          <w:rtl/>
        </w:rPr>
        <w:t>(</w:t>
      </w:r>
      <w:r w:rsidRPr="00064619">
        <w:rPr>
          <w:rtl/>
        </w:rPr>
        <w:footnoteRef/>
      </w:r>
      <w:r w:rsidRPr="00064619">
        <w:rPr>
          <w:rtl/>
        </w:rPr>
        <w:t>) ﴿وَلِكُلٍّ وِجْهَةٌ هُوَ مُوَلِّيهَا﴾(البقرة: 148).</w:t>
      </w:r>
    </w:p>
  </w:footnote>
  <w:footnote w:id="113">
    <w:p w:rsidR="00F93F13" w:rsidRPr="00064619" w:rsidRDefault="00F93F13" w:rsidP="00064619">
      <w:pPr>
        <w:pStyle w:val="FootnoteText"/>
      </w:pPr>
      <w:r w:rsidRPr="00064619">
        <w:rPr>
          <w:rtl/>
        </w:rPr>
        <w:t>(</w:t>
      </w:r>
      <w:r w:rsidRPr="00064619">
        <w:rPr>
          <w:rtl/>
        </w:rPr>
        <w:footnoteRef/>
      </w:r>
      <w:r w:rsidRPr="00064619">
        <w:rPr>
          <w:rtl/>
        </w:rPr>
        <w:t>) ﴿وَإِذَا أَرَادَ اللهُ بِقَوْمٍ سُوءاً فَلاَ مَرَدَّ لَهُ وَمَا لَهُمْ مِنْ دُونِهِ مِنْ وَالٍ﴾(رعد: 11).</w:t>
      </w:r>
    </w:p>
  </w:footnote>
  <w:footnote w:id="114">
    <w:p w:rsidR="00F93F13" w:rsidRPr="00064619" w:rsidRDefault="00F93F13" w:rsidP="00064619">
      <w:pPr>
        <w:pStyle w:val="FootnoteText"/>
      </w:pPr>
      <w:r w:rsidRPr="00064619">
        <w:rPr>
          <w:rtl/>
        </w:rPr>
        <w:t>(</w:t>
      </w:r>
      <w:r w:rsidRPr="00064619">
        <w:rPr>
          <w:rtl/>
        </w:rPr>
        <w:footnoteRef/>
      </w:r>
      <w:r w:rsidRPr="00064619">
        <w:rPr>
          <w:rtl/>
        </w:rPr>
        <w:t>) من قبيل: ﴿فَإِذَا الَّذِي بَيْنَكَ وَبَيْنَهُ عَدَاوَةٌ كَأَنَّهُ وَلِيٌّ حَمِيمٌ﴾(فصلت: 34).</w:t>
      </w:r>
    </w:p>
  </w:footnote>
  <w:footnote w:id="115">
    <w:p w:rsidR="00F93F13" w:rsidRPr="00064619" w:rsidRDefault="00F93F13" w:rsidP="00064619">
      <w:pPr>
        <w:pStyle w:val="FootnoteText"/>
      </w:pPr>
      <w:r w:rsidRPr="00064619">
        <w:rPr>
          <w:rtl/>
        </w:rPr>
        <w:t>(</w:t>
      </w:r>
      <w:r w:rsidRPr="00064619">
        <w:rPr>
          <w:rtl/>
        </w:rPr>
        <w:footnoteRef/>
      </w:r>
      <w:r w:rsidRPr="00064619">
        <w:rPr>
          <w:rtl/>
        </w:rPr>
        <w:t>) مثلاً: ﴿عَبَسَ وَتَوَلَّى * أَنْ جَاءَهُ الأَعْمَى﴾(عبس: 1 ـ 2).</w:t>
      </w:r>
    </w:p>
  </w:footnote>
  <w:footnote w:id="116">
    <w:p w:rsidR="00F93F13" w:rsidRPr="00064619" w:rsidRDefault="00F93F13" w:rsidP="00064619">
      <w:pPr>
        <w:pStyle w:val="FootnoteText"/>
      </w:pPr>
      <w:r w:rsidRPr="00064619">
        <w:rPr>
          <w:rtl/>
        </w:rPr>
        <w:t>(</w:t>
      </w:r>
      <w:r w:rsidRPr="00064619">
        <w:rPr>
          <w:rtl/>
        </w:rPr>
        <w:footnoteRef/>
      </w:r>
      <w:r w:rsidRPr="00064619">
        <w:rPr>
          <w:rtl/>
        </w:rPr>
        <w:t>) مثلاً: ﴿مَا وَلاَّهُمْ عَنْ قِبْلَتِهِمْ الَّتِي كَانُوا عَلَيْهَا﴾(البقرة: 142)</w:t>
      </w:r>
    </w:p>
  </w:footnote>
  <w:footnote w:id="117">
    <w:p w:rsidR="00F93F13" w:rsidRPr="00064619" w:rsidRDefault="00F93F13" w:rsidP="00635BE2">
      <w:pPr>
        <w:pStyle w:val="FootnoteText"/>
        <w:spacing w:line="202" w:lineRule="auto"/>
      </w:pPr>
      <w:r w:rsidRPr="00064619">
        <w:rPr>
          <w:rtl/>
        </w:rPr>
        <w:t>(</w:t>
      </w:r>
      <w:r w:rsidRPr="00064619">
        <w:rPr>
          <w:rtl/>
        </w:rPr>
        <w:footnoteRef/>
      </w:r>
      <w:r w:rsidRPr="00064619">
        <w:rPr>
          <w:rtl/>
        </w:rPr>
        <w:t>) الراغب الأصفهاني، معجم مفردات الألفاظ القرآن: 570 ـ 572، مادة الولي؛ الطبرسي، مجمع البيان 1: 364 ـ 365، ذيل الآية 257؛ الميزان في تفسير القرآن 5: 368 ـ 369، ذيل الآية 151 من سورة المائدة، و6: 11 ـ 1</w:t>
      </w:r>
      <w:r>
        <w:rPr>
          <w:rtl/>
        </w:rPr>
        <w:t>2، ذيل الآية 56 من سورة المائدة</w:t>
      </w:r>
      <w:r w:rsidRPr="00064619">
        <w:rPr>
          <w:rtl/>
        </w:rPr>
        <w:t>.</w:t>
      </w:r>
    </w:p>
  </w:footnote>
  <w:footnote w:id="118">
    <w:p w:rsidR="00F93F13" w:rsidRPr="00064619" w:rsidRDefault="00F93F13" w:rsidP="00635BE2">
      <w:pPr>
        <w:pStyle w:val="FootnoteText"/>
        <w:spacing w:line="202" w:lineRule="auto"/>
      </w:pPr>
      <w:r w:rsidRPr="00064619">
        <w:rPr>
          <w:rtl/>
        </w:rPr>
        <w:t>(</w:t>
      </w:r>
      <w:r w:rsidRPr="00064619">
        <w:rPr>
          <w:rtl/>
        </w:rPr>
        <w:footnoteRef/>
      </w:r>
      <w:r w:rsidRPr="00064619">
        <w:rPr>
          <w:rtl/>
        </w:rPr>
        <w:t>) راجع: ولاء وولايتها، مجموعة آثار مطهري 3: 207.</w:t>
      </w:r>
    </w:p>
  </w:footnote>
  <w:footnote w:id="119">
    <w:p w:rsidR="00F93F13" w:rsidRPr="00064619" w:rsidRDefault="00F93F13" w:rsidP="00064619">
      <w:pPr>
        <w:pStyle w:val="FootnoteText"/>
      </w:pPr>
      <w:r w:rsidRPr="00064619">
        <w:rPr>
          <w:rtl/>
        </w:rPr>
        <w:t>(</w:t>
      </w:r>
      <w:r w:rsidRPr="00064619">
        <w:rPr>
          <w:rtl/>
        </w:rPr>
        <w:footnoteRef/>
      </w:r>
      <w:r w:rsidRPr="00064619">
        <w:rPr>
          <w:rtl/>
        </w:rPr>
        <w:t>)6: 11 ـ 12، ذيل الآية 56 من سورة المائدة.</w:t>
      </w:r>
    </w:p>
  </w:footnote>
  <w:footnote w:id="120">
    <w:p w:rsidR="00F93F13" w:rsidRPr="00064619" w:rsidRDefault="00F93F13" w:rsidP="00064619">
      <w:pPr>
        <w:pStyle w:val="FootnoteText"/>
      </w:pPr>
      <w:r w:rsidRPr="00064619">
        <w:rPr>
          <w:rtl/>
        </w:rPr>
        <w:t>(</w:t>
      </w:r>
      <w:r w:rsidRPr="00064619">
        <w:rPr>
          <w:rtl/>
        </w:rPr>
        <w:footnoteRef/>
      </w:r>
      <w:r w:rsidRPr="00064619">
        <w:rPr>
          <w:rtl/>
        </w:rPr>
        <w:t>) راجع: الميزان في تفسير القرآن 17: 390، تفسير الآية 31 من سورة فصلت.</w:t>
      </w:r>
    </w:p>
  </w:footnote>
  <w:footnote w:id="121">
    <w:p w:rsidR="00F93F13" w:rsidRPr="00064619" w:rsidRDefault="00F93F13" w:rsidP="00064619">
      <w:pPr>
        <w:pStyle w:val="FootnoteText"/>
      </w:pPr>
      <w:r w:rsidRPr="00064619">
        <w:rPr>
          <w:rtl/>
        </w:rPr>
        <w:t>(</w:t>
      </w:r>
      <w:r w:rsidRPr="00064619">
        <w:rPr>
          <w:rtl/>
        </w:rPr>
        <w:footnoteRef/>
      </w:r>
      <w:r w:rsidRPr="00064619">
        <w:rPr>
          <w:rtl/>
        </w:rPr>
        <w:t>) آل عمران: 123 ـ 127.</w:t>
      </w:r>
    </w:p>
  </w:footnote>
  <w:footnote w:id="122">
    <w:p w:rsidR="00F93F13" w:rsidRPr="00064619" w:rsidRDefault="00F93F13" w:rsidP="00064619">
      <w:pPr>
        <w:pStyle w:val="FootnoteText"/>
      </w:pPr>
      <w:r w:rsidRPr="00064619">
        <w:rPr>
          <w:rtl/>
        </w:rPr>
        <w:t>(</w:t>
      </w:r>
      <w:r w:rsidRPr="00064619">
        <w:rPr>
          <w:rtl/>
        </w:rPr>
        <w:footnoteRef/>
      </w:r>
      <w:r w:rsidRPr="00064619">
        <w:rPr>
          <w:rtl/>
        </w:rPr>
        <w:t>) راجع: الميزان في تفسير القرآن 6: 13، تفسير الآيات 55 و56 من سورة المائدة.</w:t>
      </w:r>
    </w:p>
  </w:footnote>
  <w:footnote w:id="123">
    <w:p w:rsidR="00F93F13" w:rsidRPr="00064619" w:rsidRDefault="00F93F13" w:rsidP="00064619">
      <w:pPr>
        <w:pStyle w:val="FootnoteText"/>
      </w:pPr>
      <w:r w:rsidRPr="00064619">
        <w:rPr>
          <w:rtl/>
        </w:rPr>
        <w:t>(</w:t>
      </w:r>
      <w:r w:rsidRPr="00064619">
        <w:rPr>
          <w:rtl/>
        </w:rPr>
        <w:footnoteRef/>
      </w:r>
      <w:r w:rsidRPr="00064619">
        <w:rPr>
          <w:rtl/>
        </w:rPr>
        <w:t>) راجع: الميزان 6: 7.</w:t>
      </w:r>
    </w:p>
  </w:footnote>
  <w:footnote w:id="124">
    <w:p w:rsidR="00F93F13" w:rsidRPr="00064619" w:rsidRDefault="00F93F13" w:rsidP="00064619">
      <w:pPr>
        <w:pStyle w:val="FootnoteText"/>
      </w:pPr>
      <w:r w:rsidRPr="00064619">
        <w:rPr>
          <w:rtl/>
        </w:rPr>
        <w:t>(</w:t>
      </w:r>
      <w:r w:rsidRPr="00064619">
        <w:rPr>
          <w:rtl/>
        </w:rPr>
        <w:footnoteRef/>
      </w:r>
      <w:r w:rsidRPr="00064619">
        <w:rPr>
          <w:rtl/>
        </w:rPr>
        <w:t>) راجع: الطبرسي، مجمع البيان 1: 364 ـ 365، تفسير آية 257 من سورة البقرة.</w:t>
      </w:r>
    </w:p>
  </w:footnote>
  <w:footnote w:id="125">
    <w:p w:rsidR="00F93F13" w:rsidRPr="00064619" w:rsidRDefault="00F93F13" w:rsidP="00064619">
      <w:pPr>
        <w:pStyle w:val="FootnoteText"/>
      </w:pPr>
      <w:r w:rsidRPr="00064619">
        <w:rPr>
          <w:rtl/>
        </w:rPr>
        <w:t>(</w:t>
      </w:r>
      <w:r w:rsidRPr="00064619">
        <w:rPr>
          <w:rtl/>
        </w:rPr>
        <w:footnoteRef/>
      </w:r>
      <w:r w:rsidRPr="00064619">
        <w:rPr>
          <w:rtl/>
        </w:rPr>
        <w:t>) راجع: الميزان 16: 276.</w:t>
      </w:r>
    </w:p>
  </w:footnote>
  <w:footnote w:id="126">
    <w:p w:rsidR="00F93F13" w:rsidRPr="00064619" w:rsidRDefault="00F93F13" w:rsidP="00064619">
      <w:pPr>
        <w:pStyle w:val="FootnoteText"/>
      </w:pPr>
      <w:r w:rsidRPr="00064619">
        <w:rPr>
          <w:rtl/>
        </w:rPr>
        <w:t>(</w:t>
      </w:r>
      <w:r w:rsidRPr="00064619">
        <w:rPr>
          <w:rtl/>
        </w:rPr>
        <w:footnoteRef/>
      </w:r>
      <w:r w:rsidRPr="00064619">
        <w:rPr>
          <w:rtl/>
        </w:rPr>
        <w:t>) المصدر نفسه.</w:t>
      </w:r>
    </w:p>
  </w:footnote>
  <w:footnote w:id="127">
    <w:p w:rsidR="00F93F13" w:rsidRPr="00064619" w:rsidRDefault="00F93F13" w:rsidP="00064619">
      <w:pPr>
        <w:pStyle w:val="FootnoteText"/>
      </w:pPr>
      <w:r w:rsidRPr="00064619">
        <w:rPr>
          <w:rtl/>
        </w:rPr>
        <w:t>(</w:t>
      </w:r>
      <w:r w:rsidRPr="00064619">
        <w:rPr>
          <w:rtl/>
        </w:rPr>
        <w:footnoteRef/>
      </w:r>
      <w:r w:rsidRPr="00064619">
        <w:rPr>
          <w:rtl/>
        </w:rPr>
        <w:t>) راجع التوضيحات التفصيلية في الميزان في تفسير القرآن 1: 271 ـ 276، وخصوصاً المسائل السبعة في الإمامة القرآنيّة.</w:t>
      </w:r>
    </w:p>
  </w:footnote>
  <w:footnote w:id="128">
    <w:p w:rsidR="00F93F13" w:rsidRPr="00064619" w:rsidRDefault="00F93F13" w:rsidP="00064619">
      <w:pPr>
        <w:pStyle w:val="FootnoteText"/>
      </w:pPr>
      <w:r w:rsidRPr="00064619">
        <w:rPr>
          <w:rtl/>
        </w:rPr>
        <w:t>(</w:t>
      </w:r>
      <w:r w:rsidRPr="00064619">
        <w:rPr>
          <w:rtl/>
        </w:rPr>
        <w:footnoteRef/>
      </w:r>
      <w:r w:rsidRPr="00064619">
        <w:rPr>
          <w:rtl/>
        </w:rPr>
        <w:t>) راجع على سبيل المثال: الطوسي، تفسير التبيان؛ والطبرسي، مجمع البيان؛ والطباطبائي، الميزان، تفسير الآية 134 من سورة البقرة.</w:t>
      </w:r>
    </w:p>
  </w:footnote>
  <w:footnote w:id="129">
    <w:p w:rsidR="00F93F13" w:rsidRPr="00064619" w:rsidRDefault="00F93F13" w:rsidP="00064619">
      <w:pPr>
        <w:pStyle w:val="FootnoteText"/>
      </w:pPr>
      <w:r w:rsidRPr="00064619">
        <w:rPr>
          <w:rtl/>
        </w:rPr>
        <w:t>(</w:t>
      </w:r>
      <w:r w:rsidRPr="00064619">
        <w:rPr>
          <w:rtl/>
        </w:rPr>
        <w:footnoteRef/>
      </w:r>
      <w:r w:rsidRPr="00064619">
        <w:rPr>
          <w:rtl/>
        </w:rPr>
        <w:t>) ص: 35: ﴿قَالَ رَبِّ اغْفِرْ لِي وَهَبْ لِي مُلْكاً لاَ يَنْبَغِي لأَحَدٍ مِنْ بَعْدِي﴾. وكذلك الآية 34 من سورة النمل.</w:t>
      </w:r>
    </w:p>
  </w:footnote>
  <w:footnote w:id="130">
    <w:p w:rsidR="00F93F13" w:rsidRPr="00064619" w:rsidRDefault="00F93F13" w:rsidP="00064619">
      <w:pPr>
        <w:pStyle w:val="FootnoteText"/>
      </w:pPr>
      <w:r w:rsidRPr="00064619">
        <w:rPr>
          <w:rtl/>
        </w:rPr>
        <w:t>(</w:t>
      </w:r>
      <w:r w:rsidRPr="00064619">
        <w:rPr>
          <w:rtl/>
        </w:rPr>
        <w:footnoteRef/>
      </w:r>
      <w:r w:rsidRPr="00064619">
        <w:rPr>
          <w:rtl/>
        </w:rPr>
        <w:t>) يوسف: 101: ﴿رَبِّ قَدْ آتَيْتَنِي مِنْ الْمُلْكِ﴾. وكذلك الآيات 55، 72، 76 من سورة يوسف.</w:t>
      </w:r>
    </w:p>
  </w:footnote>
  <w:footnote w:id="131">
    <w:p w:rsidR="00F93F13" w:rsidRPr="00064619" w:rsidRDefault="00F93F13" w:rsidP="00064619">
      <w:pPr>
        <w:pStyle w:val="FootnoteText"/>
      </w:pPr>
      <w:r w:rsidRPr="00064619">
        <w:rPr>
          <w:rtl/>
        </w:rPr>
        <w:t>(</w:t>
      </w:r>
      <w:r w:rsidRPr="00064619">
        <w:rPr>
          <w:rtl/>
        </w:rPr>
        <w:footnoteRef/>
      </w:r>
      <w:r w:rsidRPr="00064619">
        <w:rPr>
          <w:rtl/>
        </w:rPr>
        <w:t>) البقرة: 247: ﴿وَقَالَ لَهُمْ نَبِيُّهُمْ إِنَّ اللهَ قَدْ بَعَثَ لَكُمْ طَالُوتَ مَلِكاً﴾.</w:t>
      </w:r>
    </w:p>
  </w:footnote>
  <w:footnote w:id="132">
    <w:p w:rsidR="00F93F13" w:rsidRPr="00064619" w:rsidRDefault="00F93F13" w:rsidP="00064619">
      <w:pPr>
        <w:pStyle w:val="FootnoteText"/>
      </w:pPr>
      <w:r w:rsidRPr="00064619">
        <w:rPr>
          <w:rtl/>
        </w:rPr>
        <w:t>(</w:t>
      </w:r>
      <w:r w:rsidRPr="00064619">
        <w:rPr>
          <w:rtl/>
        </w:rPr>
        <w:footnoteRef/>
      </w:r>
      <w:r w:rsidRPr="00064619">
        <w:rPr>
          <w:rtl/>
        </w:rPr>
        <w:t>) راجع: الميزان في تفسير القرآن 6: 15 ـ 25. وقد جمع المؤلِّف مجموعة من روايات الشيعة والسنة في (البحث الروائي) في تفسير الآيتين 55 و56. ومن جملة مصادر أهل السنة في هذا الموضوع راجع: تفسير الثعلبي؛ الجمع بين الصحاح الستة لابن المغازلي الشافعي؛ المناقب للخطيب الخوارزمي، تفسير الطبري؛ سنن النسائي؛ مسند أحمد بن حنبل؛ جامع الطبراني؛ تفسير الكشاف للزمخشري؛ و...</w:t>
      </w:r>
    </w:p>
  </w:footnote>
  <w:footnote w:id="133">
    <w:p w:rsidR="00F93F13" w:rsidRPr="00064619" w:rsidRDefault="00F93F13" w:rsidP="00064619">
      <w:pPr>
        <w:pStyle w:val="FootnoteText"/>
      </w:pPr>
      <w:r w:rsidRPr="00064619">
        <w:rPr>
          <w:rtl/>
        </w:rPr>
        <w:t>(</w:t>
      </w:r>
      <w:r w:rsidRPr="00064619">
        <w:rPr>
          <w:rtl/>
        </w:rPr>
        <w:footnoteRef/>
      </w:r>
      <w:r w:rsidRPr="00064619">
        <w:rPr>
          <w:rtl/>
        </w:rPr>
        <w:t>) الأحزاب: 33: ﴿إِنَّمَا يُرِيدُ اللهُ لِيُذْهِبَ عَنْكُمْ الرِّجْسَ أَهْلَ الْبَيْتِ وَيُطَهِّرَكُمْ تَطْهِيراً﴾.</w:t>
      </w:r>
    </w:p>
  </w:footnote>
  <w:footnote w:id="134">
    <w:p w:rsidR="00F93F13" w:rsidRPr="00064619" w:rsidRDefault="00F93F13" w:rsidP="00635BE2">
      <w:pPr>
        <w:pStyle w:val="FootnoteText"/>
        <w:spacing w:line="206" w:lineRule="auto"/>
      </w:pPr>
      <w:r w:rsidRPr="00064619">
        <w:rPr>
          <w:rtl/>
        </w:rPr>
        <w:t>(</w:t>
      </w:r>
      <w:r w:rsidRPr="00064619">
        <w:rPr>
          <w:rtl/>
        </w:rPr>
        <w:footnoteRef/>
      </w:r>
      <w:r w:rsidRPr="00064619">
        <w:rPr>
          <w:rtl/>
        </w:rPr>
        <w:t>) آل عمران: 61: ﴿فَمَنْ حَاجَّكَ فِيهِ مِنْ بَعْدِ مَا جَاءَكَ مِنْ الْعِلْمِ فَقُلْ تَعَالَوْا نَدْعُ أَبْنَاءَنَا وَأَبْنَاءَكُمْ وَنِسَاءَنَا وَنِسَاءَكُمْ وَأَنْفُسَنَا وَأَنْفُسَكُمْ ثُمَّ نَبْتَهِلْ فَنَجْعَلْ لَعْنَةَ اللهِ عَلَى الْكَاذِبِينَ﴾.</w:t>
      </w:r>
    </w:p>
  </w:footnote>
  <w:footnote w:id="135">
    <w:p w:rsidR="00F93F13" w:rsidRPr="00064619" w:rsidRDefault="00F93F13" w:rsidP="00635BE2">
      <w:pPr>
        <w:pStyle w:val="FootnoteText"/>
        <w:spacing w:line="206" w:lineRule="auto"/>
      </w:pPr>
      <w:r w:rsidRPr="00064619">
        <w:rPr>
          <w:rtl/>
        </w:rPr>
        <w:t>(</w:t>
      </w:r>
      <w:r w:rsidRPr="00064619">
        <w:rPr>
          <w:rtl/>
        </w:rPr>
        <w:footnoteRef/>
      </w:r>
      <w:r w:rsidRPr="00064619">
        <w:rPr>
          <w:rtl/>
        </w:rPr>
        <w:t>) راجع: أصول الكافي1: كتاب الحجة.</w:t>
      </w:r>
    </w:p>
  </w:footnote>
  <w:footnote w:id="136">
    <w:p w:rsidR="00F93F13" w:rsidRPr="00064619" w:rsidRDefault="00F93F13" w:rsidP="00635BE2">
      <w:pPr>
        <w:pStyle w:val="FootnoteText"/>
        <w:spacing w:line="206" w:lineRule="auto"/>
      </w:pPr>
      <w:r w:rsidRPr="00064619">
        <w:rPr>
          <w:rtl/>
        </w:rPr>
        <w:t>(</w:t>
      </w:r>
      <w:r w:rsidRPr="00064619">
        <w:rPr>
          <w:rtl/>
        </w:rPr>
        <w:footnoteRef/>
      </w:r>
      <w:r w:rsidRPr="00064619">
        <w:rPr>
          <w:rtl/>
        </w:rPr>
        <w:t>) الميزان في تفسير القرآن 4: 389 ـ 391: «هذه الإطاعة المأمور بها في الآية إطاعة مطلقة غير مشروطة بشرط، ولا مقيدة بقيد... ولازم</w:t>
      </w:r>
      <w:r>
        <w:rPr>
          <w:rFonts w:hint="cs"/>
          <w:rtl/>
        </w:rPr>
        <w:t>ه</w:t>
      </w:r>
      <w:r w:rsidRPr="00064619">
        <w:rPr>
          <w:rtl/>
        </w:rPr>
        <w:t xml:space="preserve"> اعتبار العصمة في جانب أولي الأمر كما اعتبر في جانب رسول الله</w:t>
      </w:r>
      <w:r w:rsidRPr="00064619">
        <w:rPr>
          <w:rtl/>
        </w:rPr>
        <w:sym w:font="Roumouz" w:char="F02D"/>
      </w:r>
      <w:r w:rsidRPr="00064619">
        <w:rPr>
          <w:rtl/>
        </w:rPr>
        <w:t xml:space="preserve"> من غير فرق».</w:t>
      </w:r>
    </w:p>
  </w:footnote>
  <w:footnote w:id="137">
    <w:p w:rsidR="00F93F13" w:rsidRPr="00064619" w:rsidRDefault="00F93F13" w:rsidP="00635BE2">
      <w:pPr>
        <w:pStyle w:val="FootnoteText"/>
        <w:spacing w:line="206" w:lineRule="auto"/>
      </w:pPr>
      <w:r w:rsidRPr="00064619">
        <w:rPr>
          <w:rtl/>
        </w:rPr>
        <w:t>(</w:t>
      </w:r>
      <w:r w:rsidRPr="00064619">
        <w:rPr>
          <w:rtl/>
        </w:rPr>
        <w:footnoteRef/>
      </w:r>
      <w:r w:rsidRPr="00064619">
        <w:rPr>
          <w:rtl/>
        </w:rPr>
        <w:t>) العنكبوت: 8: ﴿وَوَصَّيْنَا الإِنْسَانَ بِوَالِدَيْهِ حُسْناً وَإِنْ جَاهَدَاكَ لِتُشْرِكَ بِي مَا لَيْسَ لَكَ بِهِ عِلْمٌ فَلاَ تُطِعْهُمَا﴾.</w:t>
      </w:r>
    </w:p>
  </w:footnote>
  <w:footnote w:id="138">
    <w:p w:rsidR="00F93F13" w:rsidRPr="00064619" w:rsidRDefault="00F93F13" w:rsidP="00064619">
      <w:pPr>
        <w:pStyle w:val="FootnoteText"/>
        <w:rPr>
          <w:rtl/>
        </w:rPr>
      </w:pPr>
      <w:r w:rsidRPr="00064619">
        <w:rPr>
          <w:rtl/>
        </w:rPr>
        <w:t>(</w:t>
      </w:r>
      <w:r w:rsidRPr="00064619">
        <w:rPr>
          <w:rtl/>
        </w:rPr>
        <w:footnoteRef/>
      </w:r>
      <w:r w:rsidRPr="00064619">
        <w:rPr>
          <w:rtl/>
        </w:rPr>
        <w:t>) راجع على سبيل المثال: التبيان للشيخ الطوسي؛ تفسير أبو الفتح الرازي؛ مجمع البيان للطبرسي؛ تفسير الصافي للفيض الكاشاني؛ الميزان للطباطبائي، تفسير الآية 59 من سورة النساء. وقد صرّح الطباطبائي مرة أخرى في تفسيره للآية 83 من سورة النساء: ﴿وَلَوْ رَدُّوهُ إِلَى الرَّسُولِ وَإِلَى أُوْلِي الأَمْرِ مِنْهُمْ﴾، باشتراط العصمة في أولي الأمر، وذكر احتمالات خمسة حول أنه مَنْ هم أولي الأمر؟ ومن جملة هذه الاحتمالات أنهم علماء الدين، فقهاء ومتكلِّمين، إلاّ أنه ردّ هذا الاحتمال مستنداً إلى الأدلة (الميزان في تفسير القرآن 5: 23).</w:t>
      </w:r>
    </w:p>
    <w:p w:rsidR="00F93F13" w:rsidRPr="00064619" w:rsidRDefault="00F93F13" w:rsidP="00635BE2">
      <w:pPr>
        <w:pStyle w:val="FootnoteText"/>
        <w:ind w:firstLine="0"/>
      </w:pPr>
      <w:r w:rsidRPr="00064619">
        <w:rPr>
          <w:rtl/>
        </w:rPr>
        <w:t>وفي خصوص شرط عصمة أولي الأمر في القرآن، وضرورة العصمة في الطاعة المطلقة، راجع: جمع من المؤلِّفين، الإمامة والولاية في القرآن الكريم: 41 ـ 45.</w:t>
      </w:r>
    </w:p>
  </w:footnote>
  <w:footnote w:id="139">
    <w:p w:rsidR="00F93F13" w:rsidRPr="00064619" w:rsidRDefault="00F93F13" w:rsidP="00064619">
      <w:pPr>
        <w:pStyle w:val="FootnoteText"/>
      </w:pPr>
      <w:r w:rsidRPr="00064619">
        <w:rPr>
          <w:rtl/>
        </w:rPr>
        <w:t>(</w:t>
      </w:r>
      <w:r w:rsidRPr="00064619">
        <w:rPr>
          <w:rtl/>
        </w:rPr>
        <w:footnoteRef/>
      </w:r>
      <w:r w:rsidRPr="00064619">
        <w:rPr>
          <w:rtl/>
        </w:rPr>
        <w:t>) وفي خصوص التفسير الفقهي لهذه الآية راجع: الفاضل مقداد السيوري، كنز العرفان في فقه القرآن 2: 358. والجدير بالذكر أن كلمة ولي في سورة النمل آية 48 و49 استعملت بهذا المعنى أيضاً.</w:t>
      </w:r>
    </w:p>
  </w:footnote>
  <w:footnote w:id="140">
    <w:p w:rsidR="00F93F13" w:rsidRPr="00064619" w:rsidRDefault="00F93F13" w:rsidP="00635BE2">
      <w:pPr>
        <w:pStyle w:val="FootnoteText"/>
        <w:spacing w:line="180" w:lineRule="auto"/>
      </w:pPr>
      <w:r w:rsidRPr="00064619">
        <w:rPr>
          <w:rtl/>
        </w:rPr>
        <w:t>(</w:t>
      </w:r>
      <w:r w:rsidRPr="00064619">
        <w:rPr>
          <w:rtl/>
        </w:rPr>
        <w:footnoteRef/>
      </w:r>
      <w:r w:rsidRPr="00064619">
        <w:rPr>
          <w:rtl/>
        </w:rPr>
        <w:t>) راجع: كنز العرفان في فقه القرآن 2: 48 ـ 50؛ الميزان؛ مجمع البيان، في تفسير هذه الآية.</w:t>
      </w:r>
    </w:p>
  </w:footnote>
  <w:footnote w:id="141">
    <w:p w:rsidR="00F93F13" w:rsidRPr="00064619" w:rsidRDefault="00F93F13" w:rsidP="00635BE2">
      <w:pPr>
        <w:pStyle w:val="FootnoteText"/>
        <w:spacing w:line="180" w:lineRule="auto"/>
      </w:pPr>
      <w:r w:rsidRPr="00064619">
        <w:rPr>
          <w:rtl/>
        </w:rPr>
        <w:t>(</w:t>
      </w:r>
      <w:r w:rsidRPr="00064619">
        <w:rPr>
          <w:rtl/>
        </w:rPr>
        <w:footnoteRef/>
      </w:r>
      <w:r w:rsidRPr="00064619">
        <w:rPr>
          <w:rtl/>
        </w:rPr>
        <w:t>) راجع: كنز العرفان 3: 207 ـ 209.</w:t>
      </w:r>
    </w:p>
  </w:footnote>
  <w:footnote w:id="142">
    <w:p w:rsidR="00F93F13" w:rsidRPr="00064619" w:rsidRDefault="00F93F13" w:rsidP="00635BE2">
      <w:pPr>
        <w:pStyle w:val="FootnoteText"/>
        <w:spacing w:line="180" w:lineRule="auto"/>
      </w:pPr>
      <w:r w:rsidRPr="00064619">
        <w:rPr>
          <w:rtl/>
        </w:rPr>
        <w:t>(</w:t>
      </w:r>
      <w:r w:rsidRPr="00064619">
        <w:rPr>
          <w:rtl/>
        </w:rPr>
        <w:footnoteRef/>
      </w:r>
      <w:r w:rsidRPr="00064619">
        <w:rPr>
          <w:rtl/>
        </w:rPr>
        <w:t>) راجع: الميزان، تفسير الآية.</w:t>
      </w:r>
    </w:p>
  </w:footnote>
  <w:footnote w:id="143">
    <w:p w:rsidR="00F93F13" w:rsidRPr="00064619" w:rsidRDefault="00F93F13" w:rsidP="00635BE2">
      <w:pPr>
        <w:pStyle w:val="FootnoteText"/>
        <w:spacing w:line="180" w:lineRule="auto"/>
      </w:pPr>
      <w:r w:rsidRPr="00064619">
        <w:rPr>
          <w:rtl/>
        </w:rPr>
        <w:t>(</w:t>
      </w:r>
      <w:r w:rsidRPr="00064619">
        <w:rPr>
          <w:rtl/>
        </w:rPr>
        <w:footnoteRef/>
      </w:r>
      <w:r w:rsidRPr="00064619">
        <w:rPr>
          <w:rtl/>
        </w:rPr>
        <w:t>) راجع: كنز العرفان 2: 323؛ الميزان 4: 341.</w:t>
      </w:r>
    </w:p>
  </w:footnote>
  <w:footnote w:id="144">
    <w:p w:rsidR="00F93F13" w:rsidRPr="00064619" w:rsidRDefault="00F93F13" w:rsidP="00635BE2">
      <w:pPr>
        <w:pStyle w:val="FootnoteText"/>
        <w:spacing w:line="180" w:lineRule="auto"/>
      </w:pPr>
      <w:r w:rsidRPr="00064619">
        <w:rPr>
          <w:rtl/>
        </w:rPr>
        <w:t>(</w:t>
      </w:r>
      <w:r w:rsidRPr="00064619">
        <w:rPr>
          <w:rtl/>
        </w:rPr>
        <w:footnoteRef/>
      </w:r>
      <w:r w:rsidRPr="00064619">
        <w:rPr>
          <w:rtl/>
        </w:rPr>
        <w:t>) راجع: الميزان 14: 10؛ كنز العرفان 2: 335 ـ 337.</w:t>
      </w:r>
    </w:p>
  </w:footnote>
  <w:footnote w:id="145">
    <w:p w:rsidR="00F93F13" w:rsidRPr="00064619" w:rsidRDefault="00F93F13" w:rsidP="00064619">
      <w:pPr>
        <w:pStyle w:val="FootnoteText"/>
      </w:pPr>
      <w:r w:rsidRPr="00064619">
        <w:rPr>
          <w:rtl/>
        </w:rPr>
        <w:t>(</w:t>
      </w:r>
      <w:r w:rsidRPr="00064619">
        <w:rPr>
          <w:rtl/>
        </w:rPr>
        <w:footnoteRef/>
      </w:r>
      <w:r w:rsidRPr="00064619">
        <w:rPr>
          <w:rtl/>
        </w:rPr>
        <w:t>) راجع: كنز العرفان 2: 235؛ الميزان، تفسير الآية. وراجع أيضاً: الميزان 9: 142، توضيحات الطباطبائي في تفسير الآية 75 من سورة الأنفال.</w:t>
      </w:r>
    </w:p>
  </w:footnote>
  <w:footnote w:id="146">
    <w:p w:rsidR="00F93F13" w:rsidRPr="00064619" w:rsidRDefault="00F93F13" w:rsidP="00064619">
      <w:pPr>
        <w:pStyle w:val="FootnoteText"/>
      </w:pPr>
      <w:r w:rsidRPr="00064619">
        <w:rPr>
          <w:rtl/>
        </w:rPr>
        <w:t>(</w:t>
      </w:r>
      <w:r w:rsidRPr="00064619">
        <w:rPr>
          <w:rtl/>
        </w:rPr>
        <w:footnoteRef/>
      </w:r>
      <w:r w:rsidRPr="00064619">
        <w:rPr>
          <w:rtl/>
        </w:rPr>
        <w:t>) راجع: الميزان 9: 338، 141، 143.</w:t>
      </w:r>
    </w:p>
  </w:footnote>
  <w:footnote w:id="147">
    <w:p w:rsidR="00F93F13" w:rsidRPr="00064619" w:rsidRDefault="00F93F13" w:rsidP="00064619">
      <w:pPr>
        <w:pStyle w:val="FootnoteText"/>
      </w:pPr>
      <w:r w:rsidRPr="00064619">
        <w:rPr>
          <w:rtl/>
        </w:rPr>
        <w:t>(</w:t>
      </w:r>
      <w:r w:rsidRPr="00064619">
        <w:rPr>
          <w:rtl/>
        </w:rPr>
        <w:footnoteRef/>
      </w:r>
      <w:r w:rsidRPr="00064619">
        <w:rPr>
          <w:rtl/>
        </w:rPr>
        <w:t>) الأحزاب: 6: ﴿النَّبِيُّ أَوْلَى بِالْمُؤْمِنِينَ مِنْ أَنْفُسِهِمْ﴾.</w:t>
      </w:r>
    </w:p>
  </w:footnote>
  <w:footnote w:id="148">
    <w:p w:rsidR="00F93F13" w:rsidRPr="00064619" w:rsidRDefault="00F93F13" w:rsidP="00064619">
      <w:pPr>
        <w:pStyle w:val="FootnoteText"/>
      </w:pPr>
      <w:r w:rsidRPr="00064619">
        <w:rPr>
          <w:rtl/>
        </w:rPr>
        <w:t>(</w:t>
      </w:r>
      <w:r w:rsidRPr="00064619">
        <w:rPr>
          <w:rtl/>
        </w:rPr>
        <w:footnoteRef/>
      </w:r>
      <w:r w:rsidRPr="00064619">
        <w:rPr>
          <w:rtl/>
        </w:rPr>
        <w:t>) راجع: الميزان 9: 141 ـ 142.</w:t>
      </w:r>
    </w:p>
  </w:footnote>
  <w:footnote w:id="149">
    <w:p w:rsidR="00F93F13" w:rsidRPr="00064619" w:rsidRDefault="00F93F13" w:rsidP="00064619">
      <w:pPr>
        <w:pStyle w:val="FootnoteText"/>
      </w:pPr>
      <w:r w:rsidRPr="00064619">
        <w:rPr>
          <w:rtl/>
        </w:rPr>
        <w:t>(</w:t>
      </w:r>
      <w:r w:rsidRPr="00064619">
        <w:rPr>
          <w:rtl/>
        </w:rPr>
        <w:footnoteRef/>
      </w:r>
      <w:r w:rsidRPr="00064619">
        <w:rPr>
          <w:rtl/>
        </w:rPr>
        <w:t>) كما في سورة الأعراف: 27، حيث قال تعالى: ﴿إِنَّا جَعَلْنَا الشَّيَاطِينَ أَوْلِيَاءَ لِلَّذِينَ لاَ يُؤْمِنُونَ﴾.</w:t>
      </w:r>
    </w:p>
  </w:footnote>
  <w:footnote w:id="150">
    <w:p w:rsidR="00F93F13" w:rsidRPr="00064619" w:rsidRDefault="00F93F13" w:rsidP="00064619">
      <w:pPr>
        <w:pStyle w:val="FootnoteText"/>
      </w:pPr>
      <w:r w:rsidRPr="00064619">
        <w:rPr>
          <w:rtl/>
        </w:rPr>
        <w:t>(</w:t>
      </w:r>
      <w:r w:rsidRPr="00064619">
        <w:rPr>
          <w:rtl/>
        </w:rPr>
        <w:footnoteRef/>
      </w:r>
      <w:r w:rsidRPr="00064619">
        <w:rPr>
          <w:rtl/>
        </w:rPr>
        <w:t>) الأحزاب: 64 ـ 65: ﴿إِنَّ اللهَ لَعَنَ الْكَافِرِينَ وَأَعَدَّ لَهُمْ سَعِيراً * خَالِدِينَ فِيهَا أَبَداً لاَ يَجِدُونَ وَلِيّاً وَلاَ نَصِيراً﴾. وكذلك انظر: النحل: 63.</w:t>
      </w:r>
    </w:p>
  </w:footnote>
  <w:footnote w:id="151">
    <w:p w:rsidR="00F93F13" w:rsidRPr="00064619" w:rsidRDefault="00F93F13" w:rsidP="00064619">
      <w:pPr>
        <w:pStyle w:val="FootnoteText"/>
      </w:pPr>
      <w:r w:rsidRPr="00064619">
        <w:rPr>
          <w:rtl/>
        </w:rPr>
        <w:t>(</w:t>
      </w:r>
      <w:r w:rsidRPr="00064619">
        <w:rPr>
          <w:rtl/>
        </w:rPr>
        <w:footnoteRef/>
      </w:r>
      <w:r w:rsidRPr="00064619">
        <w:rPr>
          <w:rtl/>
        </w:rPr>
        <w:t>) النساء: 119: ﴿وَمَنْ يَتَّخِذْ الشَّيْطَانَ وَلِيّاً مِنْ دُونِ اللهِ فَقَدْ خَسِرَ خُسْرَاناً مُبِيناً﴾.</w:t>
      </w:r>
    </w:p>
  </w:footnote>
  <w:footnote w:id="152">
    <w:p w:rsidR="00F93F13" w:rsidRPr="00064619" w:rsidRDefault="00F93F13" w:rsidP="00064619">
      <w:pPr>
        <w:pStyle w:val="FootnoteText"/>
      </w:pPr>
      <w:r w:rsidRPr="00064619">
        <w:rPr>
          <w:rtl/>
        </w:rPr>
        <w:t>(</w:t>
      </w:r>
      <w:r w:rsidRPr="00064619">
        <w:rPr>
          <w:rtl/>
        </w:rPr>
        <w:footnoteRef/>
      </w:r>
      <w:r w:rsidRPr="00064619">
        <w:rPr>
          <w:rtl/>
        </w:rPr>
        <w:t>) النحل: 63: ﴿فَزَيَّنَ لَهُمْ الشَّيْطَانُ أَعْمَالَهُمْ فَهُوَ وَلِيُّهُمْ الْيَوْمَ وَلَهُمْ عَذَابٌ أَلِيمٌ﴾.</w:t>
      </w:r>
    </w:p>
  </w:footnote>
  <w:footnote w:id="153">
    <w:p w:rsidR="00F93F13" w:rsidRPr="00064619" w:rsidRDefault="00F93F13" w:rsidP="00064619">
      <w:pPr>
        <w:pStyle w:val="FootnoteText"/>
      </w:pPr>
      <w:r w:rsidRPr="00064619">
        <w:rPr>
          <w:rtl/>
        </w:rPr>
        <w:t>(</w:t>
      </w:r>
      <w:r w:rsidRPr="00064619">
        <w:rPr>
          <w:rtl/>
        </w:rPr>
        <w:footnoteRef/>
      </w:r>
      <w:r w:rsidRPr="00064619">
        <w:rPr>
          <w:rtl/>
        </w:rPr>
        <w:t>) آل عمران: 175: ﴿إِنَّمَا ذَلِكُمْ الشَّيْطَانُ يُخَوِّفُ أَوْلِيَاءَهُ﴾.</w:t>
      </w:r>
    </w:p>
  </w:footnote>
  <w:footnote w:id="154">
    <w:p w:rsidR="00F93F13" w:rsidRPr="00064619" w:rsidRDefault="00F93F13" w:rsidP="00064619">
      <w:pPr>
        <w:pStyle w:val="FootnoteText"/>
      </w:pPr>
      <w:r w:rsidRPr="00064619">
        <w:rPr>
          <w:rtl/>
        </w:rPr>
        <w:t>(</w:t>
      </w:r>
      <w:r w:rsidRPr="00064619">
        <w:rPr>
          <w:rtl/>
        </w:rPr>
        <w:footnoteRef/>
      </w:r>
      <w:r w:rsidRPr="00064619">
        <w:rPr>
          <w:rtl/>
        </w:rPr>
        <w:t>) الأنعام: 121: ﴿وَإِنَّ الشَّيَاطِينَ لَيُوحُونَ إِلَى أَوْلِيَائِهِمْ لِيُجَادِلُوكُمْ﴾.</w:t>
      </w:r>
    </w:p>
  </w:footnote>
  <w:footnote w:id="155">
    <w:p w:rsidR="00F93F13" w:rsidRPr="00064619" w:rsidRDefault="00F93F13" w:rsidP="00064619">
      <w:pPr>
        <w:pStyle w:val="FootnoteText"/>
      </w:pPr>
      <w:r w:rsidRPr="00064619">
        <w:rPr>
          <w:rtl/>
        </w:rPr>
        <w:t>(</w:t>
      </w:r>
      <w:r w:rsidRPr="00064619">
        <w:rPr>
          <w:rtl/>
        </w:rPr>
        <w:footnoteRef/>
      </w:r>
      <w:r w:rsidRPr="00064619">
        <w:rPr>
          <w:rtl/>
        </w:rPr>
        <w:t>) الحج: 13: ﴿لَبِئْسَ الْمَوْلَى وَلَبِئْسَ الْعَشِيرُ﴾.</w:t>
      </w:r>
    </w:p>
  </w:footnote>
  <w:footnote w:id="156">
    <w:p w:rsidR="00F93F13" w:rsidRPr="00064619" w:rsidRDefault="00F93F13" w:rsidP="00064619">
      <w:pPr>
        <w:pStyle w:val="FootnoteText"/>
      </w:pPr>
      <w:r w:rsidRPr="00064619">
        <w:rPr>
          <w:rtl/>
        </w:rPr>
        <w:t>(</w:t>
      </w:r>
      <w:r w:rsidRPr="00064619">
        <w:rPr>
          <w:rtl/>
        </w:rPr>
        <w:footnoteRef/>
      </w:r>
      <w:r w:rsidRPr="00064619">
        <w:rPr>
          <w:rtl/>
        </w:rPr>
        <w:t>) العنكبوت: 41: ﴿مَثَلُ الَّذِينَ اتَّخَذُوا مِنْ دُونِ اللهِ أَوْلِيَاءَ كَمَثَلِ الْعَنكَبُوتِ﴾.</w:t>
      </w:r>
    </w:p>
  </w:footnote>
  <w:footnote w:id="157">
    <w:p w:rsidR="00F93F13" w:rsidRPr="00064619" w:rsidRDefault="00F93F13" w:rsidP="00064619">
      <w:pPr>
        <w:pStyle w:val="FootnoteText"/>
      </w:pPr>
      <w:r w:rsidRPr="00064619">
        <w:rPr>
          <w:rtl/>
        </w:rPr>
        <w:t>(</w:t>
      </w:r>
      <w:r w:rsidRPr="00064619">
        <w:rPr>
          <w:rtl/>
        </w:rPr>
        <w:footnoteRef/>
      </w:r>
      <w:r w:rsidRPr="00064619">
        <w:rPr>
          <w:rtl/>
        </w:rPr>
        <w:t xml:space="preserve">) راجع: الميزان 5: 371، 6: 27. </w:t>
      </w:r>
    </w:p>
  </w:footnote>
  <w:footnote w:id="158">
    <w:p w:rsidR="00F93F13" w:rsidRPr="00064619" w:rsidRDefault="00F93F13" w:rsidP="00064619">
      <w:pPr>
        <w:pStyle w:val="FootnoteText"/>
      </w:pPr>
      <w:r w:rsidRPr="00064619">
        <w:rPr>
          <w:rtl/>
        </w:rPr>
        <w:t>(</w:t>
      </w:r>
      <w:r w:rsidRPr="00064619">
        <w:rPr>
          <w:rtl/>
        </w:rPr>
        <w:footnoteRef/>
      </w:r>
      <w:r w:rsidRPr="00064619">
        <w:rPr>
          <w:rtl/>
        </w:rPr>
        <w:t>) وأيضاً المائدة: 68: ﴿لَسْتُمْ عَلَى شَيْءٍ حَتَّى تُقِيمُوا التَّوْرَاةَ وَالإِنجِيلَ وَمَا أُنزِلَ إِلَيْكُمْ مِنْ رَبِّكُمْ﴾.</w:t>
      </w:r>
    </w:p>
  </w:footnote>
  <w:footnote w:id="159">
    <w:p w:rsidR="00F93F13" w:rsidRPr="00064619" w:rsidRDefault="00F93F13" w:rsidP="00064619">
      <w:pPr>
        <w:pStyle w:val="FootnoteText"/>
      </w:pPr>
      <w:r w:rsidRPr="00064619">
        <w:rPr>
          <w:rtl/>
        </w:rPr>
        <w:t>(</w:t>
      </w:r>
      <w:r w:rsidRPr="00064619">
        <w:rPr>
          <w:rtl/>
        </w:rPr>
        <w:footnoteRef/>
      </w:r>
      <w:r w:rsidRPr="00064619">
        <w:rPr>
          <w:rtl/>
        </w:rPr>
        <w:t>) الممتحنة: 8: ﴿لاَ يَنْهَاكُمْ اللهُ عَنْ الَّذِينَ لَمْ يُقَاتِلُوكُمْ فِي الدِّينِ وَلَمْ يُخْرِجُوكُمْ مِنْ دِيَارِكُمْ أَنْ تَبَرُّوهُمْ وَتُقْسِطُوا إِلَيْهِمْ﴾.</w:t>
      </w:r>
    </w:p>
  </w:footnote>
  <w:footnote w:id="160">
    <w:p w:rsidR="00F93F13" w:rsidRPr="00064619" w:rsidRDefault="00F93F13" w:rsidP="00064619">
      <w:pPr>
        <w:pStyle w:val="FootnoteText"/>
      </w:pPr>
      <w:r w:rsidRPr="00064619">
        <w:rPr>
          <w:rtl/>
        </w:rPr>
        <w:t>(</w:t>
      </w:r>
      <w:r w:rsidRPr="00064619">
        <w:rPr>
          <w:rtl/>
        </w:rPr>
        <w:footnoteRef/>
      </w:r>
      <w:r w:rsidRPr="00064619">
        <w:rPr>
          <w:rtl/>
        </w:rPr>
        <w:t>) راجع الفصل الحادي والعشرين من هذا الكتاب.</w:t>
      </w:r>
    </w:p>
  </w:footnote>
  <w:footnote w:id="161">
    <w:p w:rsidR="00F93F13" w:rsidRPr="00064619" w:rsidRDefault="00F93F13" w:rsidP="00064619">
      <w:pPr>
        <w:pStyle w:val="FootnoteText"/>
        <w:rPr>
          <w:rtl/>
        </w:rPr>
      </w:pPr>
      <w:r w:rsidRPr="00064619">
        <w:rPr>
          <w:rtl/>
        </w:rPr>
        <w:t>(</w:t>
      </w:r>
      <w:r w:rsidRPr="00064619">
        <w:rPr>
          <w:rtl/>
        </w:rPr>
        <w:footnoteRef/>
      </w:r>
      <w:r w:rsidRPr="00064619">
        <w:rPr>
          <w:rtl/>
        </w:rPr>
        <w:t>) أصول الكافي.</w:t>
      </w:r>
    </w:p>
  </w:footnote>
  <w:footnote w:id="162">
    <w:p w:rsidR="00F93F13" w:rsidRPr="00064619" w:rsidRDefault="00F93F13" w:rsidP="00064619">
      <w:pPr>
        <w:pStyle w:val="FootnoteText"/>
      </w:pPr>
      <w:r w:rsidRPr="00064619">
        <w:rPr>
          <w:rtl/>
        </w:rPr>
        <w:t>(</w:t>
      </w:r>
      <w:r w:rsidRPr="00064619">
        <w:rPr>
          <w:rtl/>
        </w:rPr>
        <w:footnoteRef/>
      </w:r>
      <w:r w:rsidRPr="00064619">
        <w:rPr>
          <w:rtl/>
        </w:rPr>
        <w:t>) آل عمران: 164: ﴿لَقَدْ مَنَّ اللهُ عَلَى الْمُؤْمِنِينَ إِذْ بَعَثَ فِيهِمْ رَسُولاً مِنْ أَنْفُسِهِمْ يَتْلُو عَلَيْهِمْ آيَاتِهِ وَيُزَكِّيهِمْ وَيُعَلِّمُهُمْ الْكِتَابَ وَالْحِكْمَةَ﴾.</w:t>
      </w:r>
    </w:p>
  </w:footnote>
  <w:footnote w:id="163">
    <w:p w:rsidR="00F93F13" w:rsidRPr="00064619" w:rsidRDefault="00F93F13" w:rsidP="00064619">
      <w:pPr>
        <w:pStyle w:val="FootnoteText"/>
      </w:pPr>
      <w:r w:rsidRPr="00064619">
        <w:rPr>
          <w:rtl/>
        </w:rPr>
        <w:t>(</w:t>
      </w:r>
      <w:r w:rsidRPr="00064619">
        <w:rPr>
          <w:rtl/>
        </w:rPr>
        <w:footnoteRef/>
      </w:r>
      <w:r w:rsidRPr="00064619">
        <w:rPr>
          <w:rtl/>
        </w:rPr>
        <w:t>) النحل: 44: ﴿لِتُبَيِّنَ لِلنَّاسِ مَا نُزِّلَ إِلَيْهِمْ﴾.</w:t>
      </w:r>
    </w:p>
  </w:footnote>
  <w:footnote w:id="164">
    <w:p w:rsidR="00F93F13" w:rsidRPr="00064619" w:rsidRDefault="00F93F13" w:rsidP="00064619">
      <w:pPr>
        <w:pStyle w:val="FootnoteText"/>
      </w:pPr>
      <w:r w:rsidRPr="00064619">
        <w:rPr>
          <w:rtl/>
        </w:rPr>
        <w:t>(</w:t>
      </w:r>
      <w:r w:rsidRPr="00064619">
        <w:rPr>
          <w:rtl/>
        </w:rPr>
        <w:footnoteRef/>
      </w:r>
      <w:r w:rsidRPr="00064619">
        <w:rPr>
          <w:rtl/>
        </w:rPr>
        <w:t>) آل عمران: 132: ﴿وَأَطِيعُوا اللهَ وَالرَّسُولَ لَعَلَّكُمْ تُرْحَمُونَ﴾.</w:t>
      </w:r>
    </w:p>
  </w:footnote>
  <w:footnote w:id="165">
    <w:p w:rsidR="00F93F13" w:rsidRPr="00064619" w:rsidRDefault="00F93F13" w:rsidP="00064619">
      <w:pPr>
        <w:pStyle w:val="FootnoteText"/>
      </w:pPr>
      <w:r w:rsidRPr="00064619">
        <w:rPr>
          <w:rtl/>
        </w:rPr>
        <w:t>(</w:t>
      </w:r>
      <w:r w:rsidRPr="00064619">
        <w:rPr>
          <w:rtl/>
        </w:rPr>
        <w:footnoteRef/>
      </w:r>
      <w:r w:rsidRPr="00064619">
        <w:rPr>
          <w:rtl/>
        </w:rPr>
        <w:t>) الحشر: 7: ﴿وَمَا آتَاكُمْ الرَّسُولُ فَخُذُوهُ وَمَا نَهَاكُمْ عَنْهُ فَانْتَهُوا﴾.</w:t>
      </w:r>
    </w:p>
  </w:footnote>
  <w:footnote w:id="166">
    <w:p w:rsidR="00F93F13" w:rsidRPr="00064619" w:rsidRDefault="00F93F13" w:rsidP="00064619">
      <w:pPr>
        <w:pStyle w:val="FootnoteText"/>
      </w:pPr>
      <w:r w:rsidRPr="00064619">
        <w:rPr>
          <w:rtl/>
        </w:rPr>
        <w:t>(</w:t>
      </w:r>
      <w:r w:rsidRPr="00064619">
        <w:rPr>
          <w:rtl/>
        </w:rPr>
        <w:footnoteRef/>
      </w:r>
      <w:r w:rsidRPr="00064619">
        <w:rPr>
          <w:rtl/>
        </w:rPr>
        <w:t>) حديث الثقلين (جامع أحاديث الشيعة 1: 29): قال رسول الله</w:t>
      </w:r>
      <w:r w:rsidRPr="00064619">
        <w:rPr>
          <w:rtl/>
        </w:rPr>
        <w:sym w:font="Roumouz" w:char="F02D"/>
      </w:r>
      <w:r w:rsidRPr="00064619">
        <w:rPr>
          <w:rtl/>
        </w:rPr>
        <w:t>: «أيها الناس، إني تارك فيكم الثقلين: كتاب الله؛ وعترتي أهل بيتي، فتمسَّكوا بهما لن تضلّوا...».</w:t>
      </w:r>
    </w:p>
  </w:footnote>
  <w:footnote w:id="167">
    <w:p w:rsidR="00F93F13" w:rsidRPr="00064619" w:rsidRDefault="00F93F13" w:rsidP="00064619">
      <w:pPr>
        <w:pStyle w:val="FootnoteText"/>
      </w:pPr>
      <w:r w:rsidRPr="00064619">
        <w:rPr>
          <w:rtl/>
        </w:rPr>
        <w:t>(</w:t>
      </w:r>
      <w:r w:rsidRPr="00064619">
        <w:rPr>
          <w:rtl/>
        </w:rPr>
        <w:footnoteRef/>
      </w:r>
      <w:r w:rsidRPr="00064619">
        <w:rPr>
          <w:rtl/>
        </w:rPr>
        <w:t>) ولذلك فإن إكمال الدين يتمّ بولاية أهل البيت</w:t>
      </w:r>
      <w:r w:rsidRPr="00064619">
        <w:rPr>
          <w:rtl/>
        </w:rPr>
        <w:sym w:font="Abz Roumouz" w:char="F028"/>
      </w:r>
      <w:r w:rsidRPr="00064619">
        <w:rPr>
          <w:rtl/>
        </w:rPr>
        <w:t>، المائدة: 3: ﴿الْيَوْمَ أَكْمَلْتُ لَكُمْ دِينَكُمْ وَأَتْمَمْتُ عَلَيْكُمْ نِعْمَتِي﴾.</w:t>
      </w:r>
    </w:p>
  </w:footnote>
  <w:footnote w:id="168">
    <w:p w:rsidR="00F93F13" w:rsidRPr="00064619" w:rsidRDefault="00F93F13" w:rsidP="00064619">
      <w:pPr>
        <w:pStyle w:val="FootnoteText"/>
      </w:pPr>
      <w:r w:rsidRPr="00064619">
        <w:rPr>
          <w:rtl/>
        </w:rPr>
        <w:t>(</w:t>
      </w:r>
      <w:r w:rsidRPr="00064619">
        <w:rPr>
          <w:rtl/>
        </w:rPr>
        <w:footnoteRef/>
      </w:r>
      <w:r w:rsidRPr="00064619">
        <w:rPr>
          <w:rtl/>
        </w:rPr>
        <w:t>) راجع: أصول الكافي 1: 62 ـ 64، كتاب فضل العلم، باب اختلاف الحديث، الحديث 1.</w:t>
      </w:r>
    </w:p>
  </w:footnote>
  <w:footnote w:id="169">
    <w:p w:rsidR="00F93F13" w:rsidRPr="00064619" w:rsidRDefault="00F93F13" w:rsidP="00064619">
      <w:pPr>
        <w:pStyle w:val="FootnoteText"/>
      </w:pPr>
      <w:r w:rsidRPr="00064619">
        <w:rPr>
          <w:rtl/>
        </w:rPr>
        <w:t>(</w:t>
      </w:r>
      <w:r w:rsidRPr="00064619">
        <w:rPr>
          <w:rtl/>
        </w:rPr>
        <w:footnoteRef/>
      </w:r>
      <w:r w:rsidRPr="00064619">
        <w:rPr>
          <w:rtl/>
        </w:rPr>
        <w:t>) راجع: المعجم المفهرس لألفاظ أحاديث الكتب الأربعة 10: 7495 ـ 7533؛ المعجم المفهرس لألفاظ أحاديث وسائل الشيعة 7: 4583 ـ 4600؛ المعجم المفهرس لألفاظ أحاديث مستدرك الوسائل 5: 4131 ـ 4148؛ المعجم المفهرس لألفاظ أحاديث بحار الأنوار 29: 21966 ـ 22061، و30: 2263 ـ 2289.</w:t>
      </w:r>
    </w:p>
  </w:footnote>
  <w:footnote w:id="170">
    <w:p w:rsidR="00F93F13" w:rsidRPr="00064619" w:rsidRDefault="00F93F13" w:rsidP="00064619">
      <w:pPr>
        <w:pStyle w:val="FootnoteText"/>
      </w:pPr>
      <w:r w:rsidRPr="00064619">
        <w:rPr>
          <w:rtl/>
        </w:rPr>
        <w:t>(</w:t>
      </w:r>
      <w:r w:rsidRPr="00064619">
        <w:rPr>
          <w:rtl/>
        </w:rPr>
        <w:footnoteRef/>
      </w:r>
      <w:r w:rsidRPr="00064619">
        <w:rPr>
          <w:rtl/>
        </w:rPr>
        <w:t>) المائدة: 55: ﴿إِنَّمَا وَلِيُّكُمْ اللهُ وَرَسُولُهُ وَالَّذِينَ آمَنُوا الَّذِينَ يُقِيمُونَ الصَّلاَةَ وَيُؤْتُونَ الزَّكَاةَ وَهُمْ رَاكِعُونَ﴾.</w:t>
      </w:r>
    </w:p>
  </w:footnote>
  <w:footnote w:id="171">
    <w:p w:rsidR="00F93F13" w:rsidRPr="00064619" w:rsidRDefault="00F93F13" w:rsidP="00064619">
      <w:pPr>
        <w:pStyle w:val="FootnoteText"/>
      </w:pPr>
      <w:r w:rsidRPr="00064619">
        <w:rPr>
          <w:rtl/>
        </w:rPr>
        <w:t>(</w:t>
      </w:r>
      <w:r w:rsidRPr="00064619">
        <w:rPr>
          <w:rtl/>
        </w:rPr>
        <w:footnoteRef/>
      </w:r>
      <w:r w:rsidRPr="00064619">
        <w:rPr>
          <w:rtl/>
        </w:rPr>
        <w:t>) بحار الأنوار 86: 9، كتاب الصلاة، باب 38، الحديث 8، من كتاب فلاح السائل، و86: 39، باب 60، الحديث 48، من كتاب إقبال الأعمال.</w:t>
      </w:r>
    </w:p>
  </w:footnote>
  <w:footnote w:id="172">
    <w:p w:rsidR="00F93F13" w:rsidRPr="00064619" w:rsidRDefault="00F93F13" w:rsidP="00064619">
      <w:pPr>
        <w:pStyle w:val="FootnoteText"/>
      </w:pPr>
      <w:r w:rsidRPr="00064619">
        <w:rPr>
          <w:rtl/>
        </w:rPr>
        <w:t>(</w:t>
      </w:r>
      <w:r w:rsidRPr="00064619">
        <w:rPr>
          <w:rtl/>
        </w:rPr>
        <w:footnoteRef/>
      </w:r>
      <w:r w:rsidRPr="00064619">
        <w:rPr>
          <w:rtl/>
        </w:rPr>
        <w:t>) بحار الأنوار 49: 131، باب 13، الحديث 7، كتاب تاريخ الإمام أبي الحسن الرضا×.</w:t>
      </w:r>
    </w:p>
  </w:footnote>
  <w:footnote w:id="173">
    <w:p w:rsidR="00F93F13" w:rsidRPr="00064619" w:rsidRDefault="00F93F13" w:rsidP="00064619">
      <w:pPr>
        <w:pStyle w:val="FootnoteText"/>
      </w:pPr>
      <w:r w:rsidRPr="00064619">
        <w:rPr>
          <w:rtl/>
        </w:rPr>
        <w:t>(</w:t>
      </w:r>
      <w:r w:rsidRPr="00064619">
        <w:rPr>
          <w:rtl/>
        </w:rPr>
        <w:footnoteRef/>
      </w:r>
      <w:r w:rsidRPr="00064619">
        <w:rPr>
          <w:rtl/>
        </w:rPr>
        <w:t>) بحار الأنوار 25: 231، باب 7، الحديث 20، كتاب الإمامة.</w:t>
      </w:r>
    </w:p>
  </w:footnote>
  <w:footnote w:id="174">
    <w:p w:rsidR="00F93F13" w:rsidRPr="00064619" w:rsidRDefault="00F93F13" w:rsidP="00064619">
      <w:pPr>
        <w:pStyle w:val="FootnoteText"/>
      </w:pPr>
      <w:r w:rsidRPr="00064619">
        <w:rPr>
          <w:rtl/>
        </w:rPr>
        <w:t>(</w:t>
      </w:r>
      <w:r w:rsidRPr="00064619">
        <w:rPr>
          <w:rtl/>
        </w:rPr>
        <w:footnoteRef/>
      </w:r>
      <w:r w:rsidRPr="00064619">
        <w:rPr>
          <w:rtl/>
        </w:rPr>
        <w:t>) بحار الأنوار 25: 231، باب 7، الحديث 2، كتاب الإمامة؛ الكافي 1: 375، كتاب الحجة، باب 86، الحديث 3؛ و1: 246، باب الحجّ، الحديث 1.</w:t>
      </w:r>
    </w:p>
  </w:footnote>
  <w:footnote w:id="175">
    <w:p w:rsidR="00F93F13" w:rsidRPr="00064619" w:rsidRDefault="00F93F13" w:rsidP="00064619">
      <w:pPr>
        <w:pStyle w:val="FootnoteText"/>
      </w:pPr>
      <w:r w:rsidRPr="00064619">
        <w:rPr>
          <w:rtl/>
        </w:rPr>
        <w:t>(</w:t>
      </w:r>
      <w:r w:rsidRPr="00064619">
        <w:rPr>
          <w:rtl/>
        </w:rPr>
        <w:footnoteRef/>
      </w:r>
      <w:r w:rsidRPr="00064619">
        <w:rPr>
          <w:rtl/>
        </w:rPr>
        <w:t>) بحار الأنوار، كتاب الإمامة، باب 7، حديث 20، ج 25، ص 231.</w:t>
      </w:r>
    </w:p>
  </w:footnote>
  <w:footnote w:id="176">
    <w:p w:rsidR="00F93F13" w:rsidRPr="00064619" w:rsidRDefault="00F93F13" w:rsidP="00064619">
      <w:pPr>
        <w:pStyle w:val="FootnoteText"/>
      </w:pPr>
      <w:r w:rsidRPr="00064619">
        <w:rPr>
          <w:rtl/>
        </w:rPr>
        <w:t>(</w:t>
      </w:r>
      <w:r w:rsidRPr="00064619">
        <w:rPr>
          <w:rtl/>
        </w:rPr>
        <w:footnoteRef/>
      </w:r>
      <w:r w:rsidRPr="00064619">
        <w:rPr>
          <w:rtl/>
        </w:rPr>
        <w:t>) مطهري، إمامت ورهبري: 71.</w:t>
      </w:r>
    </w:p>
  </w:footnote>
  <w:footnote w:id="177">
    <w:p w:rsidR="00F93F13" w:rsidRPr="00064619" w:rsidRDefault="00F93F13" w:rsidP="00064619">
      <w:pPr>
        <w:pStyle w:val="FootnoteText"/>
      </w:pPr>
      <w:r w:rsidRPr="00064619">
        <w:rPr>
          <w:rtl/>
        </w:rPr>
        <w:t>(</w:t>
      </w:r>
      <w:r w:rsidRPr="00064619">
        <w:rPr>
          <w:rtl/>
        </w:rPr>
        <w:footnoteRef/>
      </w:r>
      <w:r w:rsidRPr="00064619">
        <w:rPr>
          <w:rtl/>
        </w:rPr>
        <w:t>) للاطلاع على سند ودلالة حديث الغدير راجع: كتاب الغدير للأميني؛ وعبقات الأنوار لمير حامد حسين.</w:t>
      </w:r>
    </w:p>
  </w:footnote>
  <w:footnote w:id="178">
    <w:p w:rsidR="00F93F13" w:rsidRPr="00064619" w:rsidRDefault="00F93F13" w:rsidP="00064619">
      <w:pPr>
        <w:pStyle w:val="FootnoteText"/>
      </w:pPr>
      <w:r w:rsidRPr="00064619">
        <w:rPr>
          <w:rtl/>
        </w:rPr>
        <w:t>(</w:t>
      </w:r>
      <w:r w:rsidRPr="00064619">
        <w:rPr>
          <w:rtl/>
        </w:rPr>
        <w:footnoteRef/>
      </w:r>
      <w:r w:rsidRPr="00064619">
        <w:rPr>
          <w:rtl/>
        </w:rPr>
        <w:t>) أصول الكافي 1: 295، كتاب الحجّة، باب الإشارة والنص على أمير المؤمنين×، الحديث 3.</w:t>
      </w:r>
    </w:p>
  </w:footnote>
  <w:footnote w:id="179">
    <w:p w:rsidR="00F93F13" w:rsidRPr="00064619" w:rsidRDefault="00F93F13" w:rsidP="00064619">
      <w:pPr>
        <w:pStyle w:val="FootnoteText"/>
      </w:pPr>
      <w:r w:rsidRPr="00064619">
        <w:rPr>
          <w:rtl/>
        </w:rPr>
        <w:t>(</w:t>
      </w:r>
      <w:r w:rsidRPr="00064619">
        <w:rPr>
          <w:rtl/>
        </w:rPr>
        <w:footnoteRef/>
      </w:r>
      <w:r w:rsidRPr="00064619">
        <w:rPr>
          <w:rtl/>
        </w:rPr>
        <w:t>) نهج البلاغة (طبعة صبحي صالح): 336، الخطبة 217.</w:t>
      </w:r>
    </w:p>
  </w:footnote>
  <w:footnote w:id="180">
    <w:p w:rsidR="00F93F13" w:rsidRPr="00064619" w:rsidRDefault="00F93F13" w:rsidP="00064619">
      <w:pPr>
        <w:pStyle w:val="FootnoteText"/>
      </w:pPr>
      <w:r w:rsidRPr="00064619">
        <w:rPr>
          <w:rtl/>
        </w:rPr>
        <w:t>(</w:t>
      </w:r>
      <w:r w:rsidRPr="00064619">
        <w:rPr>
          <w:rtl/>
        </w:rPr>
        <w:footnoteRef/>
      </w:r>
      <w:r w:rsidRPr="00064619">
        <w:rPr>
          <w:rtl/>
        </w:rPr>
        <w:t>) أصول الكافي 1: 18، كتاب الإيمان والكفر، باب دعائم الإسلام، الحديثان 1 و3.</w:t>
      </w:r>
    </w:p>
  </w:footnote>
  <w:footnote w:id="181">
    <w:p w:rsidR="00F93F13" w:rsidRPr="00064619" w:rsidRDefault="00F93F13" w:rsidP="00064619">
      <w:pPr>
        <w:pStyle w:val="FootnoteText"/>
      </w:pPr>
      <w:r w:rsidRPr="00064619">
        <w:rPr>
          <w:rtl/>
        </w:rPr>
        <w:t>(</w:t>
      </w:r>
      <w:r w:rsidRPr="00064619">
        <w:rPr>
          <w:rtl/>
        </w:rPr>
        <w:footnoteRef/>
      </w:r>
      <w:r w:rsidRPr="00064619">
        <w:rPr>
          <w:rtl/>
        </w:rPr>
        <w:t>) المصدر نفسه 1: 18 ـ 19، الحديث 4. وحول معنى الولاية في روايات دعائم الإسلام راجع: الملا محمد باقر المجلسي، مرآة العقول 7: 100 ـ 120؛ الملا صالح المازندراني، شرح الكافي 8: 57 ـ 59.</w:t>
      </w:r>
    </w:p>
  </w:footnote>
  <w:footnote w:id="182">
    <w:p w:rsidR="00F93F13" w:rsidRPr="00064619" w:rsidRDefault="00F93F13" w:rsidP="00635BE2">
      <w:pPr>
        <w:pStyle w:val="FootnoteText"/>
        <w:spacing w:line="197" w:lineRule="auto"/>
      </w:pPr>
      <w:r w:rsidRPr="00064619">
        <w:rPr>
          <w:rtl/>
        </w:rPr>
        <w:t>(</w:t>
      </w:r>
      <w:r w:rsidRPr="00064619">
        <w:rPr>
          <w:rtl/>
        </w:rPr>
        <w:footnoteRef/>
      </w:r>
      <w:r w:rsidRPr="00064619">
        <w:rPr>
          <w:rtl/>
        </w:rPr>
        <w:t>) أصول الكافي 1: 19 ـ 20، الحديث 6: «والولاية التي أمر الله</w:t>
      </w:r>
      <w:r w:rsidRPr="00064619">
        <w:sym w:font="Roumouz1" w:char="F071"/>
      </w:r>
      <w:r w:rsidRPr="00064619">
        <w:rPr>
          <w:rtl/>
        </w:rPr>
        <w:t xml:space="preserve"> بها ولاية آل محمد</w:t>
      </w:r>
      <w:r w:rsidRPr="00064619">
        <w:sym w:font="Roumouz" w:char="F02D"/>
      </w:r>
      <w:r w:rsidRPr="00064619">
        <w:rPr>
          <w:rtl/>
        </w:rPr>
        <w:t>».</w:t>
      </w:r>
    </w:p>
  </w:footnote>
  <w:footnote w:id="183">
    <w:p w:rsidR="00F93F13" w:rsidRPr="00064619" w:rsidRDefault="00F93F13" w:rsidP="00635BE2">
      <w:pPr>
        <w:pStyle w:val="FootnoteText"/>
        <w:spacing w:line="197" w:lineRule="auto"/>
      </w:pPr>
      <w:r w:rsidRPr="00064619">
        <w:rPr>
          <w:rtl/>
        </w:rPr>
        <w:t>(</w:t>
      </w:r>
      <w:r w:rsidRPr="00064619">
        <w:rPr>
          <w:rtl/>
        </w:rPr>
        <w:footnoteRef/>
      </w:r>
      <w:r w:rsidRPr="00064619">
        <w:rPr>
          <w:rtl/>
        </w:rPr>
        <w:t>) المصدر نفسه 1: 21، الحديث 8: «ولم ينادَ بشيء ما نودي بالولاية يوم الغدير».</w:t>
      </w:r>
    </w:p>
  </w:footnote>
  <w:footnote w:id="184">
    <w:p w:rsidR="00F93F13" w:rsidRPr="00064619" w:rsidRDefault="00F93F13" w:rsidP="00635BE2">
      <w:pPr>
        <w:pStyle w:val="FootnoteText"/>
        <w:spacing w:line="197" w:lineRule="auto"/>
      </w:pPr>
      <w:r w:rsidRPr="00064619">
        <w:rPr>
          <w:rtl/>
        </w:rPr>
        <w:t>(</w:t>
      </w:r>
      <w:r w:rsidRPr="00064619">
        <w:rPr>
          <w:rtl/>
        </w:rPr>
        <w:footnoteRef/>
      </w:r>
      <w:r w:rsidRPr="00064619">
        <w:rPr>
          <w:rtl/>
        </w:rPr>
        <w:t>) من لا يحضره الفقيه 2: 616، كتاب الحج، الزيارة الجامعة.</w:t>
      </w:r>
    </w:p>
  </w:footnote>
  <w:footnote w:id="185">
    <w:p w:rsidR="00F93F13" w:rsidRPr="00064619" w:rsidRDefault="00F93F13" w:rsidP="00635BE2">
      <w:pPr>
        <w:pStyle w:val="FootnoteText"/>
        <w:spacing w:line="197" w:lineRule="auto"/>
      </w:pPr>
      <w:r w:rsidRPr="00064619">
        <w:rPr>
          <w:rtl/>
        </w:rPr>
        <w:t>(</w:t>
      </w:r>
      <w:r w:rsidRPr="00064619">
        <w:rPr>
          <w:rtl/>
        </w:rPr>
        <w:footnoteRef/>
      </w:r>
      <w:r w:rsidRPr="00064619">
        <w:rPr>
          <w:rtl/>
        </w:rPr>
        <w:t>) المائدة: 3.</w:t>
      </w:r>
    </w:p>
  </w:footnote>
  <w:footnote w:id="186">
    <w:p w:rsidR="00F93F13" w:rsidRPr="00064619" w:rsidRDefault="00F93F13" w:rsidP="00635BE2">
      <w:pPr>
        <w:pStyle w:val="FootnoteText"/>
        <w:spacing w:line="197" w:lineRule="auto"/>
      </w:pPr>
      <w:r w:rsidRPr="00064619">
        <w:rPr>
          <w:rtl/>
        </w:rPr>
        <w:t>(</w:t>
      </w:r>
      <w:r w:rsidRPr="00064619">
        <w:rPr>
          <w:rtl/>
        </w:rPr>
        <w:footnoteRef/>
      </w:r>
      <w:r w:rsidRPr="00064619">
        <w:rPr>
          <w:rtl/>
        </w:rPr>
        <w:t>) الروضة من الكافي 8: 13، رسالة أبي عبد الله× إلى جماعة الشيعة.</w:t>
      </w:r>
    </w:p>
  </w:footnote>
  <w:footnote w:id="187">
    <w:p w:rsidR="00F93F13" w:rsidRPr="00064619" w:rsidRDefault="00F93F13" w:rsidP="00635BE2">
      <w:pPr>
        <w:pStyle w:val="FootnoteText"/>
        <w:spacing w:line="197" w:lineRule="auto"/>
      </w:pPr>
      <w:r w:rsidRPr="00064619">
        <w:rPr>
          <w:rtl/>
        </w:rPr>
        <w:t>(</w:t>
      </w:r>
      <w:r w:rsidRPr="00064619">
        <w:rPr>
          <w:rtl/>
        </w:rPr>
        <w:footnoteRef/>
      </w:r>
      <w:r w:rsidRPr="00064619">
        <w:rPr>
          <w:rtl/>
        </w:rPr>
        <w:t>) أصول الكافي 1: 375، كتاب الحجة، باب في من دان الله</w:t>
      </w:r>
      <w:r w:rsidRPr="00064619">
        <w:sym w:font="Roumouz1" w:char="F071"/>
      </w:r>
      <w:r w:rsidRPr="00064619">
        <w:rPr>
          <w:rtl/>
        </w:rPr>
        <w:t xml:space="preserve"> بغير إمام من الله جلَّ جلاله، الحديث 3.</w:t>
      </w:r>
    </w:p>
  </w:footnote>
  <w:footnote w:id="188">
    <w:p w:rsidR="00F93F13" w:rsidRPr="00064619" w:rsidRDefault="00F93F13" w:rsidP="00064619">
      <w:pPr>
        <w:pStyle w:val="FootnoteText"/>
      </w:pPr>
      <w:r w:rsidRPr="00064619">
        <w:rPr>
          <w:rtl/>
        </w:rPr>
        <w:t>(</w:t>
      </w:r>
      <w:r w:rsidRPr="00064619">
        <w:rPr>
          <w:rtl/>
        </w:rPr>
        <w:footnoteRef/>
      </w:r>
      <w:r w:rsidRPr="00064619">
        <w:rPr>
          <w:rtl/>
        </w:rPr>
        <w:t>) وسائل الشيعة 30: كتاب القصاص.</w:t>
      </w:r>
    </w:p>
  </w:footnote>
  <w:footnote w:id="189">
    <w:p w:rsidR="00F93F13" w:rsidRPr="00064619" w:rsidRDefault="00F93F13" w:rsidP="00064619">
      <w:pPr>
        <w:pStyle w:val="FootnoteText"/>
      </w:pPr>
      <w:r w:rsidRPr="00064619">
        <w:rPr>
          <w:rtl/>
        </w:rPr>
        <w:t>(</w:t>
      </w:r>
      <w:r w:rsidRPr="00064619">
        <w:rPr>
          <w:rtl/>
        </w:rPr>
        <w:footnoteRef/>
      </w:r>
      <w:r w:rsidRPr="00064619">
        <w:rPr>
          <w:rtl/>
        </w:rPr>
        <w:t>) وسائل الشيعة 30: كتاب القصاص، الوصايا، باب 92، الحديثان 1 و2؛ كتاب الزكاة، الباب 8 من أبواب من تجب عليه الزكاة، الحديث 6.</w:t>
      </w:r>
    </w:p>
  </w:footnote>
  <w:footnote w:id="190">
    <w:p w:rsidR="00F93F13" w:rsidRPr="00064619" w:rsidRDefault="00F93F13" w:rsidP="00064619">
      <w:pPr>
        <w:pStyle w:val="FootnoteText"/>
      </w:pPr>
      <w:r w:rsidRPr="00064619">
        <w:rPr>
          <w:rtl/>
        </w:rPr>
        <w:t>(</w:t>
      </w:r>
      <w:r w:rsidRPr="00064619">
        <w:rPr>
          <w:rtl/>
        </w:rPr>
        <w:footnoteRef/>
      </w:r>
      <w:r w:rsidRPr="00064619">
        <w:rPr>
          <w:rtl/>
        </w:rPr>
        <w:t>) وسائل الشيعة 30: كتاب القصاص؛ أبواب عقد النكاح وأولياء العقد، باب 6.</w:t>
      </w:r>
    </w:p>
  </w:footnote>
  <w:footnote w:id="191">
    <w:p w:rsidR="00F93F13" w:rsidRPr="00064619" w:rsidRDefault="00F93F13" w:rsidP="00064619">
      <w:pPr>
        <w:pStyle w:val="FootnoteText"/>
      </w:pPr>
      <w:r w:rsidRPr="00064619">
        <w:rPr>
          <w:rtl/>
        </w:rPr>
        <w:t>(</w:t>
      </w:r>
      <w:r w:rsidRPr="00064619">
        <w:rPr>
          <w:rtl/>
        </w:rPr>
        <w:footnoteRef/>
      </w:r>
      <w:r w:rsidRPr="00064619">
        <w:rPr>
          <w:rtl/>
        </w:rPr>
        <w:t>) وسائل الشيعة 30: كتاب القصاص؛ 3: 114، كتاب الطهارة؛ أبواب صلاة الجنازة، باب 23.</w:t>
      </w:r>
    </w:p>
  </w:footnote>
  <w:footnote w:id="192">
    <w:p w:rsidR="00F93F13" w:rsidRPr="00064619" w:rsidRDefault="00F93F13" w:rsidP="00064619">
      <w:pPr>
        <w:pStyle w:val="FootnoteText"/>
      </w:pPr>
      <w:r w:rsidRPr="00064619">
        <w:rPr>
          <w:rtl/>
        </w:rPr>
        <w:t>(</w:t>
      </w:r>
      <w:r w:rsidRPr="00064619">
        <w:rPr>
          <w:rtl/>
        </w:rPr>
        <w:footnoteRef/>
      </w:r>
      <w:r w:rsidRPr="00064619">
        <w:rPr>
          <w:rtl/>
        </w:rPr>
        <w:t>) وسائل الشيعة، كتاب القصاص؛ كتاب الصلاة، باب 12 من أبواب قضاء الصلوات؛ كتاب الصوم، باب 23 من أبواب أحكام شهر رمضان.</w:t>
      </w:r>
    </w:p>
  </w:footnote>
  <w:footnote w:id="193">
    <w:p w:rsidR="00F93F13" w:rsidRPr="00064619" w:rsidRDefault="00F93F13" w:rsidP="00064619">
      <w:pPr>
        <w:pStyle w:val="FootnoteText"/>
      </w:pPr>
      <w:r w:rsidRPr="00064619">
        <w:rPr>
          <w:rtl/>
        </w:rPr>
        <w:t>(</w:t>
      </w:r>
      <w:r w:rsidRPr="00064619">
        <w:rPr>
          <w:rtl/>
        </w:rPr>
        <w:footnoteRef/>
      </w:r>
      <w:r w:rsidRPr="00064619">
        <w:rPr>
          <w:rtl/>
        </w:rPr>
        <w:t>) وسائل الشيعة، كتاب القصاص؛ 26: 63، كتاب الإرث، أبواب موجبات الإرث، باب 1.</w:t>
      </w:r>
    </w:p>
  </w:footnote>
  <w:footnote w:id="194">
    <w:p w:rsidR="00F93F13" w:rsidRPr="00064619" w:rsidRDefault="00F93F13" w:rsidP="00064619">
      <w:pPr>
        <w:pStyle w:val="FootnoteText"/>
      </w:pPr>
      <w:r w:rsidRPr="00064619">
        <w:rPr>
          <w:rtl/>
        </w:rPr>
        <w:t>(</w:t>
      </w:r>
      <w:r w:rsidRPr="00064619">
        <w:rPr>
          <w:rtl/>
        </w:rPr>
        <w:footnoteRef/>
      </w:r>
      <w:r w:rsidRPr="00064619">
        <w:rPr>
          <w:rtl/>
        </w:rPr>
        <w:t>) وسائل الشيعة، كتاب القصاص؛ 19: 366 ـ 371، كتاب الوصايا، باب 45 ـ 47.</w:t>
      </w:r>
    </w:p>
  </w:footnote>
  <w:footnote w:id="195">
    <w:p w:rsidR="00F93F13" w:rsidRPr="00064619" w:rsidRDefault="00F93F13" w:rsidP="00064619">
      <w:pPr>
        <w:pStyle w:val="FootnoteText"/>
      </w:pPr>
      <w:r w:rsidRPr="00064619">
        <w:rPr>
          <w:rtl/>
        </w:rPr>
        <w:t>(</w:t>
      </w:r>
      <w:r w:rsidRPr="00064619">
        <w:rPr>
          <w:rtl/>
        </w:rPr>
        <w:footnoteRef/>
      </w:r>
      <w:r w:rsidRPr="00064619">
        <w:rPr>
          <w:rtl/>
        </w:rPr>
        <w:t>) وسائل الشيعة، كتاب القصاص؛ 19: كتاب الوقوف والصدقات، باب 2.</w:t>
      </w:r>
    </w:p>
  </w:footnote>
  <w:footnote w:id="196">
    <w:p w:rsidR="00F93F13" w:rsidRPr="00064619" w:rsidRDefault="00F93F13" w:rsidP="00064619">
      <w:pPr>
        <w:pStyle w:val="FootnoteText"/>
      </w:pPr>
      <w:r w:rsidRPr="00064619">
        <w:rPr>
          <w:rtl/>
        </w:rPr>
        <w:t>(</w:t>
      </w:r>
      <w:r w:rsidRPr="00064619">
        <w:rPr>
          <w:rtl/>
        </w:rPr>
        <w:footnoteRef/>
      </w:r>
      <w:r w:rsidRPr="00064619">
        <w:rPr>
          <w:rtl/>
        </w:rPr>
        <w:t>) وسائل الشيعة، كتاب القصاص؛ 26: 232، 242، كتاب الإرث، أبواب ميراث ولاء العتق.</w:t>
      </w:r>
    </w:p>
  </w:footnote>
  <w:footnote w:id="197">
    <w:p w:rsidR="00F93F13" w:rsidRPr="00064619" w:rsidRDefault="00F93F13" w:rsidP="00064619">
      <w:pPr>
        <w:pStyle w:val="FootnoteText"/>
      </w:pPr>
      <w:r w:rsidRPr="00064619">
        <w:rPr>
          <w:rtl/>
        </w:rPr>
        <w:t>(</w:t>
      </w:r>
      <w:r w:rsidRPr="00064619">
        <w:rPr>
          <w:rtl/>
        </w:rPr>
        <w:footnoteRef/>
      </w:r>
      <w:r w:rsidRPr="00064619">
        <w:rPr>
          <w:rtl/>
        </w:rPr>
        <w:t xml:space="preserve">) وسائل الشيعة، كتاب القصاص؛ 26: 243 ـ 251، كتاب الإرث، أبواب ولاء ضمان الجريرة والإمامة. </w:t>
      </w:r>
    </w:p>
  </w:footnote>
  <w:footnote w:id="198">
    <w:p w:rsidR="00F93F13" w:rsidRPr="00064619" w:rsidRDefault="00F93F13" w:rsidP="00064619">
      <w:pPr>
        <w:pStyle w:val="FootnoteText"/>
      </w:pPr>
      <w:r w:rsidRPr="00064619">
        <w:rPr>
          <w:rtl/>
        </w:rPr>
        <w:t>(</w:t>
      </w:r>
      <w:r w:rsidRPr="00064619">
        <w:rPr>
          <w:rtl/>
        </w:rPr>
        <w:footnoteRef/>
      </w:r>
      <w:r w:rsidRPr="00064619">
        <w:rPr>
          <w:rtl/>
        </w:rPr>
        <w:t>) راجع: النراقي، عوائد الأيام: 553 ـ 580، العائدة 54 في بيان ولاية الحاكم وما له فيه الولاية. وقد جمع النراقي روايات مختلفة تدل على ولاية الحاكم في الأمور المذكورة.</w:t>
      </w:r>
    </w:p>
  </w:footnote>
  <w:footnote w:id="199">
    <w:p w:rsidR="00F93F13" w:rsidRPr="00064619" w:rsidRDefault="00F93F13" w:rsidP="00064619">
      <w:pPr>
        <w:pStyle w:val="FootnoteText"/>
      </w:pPr>
      <w:r w:rsidRPr="00064619">
        <w:rPr>
          <w:rtl/>
        </w:rPr>
        <w:t>(</w:t>
      </w:r>
      <w:r w:rsidRPr="00064619">
        <w:rPr>
          <w:rtl/>
        </w:rPr>
        <w:footnoteRef/>
      </w:r>
      <w:r w:rsidRPr="00064619">
        <w:rPr>
          <w:rtl/>
        </w:rPr>
        <w:t>) بحار الأنوار، كتاب العلم، باب 1، حديث 29، من كنز الكراجكي؛ سنن البيهقي 7: 105.</w:t>
      </w:r>
    </w:p>
  </w:footnote>
  <w:footnote w:id="200">
    <w:p w:rsidR="00F93F13" w:rsidRPr="00064619" w:rsidRDefault="00F93F13" w:rsidP="00064619">
      <w:pPr>
        <w:pStyle w:val="FootnoteText"/>
      </w:pPr>
      <w:r w:rsidRPr="00064619">
        <w:rPr>
          <w:rtl/>
        </w:rPr>
        <w:t>(</w:t>
      </w:r>
      <w:r w:rsidRPr="00064619">
        <w:rPr>
          <w:rtl/>
        </w:rPr>
        <w:footnoteRef/>
      </w:r>
      <w:r w:rsidRPr="00064619">
        <w:rPr>
          <w:rtl/>
        </w:rPr>
        <w:t>) الشيخ المنتظري، دراسات في ولاية الفقيه وفقه الدولة الإسلامية 1: 89 ـ 145. ولا بأس بالرجوع إلى كتاب الحكومة الإسلامية في أحاديث الشيعة الإمامية، لمجموعة من المؤلِّفين.</w:t>
      </w:r>
    </w:p>
  </w:footnote>
  <w:footnote w:id="201">
    <w:p w:rsidR="00F93F13" w:rsidRPr="00064619" w:rsidRDefault="00F93F13" w:rsidP="00064619">
      <w:pPr>
        <w:pStyle w:val="FootnoteText"/>
      </w:pPr>
      <w:r w:rsidRPr="00064619">
        <w:rPr>
          <w:rtl/>
        </w:rPr>
        <w:t>(</w:t>
      </w:r>
      <w:r w:rsidRPr="00064619">
        <w:rPr>
          <w:rtl/>
        </w:rPr>
        <w:footnoteRef/>
      </w:r>
      <w:r w:rsidRPr="00064619">
        <w:rPr>
          <w:rtl/>
        </w:rPr>
        <w:t>) للتوسع في موضوع رأي الفقهاء في مسألة الجهاد الابتدائي راجع: محمد مؤمن القمي، مقالة «ولاية الول</w:t>
      </w:r>
      <w:r>
        <w:rPr>
          <w:rtl/>
        </w:rPr>
        <w:t xml:space="preserve">يّ المعصوم×»، والسيد حسن طاهري </w:t>
      </w:r>
      <w:r>
        <w:rPr>
          <w:rFonts w:hint="cs"/>
          <w:rtl/>
        </w:rPr>
        <w:t>خ</w:t>
      </w:r>
      <w:r w:rsidRPr="00064619">
        <w:rPr>
          <w:rtl/>
        </w:rPr>
        <w:t>رم آبادي، مقالة «ولاية الفقيه على الجهاد والدفاع»، المنشورتين في كتاب «مجموعة آثار المؤتمر العالمي الثاني للإمام الرضا×». ورأي السيد الخميني في تحرير الوسيلة هو عدم جواز الجهاد الابتدائي (تحرير الوسيلة 1: 482، كتاب الأمر بالمعروف والنهي عن المنكر، المسألة 2 من الخاتمة).</w:t>
      </w:r>
    </w:p>
  </w:footnote>
  <w:footnote w:id="202">
    <w:p w:rsidR="00F93F13" w:rsidRPr="00064619" w:rsidRDefault="00F93F13" w:rsidP="00064619">
      <w:pPr>
        <w:pStyle w:val="FootnoteText"/>
      </w:pPr>
      <w:r w:rsidRPr="00064619">
        <w:rPr>
          <w:rtl/>
        </w:rPr>
        <w:t>(</w:t>
      </w:r>
      <w:r w:rsidRPr="00064619">
        <w:rPr>
          <w:rtl/>
        </w:rPr>
        <w:footnoteRef/>
      </w:r>
      <w:r w:rsidRPr="00064619">
        <w:rPr>
          <w:rtl/>
        </w:rPr>
        <w:t>) من جملة القائلين بعدم الجواز في بعض الموارد المحقِّق الحلّي في الشرائع، والسيد المرتضى، والسيد ابن زهرة، وابن إدريس.</w:t>
      </w:r>
    </w:p>
  </w:footnote>
  <w:footnote w:id="203">
    <w:p w:rsidR="00F93F13" w:rsidRPr="00064619" w:rsidRDefault="00F93F13" w:rsidP="00064619">
      <w:pPr>
        <w:pStyle w:val="FootnoteText"/>
      </w:pPr>
      <w:r w:rsidRPr="00064619">
        <w:rPr>
          <w:rtl/>
        </w:rPr>
        <w:t>(</w:t>
      </w:r>
      <w:r w:rsidRPr="00064619">
        <w:rPr>
          <w:rtl/>
        </w:rPr>
        <w:footnoteRef/>
      </w:r>
      <w:r w:rsidRPr="00064619">
        <w:rPr>
          <w:rtl/>
        </w:rPr>
        <w:t>) أصول الكافي 1: 67، كتاب فضل العلم، باب اختلاف الحديث، الحديث 10. الكافي 7: 412، كتاب القضاء، باب كراهية الارتفاع إلى قضاة الجور، الحديث 5،. تهذيب الأحكام 6: 218، 301، الحديثان 514، 845؛ وسائل الشيعة، باب 11 من أبواب صفات القاضي، الحديث 1.</w:t>
      </w:r>
    </w:p>
  </w:footnote>
  <w:footnote w:id="204">
    <w:p w:rsidR="00F93F13" w:rsidRPr="00064619" w:rsidRDefault="00F93F13" w:rsidP="00064619">
      <w:pPr>
        <w:pStyle w:val="FootnoteText"/>
      </w:pPr>
      <w:r w:rsidRPr="00064619">
        <w:rPr>
          <w:rtl/>
        </w:rPr>
        <w:t>(</w:t>
      </w:r>
      <w:r w:rsidRPr="00064619">
        <w:rPr>
          <w:rtl/>
        </w:rPr>
        <w:footnoteRef/>
      </w:r>
      <w:r w:rsidRPr="00064619">
        <w:rPr>
          <w:rtl/>
        </w:rPr>
        <w:t>) تهذيب الأحكام 6: 303، كتاب القضاء، باب من الزيادات في القضايا والأحكام، الحديث 53؛ 6: 219، الحديث 516؛ وسائل الشيعة، باب 11 من أبواب صفات القاضي، الحديث 6.</w:t>
      </w:r>
    </w:p>
  </w:footnote>
  <w:footnote w:id="205">
    <w:p w:rsidR="00F93F13" w:rsidRPr="00064619" w:rsidRDefault="00F93F13" w:rsidP="00064619">
      <w:pPr>
        <w:pStyle w:val="FootnoteText"/>
      </w:pPr>
      <w:r w:rsidRPr="00064619">
        <w:rPr>
          <w:rtl/>
        </w:rPr>
        <w:t>(</w:t>
      </w:r>
      <w:r w:rsidRPr="00064619">
        <w:rPr>
          <w:rtl/>
        </w:rPr>
        <w:footnoteRef/>
      </w:r>
      <w:r w:rsidRPr="00064619">
        <w:rPr>
          <w:rtl/>
        </w:rPr>
        <w:t>) نهج البلاغة: 441، الرسالة 53.</w:t>
      </w:r>
    </w:p>
  </w:footnote>
  <w:footnote w:id="206">
    <w:p w:rsidR="00F93F13" w:rsidRPr="00064619" w:rsidRDefault="00F93F13" w:rsidP="00064619">
      <w:pPr>
        <w:pStyle w:val="FootnoteText"/>
      </w:pPr>
      <w:r w:rsidRPr="00064619">
        <w:rPr>
          <w:rtl/>
        </w:rPr>
        <w:t>(</w:t>
      </w:r>
      <w:r w:rsidRPr="00064619">
        <w:rPr>
          <w:rtl/>
        </w:rPr>
        <w:footnoteRef/>
      </w:r>
      <w:r w:rsidRPr="00064619">
        <w:rPr>
          <w:rtl/>
        </w:rPr>
        <w:t>) المصدر نفسه: 427.</w:t>
      </w:r>
    </w:p>
  </w:footnote>
  <w:footnote w:id="207">
    <w:p w:rsidR="00F93F13" w:rsidRPr="00064619" w:rsidRDefault="00F93F13" w:rsidP="00064619">
      <w:pPr>
        <w:pStyle w:val="FootnoteText"/>
      </w:pPr>
      <w:r w:rsidRPr="00064619">
        <w:rPr>
          <w:rtl/>
        </w:rPr>
        <w:t>(</w:t>
      </w:r>
      <w:r w:rsidRPr="00064619">
        <w:rPr>
          <w:rtl/>
        </w:rPr>
        <w:footnoteRef/>
      </w:r>
      <w:r w:rsidRPr="00064619">
        <w:rPr>
          <w:rtl/>
        </w:rPr>
        <w:t>) المصدر نفسه: 441.</w:t>
      </w:r>
    </w:p>
  </w:footnote>
  <w:footnote w:id="208">
    <w:p w:rsidR="00F93F13" w:rsidRPr="00064619" w:rsidRDefault="00F93F13" w:rsidP="00064619">
      <w:pPr>
        <w:pStyle w:val="FootnoteText"/>
      </w:pPr>
      <w:r w:rsidRPr="00064619">
        <w:rPr>
          <w:rtl/>
        </w:rPr>
        <w:t>(</w:t>
      </w:r>
      <w:r w:rsidRPr="00064619">
        <w:rPr>
          <w:rtl/>
        </w:rPr>
        <w:footnoteRef/>
      </w:r>
      <w:r w:rsidRPr="00064619">
        <w:rPr>
          <w:rtl/>
        </w:rPr>
        <w:t>) المصدر نفسه: 432.</w:t>
      </w:r>
    </w:p>
  </w:footnote>
  <w:footnote w:id="209">
    <w:p w:rsidR="00F93F13" w:rsidRPr="00064619" w:rsidRDefault="00F93F13" w:rsidP="00064619">
      <w:pPr>
        <w:pStyle w:val="FootnoteText"/>
      </w:pPr>
      <w:r w:rsidRPr="00064619">
        <w:rPr>
          <w:rtl/>
        </w:rPr>
        <w:t>(</w:t>
      </w:r>
      <w:r w:rsidRPr="00064619">
        <w:rPr>
          <w:rtl/>
        </w:rPr>
        <w:footnoteRef/>
      </w:r>
      <w:r w:rsidRPr="00064619">
        <w:rPr>
          <w:rtl/>
        </w:rPr>
        <w:t>) المصدر نفسه: 332، الخطبة 216.</w:t>
      </w:r>
    </w:p>
  </w:footnote>
  <w:footnote w:id="210">
    <w:p w:rsidR="00F93F13" w:rsidRPr="00064619" w:rsidRDefault="00F93F13" w:rsidP="00064619">
      <w:pPr>
        <w:pStyle w:val="FootnoteText"/>
      </w:pPr>
      <w:r w:rsidRPr="00064619">
        <w:rPr>
          <w:rtl/>
        </w:rPr>
        <w:t>(</w:t>
      </w:r>
      <w:r w:rsidRPr="00064619">
        <w:rPr>
          <w:rtl/>
        </w:rPr>
        <w:footnoteRef/>
      </w:r>
      <w:r w:rsidRPr="00064619">
        <w:rPr>
          <w:rtl/>
        </w:rPr>
        <w:t>) المصدر نفسه: 333.</w:t>
      </w:r>
    </w:p>
  </w:footnote>
  <w:footnote w:id="211">
    <w:p w:rsidR="00F93F13" w:rsidRPr="00064619" w:rsidRDefault="00F93F13" w:rsidP="00064619">
      <w:pPr>
        <w:pStyle w:val="FootnoteText"/>
      </w:pPr>
      <w:r w:rsidRPr="00064619">
        <w:rPr>
          <w:rtl/>
        </w:rPr>
        <w:t>(</w:t>
      </w:r>
      <w:r w:rsidRPr="00064619">
        <w:rPr>
          <w:rtl/>
        </w:rPr>
        <w:footnoteRef/>
      </w:r>
      <w:r w:rsidRPr="00064619">
        <w:rPr>
          <w:rtl/>
        </w:rPr>
        <w:t>) المصدر نفسه: 335.</w:t>
      </w:r>
    </w:p>
  </w:footnote>
  <w:footnote w:id="212">
    <w:p w:rsidR="00F93F13" w:rsidRPr="00064619" w:rsidRDefault="00F93F13" w:rsidP="00064619">
      <w:pPr>
        <w:pStyle w:val="FootnoteText"/>
      </w:pPr>
      <w:r w:rsidRPr="00064619">
        <w:rPr>
          <w:rtl/>
        </w:rPr>
        <w:t>(</w:t>
      </w:r>
      <w:r w:rsidRPr="00064619">
        <w:rPr>
          <w:rtl/>
        </w:rPr>
        <w:footnoteRef/>
      </w:r>
      <w:r w:rsidRPr="00064619">
        <w:rPr>
          <w:rtl/>
        </w:rPr>
        <w:t>) المصدر نفسه: 422، الرسالة 47.</w:t>
      </w:r>
    </w:p>
  </w:footnote>
  <w:footnote w:id="213">
    <w:p w:rsidR="00F93F13" w:rsidRPr="00064619" w:rsidRDefault="00F93F13" w:rsidP="00635BE2">
      <w:pPr>
        <w:pStyle w:val="FootnoteText"/>
        <w:spacing w:line="182" w:lineRule="auto"/>
      </w:pPr>
      <w:r w:rsidRPr="00064619">
        <w:rPr>
          <w:rtl/>
        </w:rPr>
        <w:t>(</w:t>
      </w:r>
      <w:r w:rsidRPr="00064619">
        <w:rPr>
          <w:rtl/>
        </w:rPr>
        <w:footnoteRef/>
      </w:r>
      <w:r w:rsidRPr="00064619">
        <w:rPr>
          <w:rtl/>
        </w:rPr>
        <w:t>) الصدوق، إكمال الدين 2: 483، باب 45، الحديث 4؛ الطوسي، كتاب الغيبة: 176؛ الطبرسي، الاحتجاج: 469؛ وسائل الشيعة، باب 11 من أبواب صفات القاضي، الحديث 9.</w:t>
      </w:r>
    </w:p>
  </w:footnote>
  <w:footnote w:id="214">
    <w:p w:rsidR="00F93F13" w:rsidRPr="00064619" w:rsidRDefault="00F93F13" w:rsidP="00064619">
      <w:pPr>
        <w:pStyle w:val="FootnoteText"/>
      </w:pPr>
      <w:r w:rsidRPr="00064619">
        <w:rPr>
          <w:rtl/>
        </w:rPr>
        <w:t>(</w:t>
      </w:r>
      <w:r w:rsidRPr="00064619">
        <w:rPr>
          <w:rtl/>
        </w:rPr>
        <w:footnoteRef/>
      </w:r>
      <w:r w:rsidRPr="00064619">
        <w:rPr>
          <w:rtl/>
        </w:rPr>
        <w:t>) أصول الكافي 1: 46، كتاب فضل العلم، باب المستأكل بعلمه، الحديث 5.</w:t>
      </w:r>
    </w:p>
  </w:footnote>
  <w:footnote w:id="215">
    <w:p w:rsidR="00F93F13" w:rsidRPr="00064619" w:rsidRDefault="00F93F13" w:rsidP="00064619">
      <w:pPr>
        <w:pStyle w:val="FootnoteText"/>
      </w:pPr>
      <w:r w:rsidRPr="00064619">
        <w:rPr>
          <w:rtl/>
        </w:rPr>
        <w:t>(</w:t>
      </w:r>
      <w:r w:rsidRPr="00064619">
        <w:rPr>
          <w:rtl/>
        </w:rPr>
        <w:footnoteRef/>
      </w:r>
      <w:r w:rsidRPr="00064619">
        <w:rPr>
          <w:rtl/>
        </w:rPr>
        <w:t>) وقد تعرَّضنا للبحث حول الولاية بشكل إجمالي (في الجزء الأول من هذا الكتاب)، الذي نُشر عن دار الجديد في بيروت، سنة 2000م، بعنوان «نظريات الحكم في الفقه الشيعي، بحوث في ولاية الفقيه». وهذا الفصل «الولاية الشرعية للفقيه» هو تفصيل وتوضيح وتتمّة للبحث المجمل هناك.</w:t>
      </w:r>
    </w:p>
  </w:footnote>
  <w:footnote w:id="216">
    <w:p w:rsidR="00F93F13" w:rsidRPr="00064619" w:rsidRDefault="00F93F13" w:rsidP="00064619">
      <w:pPr>
        <w:pStyle w:val="FootnoteText"/>
      </w:pPr>
      <w:r w:rsidRPr="00064619">
        <w:rPr>
          <w:rtl/>
        </w:rPr>
        <w:t>(</w:t>
      </w:r>
      <w:r w:rsidRPr="00064619">
        <w:rPr>
          <w:rtl/>
        </w:rPr>
        <w:footnoteRef/>
      </w:r>
      <w:r w:rsidRPr="00064619">
        <w:rPr>
          <w:rtl/>
        </w:rPr>
        <w:t>) مصنَّفات الشيخ المفيد 14: 675 ـ 676، المقنعة، كتاب الوصية: «وإذا عدم السلطان العادل في ما ذكرناه من هذه الأبواب كان لفقهاء أهل الحقّ العدول من ذوي الرأي والعقل</w:t>
      </w:r>
      <w:r w:rsidRPr="00635BE2">
        <w:rPr>
          <w:sz w:val="18"/>
          <w:szCs w:val="24"/>
          <w:rtl/>
        </w:rPr>
        <w:t xml:space="preserve"> والفضل أن يتولّوا ما تولاه السلطان، فإن لم يتمكَّنوا من ذلك فلا تبعة عليهم فيه».</w:t>
      </w:r>
    </w:p>
  </w:footnote>
  <w:footnote w:id="217">
    <w:p w:rsidR="00F93F13" w:rsidRPr="00064619" w:rsidRDefault="00F93F13" w:rsidP="00635BE2">
      <w:pPr>
        <w:pStyle w:val="FootnoteText"/>
        <w:spacing w:line="182" w:lineRule="auto"/>
      </w:pPr>
      <w:r w:rsidRPr="00064619">
        <w:rPr>
          <w:rtl/>
        </w:rPr>
        <w:t>(</w:t>
      </w:r>
      <w:r w:rsidRPr="00064619">
        <w:rPr>
          <w:rtl/>
        </w:rPr>
        <w:footnoteRef/>
      </w:r>
      <w:r w:rsidRPr="00064619">
        <w:rPr>
          <w:rtl/>
        </w:rPr>
        <w:t>) يرى المحقّق الحلّي في «شرائع الإسلام» و«المختصر النافع» أن الأحكام التي يختص بها الإمام المعصوم</w:t>
      </w:r>
      <w:r w:rsidRPr="00064619">
        <w:rPr>
          <w:rtl/>
        </w:rPr>
        <w:sym w:font="Roumouz" w:char="F02D"/>
      </w:r>
      <w:r w:rsidRPr="00064619">
        <w:rPr>
          <w:rtl/>
        </w:rPr>
        <w:t xml:space="preserve"> هي: إجراء الحدود، المراتب الأخيرة من مراتب الأمر بالمعروف والنهي عن المنكر، إجازة مصرف الخمس والزكاة، وجوب صلاة الجمعة، و...</w:t>
      </w:r>
    </w:p>
  </w:footnote>
  <w:footnote w:id="218">
    <w:p w:rsidR="00F93F13" w:rsidRPr="00064619" w:rsidRDefault="00F93F13" w:rsidP="00635BE2">
      <w:pPr>
        <w:pStyle w:val="FootnoteText"/>
        <w:spacing w:line="182" w:lineRule="auto"/>
      </w:pPr>
      <w:r w:rsidRPr="00064619">
        <w:rPr>
          <w:rtl/>
        </w:rPr>
        <w:t>(</w:t>
      </w:r>
      <w:r w:rsidRPr="00064619">
        <w:rPr>
          <w:rtl/>
        </w:rPr>
        <w:footnoteRef/>
      </w:r>
      <w:r w:rsidRPr="00064619">
        <w:rPr>
          <w:rtl/>
        </w:rPr>
        <w:t>) عدّ الشيخ الطوسي إقامة صلاة الجمعة ومصرف الزكاة ونصف الخمس من اختصاصات الإمام المعصوم (النهاية في مجرد الفقه والفتاوى: 103، 133، 185). والظاهر أنه يعتقد بجواز التصدّي للأمور الأخرى في عصر الغيبة.</w:t>
      </w:r>
    </w:p>
  </w:footnote>
  <w:footnote w:id="219">
    <w:p w:rsidR="00F93F13" w:rsidRPr="00064619" w:rsidRDefault="00F93F13" w:rsidP="00064619">
      <w:pPr>
        <w:pStyle w:val="FootnoteText"/>
      </w:pPr>
      <w:r w:rsidRPr="00064619">
        <w:rPr>
          <w:rtl/>
        </w:rPr>
        <w:t>(</w:t>
      </w:r>
      <w:r w:rsidRPr="00064619">
        <w:rPr>
          <w:rtl/>
        </w:rPr>
        <w:footnoteRef/>
      </w:r>
      <w:r w:rsidRPr="00064619">
        <w:rPr>
          <w:rtl/>
        </w:rPr>
        <w:t>) تذكرة الفقهاء 9: 397، كتاب الجهاد، الفصل السادس في قتال أهل البغي: الشرط الثالث عشر من شروط الإمام هو العصمة، والشرط الرابع عشر هو النص عليه.</w:t>
      </w:r>
    </w:p>
  </w:footnote>
  <w:footnote w:id="220">
    <w:p w:rsidR="00F93F13" w:rsidRPr="00064619" w:rsidRDefault="00F93F13" w:rsidP="00064619">
      <w:pPr>
        <w:pStyle w:val="FootnoteText"/>
      </w:pPr>
      <w:r w:rsidRPr="00064619">
        <w:rPr>
          <w:rtl/>
        </w:rPr>
        <w:t>(</w:t>
      </w:r>
      <w:r w:rsidRPr="00064619">
        <w:rPr>
          <w:rtl/>
        </w:rPr>
        <w:footnoteRef/>
      </w:r>
      <w:r w:rsidRPr="00064619">
        <w:rPr>
          <w:rtl/>
        </w:rPr>
        <w:t>) راجع: محسن كديور، نظريات الحكم في الفقه الشيعي، نظرية السلطنة المشروعة: 67 ـ 88.</w:t>
      </w:r>
    </w:p>
  </w:footnote>
  <w:footnote w:id="221">
    <w:p w:rsidR="00F93F13" w:rsidRPr="00064619" w:rsidRDefault="00F93F13" w:rsidP="00064619">
      <w:pPr>
        <w:pStyle w:val="FootnoteText"/>
      </w:pPr>
      <w:r w:rsidRPr="00064619">
        <w:rPr>
          <w:rtl/>
        </w:rPr>
        <w:t>(</w:t>
      </w:r>
      <w:r w:rsidRPr="00064619">
        <w:rPr>
          <w:rtl/>
        </w:rPr>
        <w:footnoteRef/>
      </w:r>
      <w:r w:rsidRPr="00064619">
        <w:rPr>
          <w:rtl/>
        </w:rPr>
        <w:t>) المجلسي، عين الحياة: 491 ـ 492، 487، 496.</w:t>
      </w:r>
    </w:p>
  </w:footnote>
  <w:footnote w:id="222">
    <w:p w:rsidR="00F93F13" w:rsidRPr="00064619" w:rsidRDefault="00F93F13" w:rsidP="00064619">
      <w:pPr>
        <w:pStyle w:val="FootnoteText"/>
      </w:pPr>
      <w:r w:rsidRPr="00064619">
        <w:rPr>
          <w:rtl/>
        </w:rPr>
        <w:t>(</w:t>
      </w:r>
      <w:r w:rsidRPr="00064619">
        <w:rPr>
          <w:rtl/>
        </w:rPr>
        <w:footnoteRef/>
      </w:r>
      <w:r w:rsidRPr="00064619">
        <w:rPr>
          <w:rtl/>
        </w:rPr>
        <w:t>) الكشفي، تحفة الملوك (حجري فاقد للترقيم).</w:t>
      </w:r>
    </w:p>
  </w:footnote>
  <w:footnote w:id="223">
    <w:p w:rsidR="00F93F13" w:rsidRPr="00064619" w:rsidRDefault="00F93F13" w:rsidP="00064619">
      <w:pPr>
        <w:pStyle w:val="FootnoteText"/>
      </w:pPr>
      <w:r w:rsidRPr="00064619">
        <w:rPr>
          <w:rtl/>
        </w:rPr>
        <w:t>(</w:t>
      </w:r>
      <w:r w:rsidRPr="00064619">
        <w:rPr>
          <w:rtl/>
        </w:rPr>
        <w:footnoteRef/>
      </w:r>
      <w:r w:rsidRPr="00064619">
        <w:rPr>
          <w:rtl/>
        </w:rPr>
        <w:t>) محمد تركمان، شيخ فضل الله النوري، رسائل، إعلاميه ها، مكتوبات وروزنامه شيخ شهيد فضل الله نوري 1: 110 ـ 111.</w:t>
      </w:r>
    </w:p>
  </w:footnote>
  <w:footnote w:id="224">
    <w:p w:rsidR="00F93F13" w:rsidRPr="00064619" w:rsidRDefault="00F93F13" w:rsidP="0043005B">
      <w:pPr>
        <w:pStyle w:val="FootnoteText"/>
      </w:pPr>
      <w:r w:rsidRPr="00064619">
        <w:rPr>
          <w:rtl/>
        </w:rPr>
        <w:t>(</w:t>
      </w:r>
      <w:r w:rsidRPr="00064619">
        <w:rPr>
          <w:rtl/>
        </w:rPr>
        <w:footnoteRef/>
      </w:r>
      <w:r w:rsidRPr="00064619">
        <w:rPr>
          <w:rtl/>
        </w:rPr>
        <w:t>) الشهيد الثاني، مسالك الإفهام إلى تنقيح شرائع الإسلام 13: 359، كتاب القضاء: «اختلف كلام الشيخ وغيره من الفقهاء فيما لو مات إمام الأصل هل ينعزل من القضاء أم لا؟... الأظهر هو الأوّل. وقد يق</w:t>
      </w:r>
      <w:r>
        <w:rPr>
          <w:rFonts w:hint="cs"/>
          <w:rtl/>
        </w:rPr>
        <w:t>دح</w:t>
      </w:r>
      <w:r w:rsidRPr="00064619">
        <w:rPr>
          <w:rtl/>
        </w:rPr>
        <w:t xml:space="preserve"> هذا في ولاية الفقيه حال الغيبة، فإن الإمام الذي قد جعله قاضياً وحاكماً قد مات فيج</w:t>
      </w:r>
      <w:r>
        <w:rPr>
          <w:rtl/>
        </w:rPr>
        <w:t>ري في حكمه ذلك الخلاف المذكور».</w:t>
      </w:r>
    </w:p>
  </w:footnote>
  <w:footnote w:id="225">
    <w:p w:rsidR="00F93F13" w:rsidRPr="00064619" w:rsidRDefault="00F93F13" w:rsidP="00064619">
      <w:pPr>
        <w:pStyle w:val="FootnoteText"/>
      </w:pPr>
      <w:r w:rsidRPr="00064619">
        <w:rPr>
          <w:rtl/>
        </w:rPr>
        <w:t>(</w:t>
      </w:r>
      <w:r w:rsidRPr="00064619">
        <w:rPr>
          <w:rtl/>
        </w:rPr>
        <w:footnoteRef/>
      </w:r>
      <w:r w:rsidRPr="00064619">
        <w:rPr>
          <w:rtl/>
        </w:rPr>
        <w:t>) رسائل المحقق الكركي: 142 ـ 143، المجموعة الأولى، رسالة في صلاة الجمعة.</w:t>
      </w:r>
    </w:p>
  </w:footnote>
  <w:footnote w:id="226">
    <w:p w:rsidR="00F93F13" w:rsidRPr="00064619" w:rsidRDefault="00F93F13" w:rsidP="00064619">
      <w:pPr>
        <w:pStyle w:val="FootnoteText"/>
      </w:pPr>
      <w:r w:rsidRPr="00064619">
        <w:rPr>
          <w:rtl/>
        </w:rPr>
        <w:t>(</w:t>
      </w:r>
      <w:r w:rsidRPr="00064619">
        <w:rPr>
          <w:rtl/>
        </w:rPr>
        <w:footnoteRef/>
      </w:r>
      <w:r w:rsidRPr="00064619">
        <w:rPr>
          <w:rtl/>
        </w:rPr>
        <w:t>) انظر إلى الوثيقة الرسمية لمنصب العلامة المجلسي شيخاً للإسلام من قبل الشاه سلطان حسين الصفوي، مخطوطة رقم (9592) في مكتبة الروضة الرضوية. وأيضاً خطبة العلامة المجلسي في اعتلاء الشاه السلطان حسين الصفوي العرش (المجموعة المخطوطة رقم (2721) في مكتبة مجلس الشورى الإسلامي</w:t>
      </w:r>
      <w:r>
        <w:rPr>
          <w:rFonts w:hint="cs"/>
          <w:rtl/>
        </w:rPr>
        <w:t>)</w:t>
      </w:r>
      <w:r w:rsidRPr="00064619">
        <w:rPr>
          <w:rtl/>
        </w:rPr>
        <w:t>. وراجع أيضاً: رسول جعفريان، كتاب دين وسياست در عصر صفوي: 75 ـ 120، فصل الوظائف الإدارية للعلماء في الدولة الصفوية.</w:t>
      </w:r>
    </w:p>
  </w:footnote>
  <w:footnote w:id="227">
    <w:p w:rsidR="00F93F13" w:rsidRPr="00064619" w:rsidRDefault="00F93F13" w:rsidP="00635BE2">
      <w:pPr>
        <w:pStyle w:val="FootnoteText"/>
        <w:spacing w:line="182" w:lineRule="auto"/>
      </w:pPr>
      <w:r w:rsidRPr="00064619">
        <w:rPr>
          <w:rtl/>
        </w:rPr>
        <w:t>(</w:t>
      </w:r>
      <w:r w:rsidRPr="00064619">
        <w:rPr>
          <w:rtl/>
        </w:rPr>
        <w:footnoteRef/>
      </w:r>
      <w:r w:rsidRPr="00064619">
        <w:rPr>
          <w:rtl/>
        </w:rPr>
        <w:t>) راجع: عبد الهادي الحائري، نخستين رويا روييه</w:t>
      </w:r>
      <w:r>
        <w:rPr>
          <w:rtl/>
        </w:rPr>
        <w:t xml:space="preserve">اي </w:t>
      </w:r>
      <w:r>
        <w:rPr>
          <w:rFonts w:hint="cs"/>
          <w:rtl/>
        </w:rPr>
        <w:t>ا</w:t>
      </w:r>
      <w:r w:rsidRPr="00064619">
        <w:rPr>
          <w:rtl/>
        </w:rPr>
        <w:t>نديشهﮔران إيران با دو رؤيه تمدن بور</w:t>
      </w:r>
      <w:r>
        <w:rPr>
          <w:rtl/>
        </w:rPr>
        <w:t>ﮊوازي غرب، الفصل الثامن بعنوان</w:t>
      </w:r>
      <w:r>
        <w:rPr>
          <w:rFonts w:hint="cs"/>
          <w:rtl/>
        </w:rPr>
        <w:t xml:space="preserve">: </w:t>
      </w:r>
      <w:r w:rsidRPr="00064619">
        <w:rPr>
          <w:rtl/>
        </w:rPr>
        <w:t>م</w:t>
      </w:r>
      <w:r>
        <w:rPr>
          <w:rtl/>
        </w:rPr>
        <w:t xml:space="preserve">شروعيت حكومت فتح علي شاه قاجار </w:t>
      </w:r>
      <w:r>
        <w:rPr>
          <w:rFonts w:hint="cs"/>
          <w:rtl/>
        </w:rPr>
        <w:t>ا</w:t>
      </w:r>
      <w:r>
        <w:rPr>
          <w:rtl/>
        </w:rPr>
        <w:t xml:space="preserve">ز ديدﮔاه </w:t>
      </w:r>
      <w:r>
        <w:rPr>
          <w:rFonts w:hint="cs"/>
          <w:rtl/>
        </w:rPr>
        <w:t>ا</w:t>
      </w:r>
      <w:r w:rsidRPr="00064619">
        <w:rPr>
          <w:rtl/>
        </w:rPr>
        <w:t xml:space="preserve">نديشهﮔران ورهبران مذهبي شيعه: 323 ـ 373. وللاطلاع على إجازة الجهاد من كاشف الغطاء لفتح علي شاه قاجار راجع: كشف الغطاء عن مبهمات الشريعة الغراء 4: 394، الطبعة الحجرية. وللتعرف على آراء الميرزا القمّي راجع: إرشاد نامه، بتصحيح وتقديم: حسن قاضي طباطبائي، </w:t>
      </w:r>
      <w:r>
        <w:rPr>
          <w:rFonts w:hint="cs"/>
          <w:rtl/>
        </w:rPr>
        <w:t>مجلة</w:t>
      </w:r>
      <w:r w:rsidRPr="00064619">
        <w:rPr>
          <w:rtl/>
        </w:rPr>
        <w:t xml:space="preserve"> كلّية تبريز للآداب والعلوم الإنسانية، ج 20، ش 3، سنة 1348، صفحة 365 ـ 383. وراجع أيضاً: الذريعة 22: 159، رقم 6498. وانظر: جامع الشتات 1: 92، الطبعة الحجرية؛ وأيضاً (ردّيه ميرزاي قمّي بر ميرزا عبد الوهّاب منشي الممالك): 69 ـ 70، المخطوطة الفارسية (راجع: الحائري، ص 327 و328)؛ السيد محمد المجاهد، الجهادية (جامع المسائل الجهادية)، المشتملة على أحكام الجهاد في فترة الحرب الإيرانية الروسية.</w:t>
      </w:r>
    </w:p>
  </w:footnote>
  <w:footnote w:id="228">
    <w:p w:rsidR="00F93F13" w:rsidRPr="00064619" w:rsidRDefault="00F93F13" w:rsidP="00064619">
      <w:pPr>
        <w:pStyle w:val="FootnoteText"/>
      </w:pPr>
      <w:r w:rsidRPr="00064619">
        <w:rPr>
          <w:rtl/>
        </w:rPr>
        <w:t>(</w:t>
      </w:r>
      <w:r w:rsidRPr="00064619">
        <w:rPr>
          <w:rtl/>
        </w:rPr>
        <w:footnoteRef/>
      </w:r>
      <w:r w:rsidRPr="00064619">
        <w:rPr>
          <w:rtl/>
        </w:rPr>
        <w:t>) عوائد الأيام: 529 ـ 582.</w:t>
      </w:r>
    </w:p>
  </w:footnote>
  <w:footnote w:id="229">
    <w:p w:rsidR="00F93F13" w:rsidRPr="00064619" w:rsidRDefault="00F93F13" w:rsidP="00064619">
      <w:pPr>
        <w:pStyle w:val="FootnoteText"/>
      </w:pPr>
      <w:r w:rsidRPr="00064619">
        <w:rPr>
          <w:rtl/>
        </w:rPr>
        <w:t>(</w:t>
      </w:r>
      <w:r w:rsidRPr="00064619">
        <w:rPr>
          <w:rtl/>
        </w:rPr>
        <w:footnoteRef/>
      </w:r>
      <w:r w:rsidRPr="00064619">
        <w:rPr>
          <w:rtl/>
        </w:rPr>
        <w:t>) المصدر نفسه: 536: «إن كلية ما للفقيه العادل تولّيه وله الولاية فيه أمران: أحدهما: كل ما كان للنبي والإمام ـ الذين هم سلاطين الأنام وحصون الإسلام ـ فيه الولاية وكان لهم فللفقيه أيضاً ذلك، إلا ما أخرجه الدليل من إجماع أو نص أو غيرها. وثانيهما: إن كل فعل متعلق بأمور العباد من دينهم أو دنياهم، ولا بُدَّ من الإتيان به، ولا مفرّ منه؛ إما عقلاً؛ أو عادة من جهة توقُّف أمور المعاد أو المعاش لواحد أو جماعة عليه، وإناطة انتظام أمور الدين أو الدنيا به...».</w:t>
      </w:r>
    </w:p>
  </w:footnote>
  <w:footnote w:id="230">
    <w:p w:rsidR="00F93F13" w:rsidRPr="00064619" w:rsidRDefault="00F93F13" w:rsidP="00064619">
      <w:pPr>
        <w:pStyle w:val="FootnoteText"/>
      </w:pPr>
      <w:r w:rsidRPr="00064619">
        <w:rPr>
          <w:rtl/>
        </w:rPr>
        <w:t>(</w:t>
      </w:r>
      <w:r w:rsidRPr="00064619">
        <w:rPr>
          <w:rtl/>
        </w:rPr>
        <w:footnoteRef/>
      </w:r>
      <w:r w:rsidRPr="00064619">
        <w:rPr>
          <w:rtl/>
        </w:rPr>
        <w:t>) الميرزا محمد حسن النائيني، منية الطالب (تقرير أبحاثه بقلم: الشيخ موسى النجفي الخوانساري) 2: 232؛ المكاسب والبيع (تقرير أبحاثه بقلم: الشيخ محمد تقي الآملي) 2: 334.</w:t>
      </w:r>
    </w:p>
  </w:footnote>
  <w:footnote w:id="231">
    <w:p w:rsidR="00F93F13" w:rsidRPr="00064619" w:rsidRDefault="00F93F13" w:rsidP="00064619">
      <w:pPr>
        <w:pStyle w:val="FootnoteText"/>
      </w:pPr>
      <w:r w:rsidRPr="00064619">
        <w:rPr>
          <w:rtl/>
        </w:rPr>
        <w:t>(</w:t>
      </w:r>
      <w:r w:rsidRPr="00064619">
        <w:rPr>
          <w:rtl/>
        </w:rPr>
        <w:footnoteRef/>
      </w:r>
      <w:r w:rsidRPr="00064619">
        <w:rPr>
          <w:rtl/>
        </w:rPr>
        <w:t>) الأنصاري، المكاسب (</w:t>
      </w:r>
      <w:r>
        <w:rPr>
          <w:rFonts w:hint="cs"/>
          <w:rtl/>
        </w:rPr>
        <w:t>ال</w:t>
      </w:r>
      <w:r w:rsidRPr="00064619">
        <w:rPr>
          <w:rtl/>
        </w:rPr>
        <w:t>طبع</w:t>
      </w:r>
      <w:r>
        <w:rPr>
          <w:rFonts w:hint="cs"/>
          <w:rtl/>
        </w:rPr>
        <w:t>ة</w:t>
      </w:r>
      <w:r w:rsidRPr="00064619">
        <w:rPr>
          <w:rtl/>
        </w:rPr>
        <w:t xml:space="preserve"> </w:t>
      </w:r>
      <w:r>
        <w:rPr>
          <w:rFonts w:hint="cs"/>
          <w:rtl/>
        </w:rPr>
        <w:t>ال</w:t>
      </w:r>
      <w:r w:rsidRPr="00064619">
        <w:rPr>
          <w:rtl/>
        </w:rPr>
        <w:t>حجري</w:t>
      </w:r>
      <w:r>
        <w:rPr>
          <w:rFonts w:hint="cs"/>
          <w:rtl/>
        </w:rPr>
        <w:t>ة</w:t>
      </w:r>
      <w:r w:rsidRPr="00064619">
        <w:rPr>
          <w:rtl/>
        </w:rPr>
        <w:t>): 153 ـ 155. حول الرأي الشيخ الأنصاري حول ولاية الفقيه في المكاسب هناك وجهة نظر أخرى، راجع: مقالة الشيخ ناصر مكارم الشيرازي في المؤتمر العالمي للشيخ الأنصاريّ في قم.</w:t>
      </w:r>
    </w:p>
  </w:footnote>
  <w:footnote w:id="232">
    <w:p w:rsidR="00F93F13" w:rsidRPr="00064619" w:rsidRDefault="00F93F13" w:rsidP="00064619">
      <w:pPr>
        <w:pStyle w:val="FootnoteText"/>
      </w:pPr>
      <w:r w:rsidRPr="00064619">
        <w:rPr>
          <w:rtl/>
        </w:rPr>
        <w:t>(</w:t>
      </w:r>
      <w:r w:rsidRPr="00064619">
        <w:rPr>
          <w:rtl/>
        </w:rPr>
        <w:footnoteRef/>
      </w:r>
      <w:r w:rsidRPr="00064619">
        <w:rPr>
          <w:rtl/>
        </w:rPr>
        <w:t xml:space="preserve">) الخراساني، حاشية كتاب المكاسب: 196. </w:t>
      </w:r>
    </w:p>
  </w:footnote>
  <w:footnote w:id="233">
    <w:p w:rsidR="00F93F13" w:rsidRPr="00064619" w:rsidRDefault="00F93F13" w:rsidP="00064619">
      <w:pPr>
        <w:pStyle w:val="FootnoteText"/>
      </w:pPr>
      <w:r w:rsidRPr="00064619">
        <w:rPr>
          <w:rtl/>
        </w:rPr>
        <w:t>(</w:t>
      </w:r>
      <w:r w:rsidRPr="00064619">
        <w:rPr>
          <w:rtl/>
        </w:rPr>
        <w:footnoteRef/>
      </w:r>
      <w:r w:rsidRPr="00064619">
        <w:rPr>
          <w:rtl/>
        </w:rPr>
        <w:t>) الحكيم، نهج الفقاهة (تعليق على كتاب البيع للشيخ الأنصاري): 300.</w:t>
      </w:r>
    </w:p>
  </w:footnote>
  <w:footnote w:id="234">
    <w:p w:rsidR="00F93F13" w:rsidRPr="00064619" w:rsidRDefault="00F93F13" w:rsidP="00064619">
      <w:pPr>
        <w:pStyle w:val="FootnoteText"/>
      </w:pPr>
      <w:r w:rsidRPr="00064619">
        <w:rPr>
          <w:rtl/>
        </w:rPr>
        <w:t>(</w:t>
      </w:r>
      <w:r w:rsidRPr="00064619">
        <w:rPr>
          <w:rtl/>
        </w:rPr>
        <w:footnoteRef/>
      </w:r>
      <w:r w:rsidRPr="00064619">
        <w:rPr>
          <w:rtl/>
        </w:rPr>
        <w:t>) الخوانساري، جامع المدارك في شرح المختصر النافع 3: 100.</w:t>
      </w:r>
    </w:p>
  </w:footnote>
  <w:footnote w:id="235">
    <w:p w:rsidR="00F93F13" w:rsidRPr="00064619" w:rsidRDefault="00F93F13" w:rsidP="00064619">
      <w:pPr>
        <w:pStyle w:val="FootnoteText"/>
        <w:rPr>
          <w:rtl/>
        </w:rPr>
      </w:pPr>
      <w:r w:rsidRPr="00064619">
        <w:rPr>
          <w:rtl/>
        </w:rPr>
        <w:t>(</w:t>
      </w:r>
      <w:r w:rsidRPr="00064619">
        <w:rPr>
          <w:rtl/>
        </w:rPr>
        <w:footnoteRef/>
      </w:r>
      <w:r w:rsidRPr="00064619">
        <w:rPr>
          <w:rtl/>
        </w:rPr>
        <w:t xml:space="preserve">) الخوئي، مصباح الفقاهة (تقريرات أبحاثه بقلم: محمد علي التوحيدي) 5: 52؛ الخوئي، التنقيح في شرح العروة الوثقى، الاجتهاد والتقليد (تقرير أبحاثه بقلم: الميرزا الغروي): 424. </w:t>
      </w:r>
    </w:p>
    <w:p w:rsidR="00F93F13" w:rsidRPr="00064619" w:rsidRDefault="00F93F13" w:rsidP="00C03247">
      <w:pPr>
        <w:pStyle w:val="FootnoteText"/>
        <w:ind w:firstLine="0"/>
      </w:pPr>
      <w:r w:rsidRPr="00064619">
        <w:rPr>
          <w:rtl/>
        </w:rPr>
        <w:t>[في الوقت الذي كنت فيه مشغولاً بإعادة صياغة هذا الفصل من الكتاب وصلنا خبر استشهاد السيد الغروي التبريزي في العراق، رحمه الله وأعلى مثواه</w:t>
      </w:r>
      <w:r>
        <w:rPr>
          <w:rFonts w:ascii="Microsoft Tai Le" w:hAnsi="Microsoft Tai Le" w:cs="Microsoft Tai Le"/>
          <w:rtl/>
        </w:rPr>
        <w:t>]</w:t>
      </w:r>
      <w:r w:rsidRPr="00064619">
        <w:rPr>
          <w:rtl/>
        </w:rPr>
        <w:t>.</w:t>
      </w:r>
    </w:p>
  </w:footnote>
  <w:footnote w:id="236">
    <w:p w:rsidR="00F93F13" w:rsidRPr="00064619" w:rsidRDefault="00F93F13" w:rsidP="00064619">
      <w:pPr>
        <w:pStyle w:val="FootnoteText"/>
      </w:pPr>
      <w:r w:rsidRPr="00064619">
        <w:rPr>
          <w:rtl/>
        </w:rPr>
        <w:t>(</w:t>
      </w:r>
      <w:r w:rsidRPr="00064619">
        <w:rPr>
          <w:rtl/>
        </w:rPr>
        <w:footnoteRef/>
      </w:r>
      <w:r w:rsidRPr="00064619">
        <w:rPr>
          <w:rtl/>
        </w:rPr>
        <w:t>) النجفي، جواهر الكلام في شرح شرائع الإسلام 21: 397.</w:t>
      </w:r>
    </w:p>
  </w:footnote>
  <w:footnote w:id="237">
    <w:p w:rsidR="00F93F13" w:rsidRPr="00064619" w:rsidRDefault="00F93F13" w:rsidP="00064619">
      <w:pPr>
        <w:pStyle w:val="FootnoteText"/>
      </w:pPr>
      <w:r w:rsidRPr="00064619">
        <w:rPr>
          <w:rtl/>
        </w:rPr>
        <w:t>(</w:t>
      </w:r>
      <w:r w:rsidRPr="00064619">
        <w:rPr>
          <w:rtl/>
        </w:rPr>
        <w:footnoteRef/>
      </w:r>
      <w:r w:rsidRPr="00064619">
        <w:rPr>
          <w:rtl/>
        </w:rPr>
        <w:t xml:space="preserve">) البروجردي، البدر الزاهر في صلاة الجمعة والمسافر (تقرير أبحاثه بقلم: شيخنا الأستاذ </w:t>
      </w:r>
      <w:smartTag w:uri="urn:schemas-microsoft-com:office:smarttags" w:element="PersonName">
        <w:smartTagPr>
          <w:attr w:name="ProductID" w:val="حسين علي"/>
        </w:smartTagPr>
        <w:r w:rsidRPr="00064619">
          <w:rPr>
            <w:rtl/>
          </w:rPr>
          <w:t>حسين علي</w:t>
        </w:r>
      </w:smartTag>
      <w:r w:rsidRPr="00064619">
        <w:rPr>
          <w:rtl/>
        </w:rPr>
        <w:t xml:space="preserve"> المنتظري): 52 ـ 53.</w:t>
      </w:r>
    </w:p>
  </w:footnote>
  <w:footnote w:id="238">
    <w:p w:rsidR="00F93F13" w:rsidRPr="00064619" w:rsidRDefault="00F93F13" w:rsidP="00064619">
      <w:pPr>
        <w:pStyle w:val="FootnoteText"/>
      </w:pPr>
      <w:r w:rsidRPr="00064619">
        <w:rPr>
          <w:rtl/>
        </w:rPr>
        <w:t>(</w:t>
      </w:r>
      <w:r w:rsidRPr="00064619">
        <w:rPr>
          <w:rtl/>
        </w:rPr>
        <w:footnoteRef/>
      </w:r>
      <w:r w:rsidRPr="00064619">
        <w:rPr>
          <w:rtl/>
        </w:rPr>
        <w:t>) الگلپايگاني، الهداية إلى مَنْ له الولاية ( تقرير أبحاثه بقلم: أحمد الصابري الهمداني).</w:t>
      </w:r>
    </w:p>
  </w:footnote>
  <w:footnote w:id="239">
    <w:p w:rsidR="00F93F13" w:rsidRPr="00064619" w:rsidRDefault="00F93F13" w:rsidP="0043005B">
      <w:pPr>
        <w:pStyle w:val="FootnoteText"/>
      </w:pPr>
      <w:r w:rsidRPr="00064619">
        <w:rPr>
          <w:rtl/>
        </w:rPr>
        <w:t>(</w:t>
      </w:r>
      <w:r w:rsidRPr="00064619">
        <w:rPr>
          <w:rtl/>
        </w:rPr>
        <w:footnoteRef/>
      </w:r>
      <w:r w:rsidRPr="00064619">
        <w:rPr>
          <w:rtl/>
        </w:rPr>
        <w:t xml:space="preserve">) </w:t>
      </w:r>
      <w:r>
        <w:rPr>
          <w:rFonts w:hint="cs"/>
          <w:rtl/>
        </w:rPr>
        <w:t xml:space="preserve">السيد </w:t>
      </w:r>
      <w:r w:rsidRPr="00064619">
        <w:rPr>
          <w:rtl/>
        </w:rPr>
        <w:t>ال</w:t>
      </w:r>
      <w:r>
        <w:rPr>
          <w:rtl/>
        </w:rPr>
        <w:t>خميني، كتاب البيع 2: 459 ـ 520</w:t>
      </w:r>
      <w:r>
        <w:rPr>
          <w:rFonts w:hint="cs"/>
          <w:rtl/>
        </w:rPr>
        <w:t xml:space="preserve">؛ </w:t>
      </w:r>
      <w:r w:rsidRPr="00064619">
        <w:rPr>
          <w:rtl/>
        </w:rPr>
        <w:t>ولاية الفقيه للخميني؛ تحرير الوسيلة 1: 482 ـ 483، كتاب الأمر بالمعروف والنهي عن المنكر.</w:t>
      </w:r>
    </w:p>
  </w:footnote>
  <w:footnote w:id="240">
    <w:p w:rsidR="00F93F13" w:rsidRPr="00064619" w:rsidRDefault="00F93F13" w:rsidP="00064619">
      <w:pPr>
        <w:pStyle w:val="FootnoteText"/>
      </w:pPr>
      <w:r w:rsidRPr="00064619">
        <w:rPr>
          <w:rtl/>
        </w:rPr>
        <w:t>(</w:t>
      </w:r>
      <w:r w:rsidRPr="00064619">
        <w:rPr>
          <w:rtl/>
        </w:rPr>
        <w:footnoteRef/>
      </w:r>
      <w:r w:rsidRPr="00064619">
        <w:rPr>
          <w:rtl/>
        </w:rPr>
        <w:t xml:space="preserve">) </w:t>
      </w:r>
      <w:r>
        <w:rPr>
          <w:rFonts w:hint="cs"/>
          <w:rtl/>
        </w:rPr>
        <w:t xml:space="preserve">السيد </w:t>
      </w:r>
      <w:r w:rsidRPr="00064619">
        <w:rPr>
          <w:rtl/>
        </w:rPr>
        <w:t>الخميني، صحيفه نور 20: 170.</w:t>
      </w:r>
    </w:p>
  </w:footnote>
  <w:footnote w:id="241">
    <w:p w:rsidR="00F93F13" w:rsidRPr="00064619" w:rsidRDefault="00F93F13" w:rsidP="0043005B">
      <w:pPr>
        <w:pStyle w:val="FootnoteText"/>
      </w:pPr>
      <w:r w:rsidRPr="00064619">
        <w:rPr>
          <w:rtl/>
        </w:rPr>
        <w:t>(</w:t>
      </w:r>
      <w:r w:rsidRPr="00064619">
        <w:rPr>
          <w:rtl/>
        </w:rPr>
        <w:footnoteRef/>
      </w:r>
      <w:r w:rsidRPr="00064619">
        <w:rPr>
          <w:rtl/>
        </w:rPr>
        <w:t xml:space="preserve">) كشف الغطاء عن </w:t>
      </w:r>
      <w:r>
        <w:rPr>
          <w:rFonts w:hint="cs"/>
          <w:rtl/>
        </w:rPr>
        <w:t>مبهمات</w:t>
      </w:r>
      <w:r w:rsidRPr="00064619">
        <w:rPr>
          <w:rtl/>
        </w:rPr>
        <w:t xml:space="preserve"> الشريعة الغراء 1: 207؛ عوائد الأيام: 529؛ المكاسب؛</w:t>
      </w:r>
      <w:r>
        <w:rPr>
          <w:rFonts w:hint="cs"/>
          <w:rtl/>
        </w:rPr>
        <w:t xml:space="preserve"> السيد</w:t>
      </w:r>
      <w:r w:rsidRPr="00064619">
        <w:rPr>
          <w:rtl/>
        </w:rPr>
        <w:t xml:space="preserve"> الخميني، تهذيب الأصول ( تقرير أبحاثه بقلم: الشيخ جعفر السبحاني) 3: 144. </w:t>
      </w:r>
    </w:p>
  </w:footnote>
  <w:footnote w:id="242">
    <w:p w:rsidR="00F93F13" w:rsidRPr="00064619" w:rsidRDefault="00F93F13" w:rsidP="00064619">
      <w:pPr>
        <w:pStyle w:val="FootnoteText"/>
      </w:pPr>
      <w:r w:rsidRPr="00064619">
        <w:rPr>
          <w:rtl/>
        </w:rPr>
        <w:t>(</w:t>
      </w:r>
      <w:r w:rsidRPr="00064619">
        <w:rPr>
          <w:rtl/>
        </w:rPr>
        <w:footnoteRef/>
      </w:r>
      <w:r w:rsidRPr="00064619">
        <w:rPr>
          <w:rtl/>
        </w:rPr>
        <w:t>) انظر على سبيل المثال: عوائد الأيام: 529؛ المراغي، العناوين 2: 556، عنوان رقم 73 في الإشارة إلى الأولياء والمولى عليهم؛ بحر العلوم، بلغة الفقيه، رسالة في الولايات 3: 298 ـ 299. الشيخ محمد علي ثقة الإسلام الأصفهاني، رسالة في الولايات</w:t>
      </w:r>
      <w:r>
        <w:rPr>
          <w:rFonts w:hint="cs"/>
          <w:rtl/>
        </w:rPr>
        <w:t xml:space="preserve"> (الطبعة الحجرية)</w:t>
      </w:r>
      <w:r w:rsidRPr="00064619">
        <w:rPr>
          <w:rtl/>
        </w:rPr>
        <w:t>.</w:t>
      </w:r>
    </w:p>
  </w:footnote>
  <w:footnote w:id="243">
    <w:p w:rsidR="00F93F13" w:rsidRPr="00064619" w:rsidRDefault="00F93F13" w:rsidP="00064619">
      <w:pPr>
        <w:pStyle w:val="FootnoteText"/>
      </w:pPr>
      <w:r w:rsidRPr="00064619">
        <w:rPr>
          <w:rtl/>
        </w:rPr>
        <w:t>(</w:t>
      </w:r>
      <w:r w:rsidRPr="00064619">
        <w:rPr>
          <w:rtl/>
        </w:rPr>
        <w:footnoteRef/>
      </w:r>
      <w:r w:rsidRPr="00064619">
        <w:rPr>
          <w:rtl/>
        </w:rPr>
        <w:t>) راجع أيضاً: عوائد الأيام: 563.</w:t>
      </w:r>
    </w:p>
  </w:footnote>
  <w:footnote w:id="244">
    <w:p w:rsidR="00F93F13" w:rsidRPr="00064619" w:rsidRDefault="00F93F13" w:rsidP="00064619">
      <w:pPr>
        <w:pStyle w:val="FootnoteText"/>
      </w:pPr>
      <w:r w:rsidRPr="00064619">
        <w:rPr>
          <w:rtl/>
        </w:rPr>
        <w:t>(</w:t>
      </w:r>
      <w:r w:rsidRPr="00064619">
        <w:rPr>
          <w:rtl/>
        </w:rPr>
        <w:footnoteRef/>
      </w:r>
      <w:r w:rsidRPr="00064619">
        <w:rPr>
          <w:rtl/>
        </w:rPr>
        <w:t>) المكاسب: 153 ـ 155، مسألة من جملة أولياء التصرُّف في مال مَنْ لا يستقل بالتصرُّف في ماله الحاكم.</w:t>
      </w:r>
    </w:p>
  </w:footnote>
  <w:footnote w:id="245">
    <w:p w:rsidR="00F93F13" w:rsidRPr="00064619" w:rsidRDefault="00F93F13" w:rsidP="00064619">
      <w:pPr>
        <w:pStyle w:val="FootnoteText"/>
      </w:pPr>
      <w:r w:rsidRPr="00064619">
        <w:rPr>
          <w:rtl/>
        </w:rPr>
        <w:t>(</w:t>
      </w:r>
      <w:r w:rsidRPr="00064619">
        <w:rPr>
          <w:rtl/>
        </w:rPr>
        <w:footnoteRef/>
      </w:r>
      <w:r w:rsidRPr="00064619">
        <w:rPr>
          <w:rtl/>
        </w:rPr>
        <w:t xml:space="preserve">) </w:t>
      </w:r>
      <w:r>
        <w:rPr>
          <w:rFonts w:hint="cs"/>
          <w:rtl/>
        </w:rPr>
        <w:t xml:space="preserve">السيد </w:t>
      </w:r>
      <w:r w:rsidRPr="00064619">
        <w:rPr>
          <w:rtl/>
        </w:rPr>
        <w:t>الخميني، كتاب البيع 2: 459 ـ 520.</w:t>
      </w:r>
    </w:p>
  </w:footnote>
  <w:footnote w:id="246">
    <w:p w:rsidR="00F93F13" w:rsidRPr="00064619" w:rsidRDefault="00F93F13" w:rsidP="00064619">
      <w:pPr>
        <w:pStyle w:val="FootnoteText"/>
      </w:pPr>
      <w:r w:rsidRPr="00064619">
        <w:rPr>
          <w:rtl/>
        </w:rPr>
        <w:t>(</w:t>
      </w:r>
      <w:r w:rsidRPr="00064619">
        <w:rPr>
          <w:rtl/>
        </w:rPr>
        <w:footnoteRef/>
      </w:r>
      <w:r w:rsidRPr="00064619">
        <w:rPr>
          <w:rtl/>
        </w:rPr>
        <w:t>) عوائد الأيام: 529؛ المراغي، العناوين، رقم 73؛ بلغة الفقيه 3: 298؛ الدربندي، خزائن الأحكام.</w:t>
      </w:r>
    </w:p>
  </w:footnote>
  <w:footnote w:id="247">
    <w:p w:rsidR="00F93F13" w:rsidRPr="00064619" w:rsidRDefault="00F93F13" w:rsidP="00064619">
      <w:pPr>
        <w:pStyle w:val="FootnoteText"/>
      </w:pPr>
      <w:r w:rsidRPr="00064619">
        <w:rPr>
          <w:rtl/>
        </w:rPr>
        <w:t>(</w:t>
      </w:r>
      <w:r w:rsidRPr="00064619">
        <w:rPr>
          <w:rtl/>
        </w:rPr>
        <w:footnoteRef/>
      </w:r>
      <w:r w:rsidRPr="00064619">
        <w:rPr>
          <w:rtl/>
        </w:rPr>
        <w:t>) ويؤيِّد ذلك الرجوع إلى بحث الإمامة في الكتب الكلاميّة المعتبرة عند الشيعة، من قبيل: الشافي في الإمامة للسيد المرتضى؛ التمهيد للشيخ الطوسي؛ تجريد الاعتقاد للمحقّق الطوسي؛ كشف المراد للعلامة الحلي، گوهر مراد للاهيجي.</w:t>
      </w:r>
    </w:p>
  </w:footnote>
  <w:footnote w:id="248">
    <w:p w:rsidR="00F93F13" w:rsidRPr="00064619" w:rsidRDefault="00F93F13" w:rsidP="00064619">
      <w:pPr>
        <w:pStyle w:val="FootnoteText"/>
      </w:pPr>
      <w:r w:rsidRPr="00064619">
        <w:rPr>
          <w:rtl/>
        </w:rPr>
        <w:t>(</w:t>
      </w:r>
      <w:r w:rsidRPr="00064619">
        <w:rPr>
          <w:rtl/>
        </w:rPr>
        <w:footnoteRef/>
      </w:r>
      <w:r w:rsidRPr="00064619">
        <w:rPr>
          <w:rtl/>
        </w:rPr>
        <w:t>) راجع: بحث ولاية الفقيه في مكاسب الأنصاري، وجواهر الكلام للنجفي، وكتاب البيع للخميني.</w:t>
      </w:r>
    </w:p>
  </w:footnote>
  <w:footnote w:id="249">
    <w:p w:rsidR="00F93F13" w:rsidRPr="00064619" w:rsidRDefault="00F93F13" w:rsidP="00064619">
      <w:pPr>
        <w:pStyle w:val="FootnoteText"/>
      </w:pPr>
      <w:r w:rsidRPr="00064619">
        <w:rPr>
          <w:rtl/>
        </w:rPr>
        <w:t>(</w:t>
      </w:r>
      <w:r w:rsidRPr="00064619">
        <w:rPr>
          <w:rtl/>
        </w:rPr>
        <w:footnoteRef/>
      </w:r>
      <w:r w:rsidRPr="00064619">
        <w:rPr>
          <w:rtl/>
        </w:rPr>
        <w:t>) الشيخ جواد التبريزي، إرشاد الطالب في التعليق على المكاسب، مباحث الولايات 3: 18 (ملخَّصاً).</w:t>
      </w:r>
    </w:p>
  </w:footnote>
  <w:footnote w:id="250">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w:t>
      </w:r>
      <w:r w:rsidRPr="00064619">
        <w:rPr>
          <w:rtl/>
        </w:rPr>
        <w:t xml:space="preserve"> الخميني، كشف الأسرار: 175، من النسخة المترجمة.</w:t>
      </w:r>
    </w:p>
  </w:footnote>
  <w:footnote w:id="251">
    <w:p w:rsidR="00F93F13" w:rsidRPr="00064619" w:rsidRDefault="00F93F13" w:rsidP="00064619">
      <w:pPr>
        <w:pStyle w:val="FootnoteText"/>
      </w:pPr>
      <w:r w:rsidRPr="00064619">
        <w:rPr>
          <w:rtl/>
        </w:rPr>
        <w:t>(</w:t>
      </w:r>
      <w:r w:rsidRPr="00064619">
        <w:rPr>
          <w:rtl/>
        </w:rPr>
        <w:footnoteRef/>
      </w:r>
      <w:r w:rsidRPr="00064619">
        <w:rPr>
          <w:rtl/>
        </w:rPr>
        <w:t>) كشف الأسرار: 180. وقد قام السيد الخميني بتأليف هذا الكتاب ردّاً على كتاب «أسرار هزار سال</w:t>
      </w:r>
      <w:r>
        <w:rPr>
          <w:rFonts w:hint="cs"/>
          <w:rtl/>
        </w:rPr>
        <w:t>ه</w:t>
      </w:r>
      <w:r w:rsidRPr="00064619">
        <w:rPr>
          <w:rtl/>
        </w:rPr>
        <w:t xml:space="preserve"> (أسرار الألف سنة)»، لحكمي زاده.</w:t>
      </w:r>
    </w:p>
  </w:footnote>
  <w:footnote w:id="252">
    <w:p w:rsidR="00F93F13" w:rsidRPr="00064619" w:rsidRDefault="00F93F13" w:rsidP="00064619">
      <w:pPr>
        <w:pStyle w:val="FootnoteText"/>
      </w:pPr>
      <w:r w:rsidRPr="00064619">
        <w:rPr>
          <w:rtl/>
        </w:rPr>
        <w:t>(</w:t>
      </w:r>
      <w:r w:rsidRPr="00064619">
        <w:rPr>
          <w:rtl/>
        </w:rPr>
        <w:footnoteRef/>
      </w:r>
      <w:r w:rsidRPr="00064619">
        <w:rPr>
          <w:rtl/>
        </w:rPr>
        <w:t>) يعتقد الشيخ جوادي الآملي أن «مسألة ولاية الفقيه في زمان الغيبة هي مسألة كلامية، مع حفظ كون فروعها فقهية...» (مقالة «إمامت وولايت» في كتاب پيرامون وحي ورهبري: 143). وحول موقع الولاية في المباحث الكلامية من وجهة نظر الشيخ الآملي راجع: مقالة «سيري در مباني ولايت فقيه»، مجلة «حكومت إسلامى» العدد الأول: 60 ـ 61، خريف، 1275. وقد ترجمت هذه المقالة في مجلة «قضايا إسلامية معاصرة» العدد الأول: 13، والعدد الثاني: 243، 1997 ـ 1998.</w:t>
      </w:r>
    </w:p>
  </w:footnote>
  <w:footnote w:id="253">
    <w:p w:rsidR="00F93F13" w:rsidRPr="00064619" w:rsidRDefault="00F93F13" w:rsidP="00064619">
      <w:pPr>
        <w:pStyle w:val="FootnoteText"/>
      </w:pPr>
      <w:r w:rsidRPr="00064619">
        <w:rPr>
          <w:rtl/>
        </w:rPr>
        <w:t>(</w:t>
      </w:r>
      <w:r w:rsidRPr="00064619">
        <w:rPr>
          <w:rtl/>
        </w:rPr>
        <w:footnoteRef/>
      </w:r>
      <w:r w:rsidRPr="00064619">
        <w:rPr>
          <w:rtl/>
        </w:rPr>
        <w:t xml:space="preserve">) راجع: </w:t>
      </w:r>
      <w:r>
        <w:rPr>
          <w:rFonts w:hint="cs"/>
          <w:rtl/>
        </w:rPr>
        <w:t xml:space="preserve">السيد </w:t>
      </w:r>
      <w:r w:rsidRPr="00064619">
        <w:rPr>
          <w:rtl/>
        </w:rPr>
        <w:t>الخميني، المكاسب المحرمة: 2: 106؛ صحيفه نور 9: 253.</w:t>
      </w:r>
    </w:p>
  </w:footnote>
  <w:footnote w:id="254">
    <w:p w:rsidR="00F93F13" w:rsidRPr="00064619" w:rsidRDefault="00F93F13" w:rsidP="00C03247">
      <w:pPr>
        <w:pStyle w:val="FootnoteText"/>
        <w:spacing w:line="182" w:lineRule="auto"/>
      </w:pPr>
      <w:r w:rsidRPr="00064619">
        <w:rPr>
          <w:rtl/>
        </w:rPr>
        <w:t>(</w:t>
      </w:r>
      <w:r w:rsidRPr="00064619">
        <w:rPr>
          <w:rtl/>
        </w:rPr>
        <w:footnoteRef/>
      </w:r>
      <w:r w:rsidRPr="00064619">
        <w:rPr>
          <w:rtl/>
        </w:rPr>
        <w:t>) راجع على سبيل المثال:</w:t>
      </w:r>
      <w:r>
        <w:rPr>
          <w:rFonts w:hint="cs"/>
          <w:rtl/>
        </w:rPr>
        <w:t xml:space="preserve"> السيد</w:t>
      </w:r>
      <w:r w:rsidRPr="00064619">
        <w:rPr>
          <w:rtl/>
        </w:rPr>
        <w:t xml:space="preserve"> الخميني، ولايت فقيه: 83.</w:t>
      </w:r>
    </w:p>
  </w:footnote>
  <w:footnote w:id="255">
    <w:p w:rsidR="00F93F13" w:rsidRPr="00064619" w:rsidRDefault="00F93F13" w:rsidP="00C03247">
      <w:pPr>
        <w:pStyle w:val="FootnoteText"/>
        <w:spacing w:line="182" w:lineRule="auto"/>
      </w:pPr>
      <w:r w:rsidRPr="00064619">
        <w:rPr>
          <w:rtl/>
        </w:rPr>
        <w:t>(</w:t>
      </w:r>
      <w:r w:rsidRPr="00064619">
        <w:rPr>
          <w:rtl/>
        </w:rPr>
        <w:footnoteRef/>
      </w:r>
      <w:r w:rsidRPr="00064619">
        <w:rPr>
          <w:rtl/>
        </w:rPr>
        <w:t>) عوائد الأيام: 529.</w:t>
      </w:r>
    </w:p>
  </w:footnote>
  <w:footnote w:id="256">
    <w:p w:rsidR="00F93F13" w:rsidRPr="00064619" w:rsidRDefault="00F93F13" w:rsidP="00C03247">
      <w:pPr>
        <w:pStyle w:val="FootnoteText"/>
        <w:spacing w:line="182" w:lineRule="auto"/>
      </w:pPr>
      <w:r w:rsidRPr="00064619">
        <w:rPr>
          <w:rtl/>
        </w:rPr>
        <w:t>(</w:t>
      </w:r>
      <w:r w:rsidRPr="00064619">
        <w:rPr>
          <w:rtl/>
        </w:rPr>
        <w:footnoteRef/>
      </w:r>
      <w:r w:rsidRPr="00064619">
        <w:rPr>
          <w:rtl/>
        </w:rPr>
        <w:t xml:space="preserve">) راجع على سبيل المثال: </w:t>
      </w:r>
      <w:r>
        <w:rPr>
          <w:rFonts w:hint="cs"/>
          <w:rtl/>
        </w:rPr>
        <w:t xml:space="preserve">السيد </w:t>
      </w:r>
      <w:r w:rsidRPr="00064619">
        <w:rPr>
          <w:rtl/>
        </w:rPr>
        <w:t>الخميني، كتاب البيع 2: 472، 483، 488، 489، 495 ـ 497؛ الرسائل 2: 119؛ تهذيب الأصول 2: 149.</w:t>
      </w:r>
    </w:p>
  </w:footnote>
  <w:footnote w:id="257">
    <w:p w:rsidR="00F93F13" w:rsidRPr="00064619" w:rsidRDefault="00F93F13" w:rsidP="00064619">
      <w:pPr>
        <w:pStyle w:val="FootnoteText"/>
      </w:pPr>
      <w:r w:rsidRPr="00064619">
        <w:rPr>
          <w:rtl/>
        </w:rPr>
        <w:t>(</w:t>
      </w:r>
      <w:r w:rsidRPr="00064619">
        <w:rPr>
          <w:rtl/>
        </w:rPr>
        <w:footnoteRef/>
      </w:r>
      <w:r w:rsidRPr="00064619">
        <w:rPr>
          <w:rtl/>
        </w:rPr>
        <w:t>) عوائد الأيام: 529.</w:t>
      </w:r>
    </w:p>
  </w:footnote>
  <w:footnote w:id="258">
    <w:p w:rsidR="00F93F13" w:rsidRPr="00064619" w:rsidRDefault="00F93F13" w:rsidP="00064619">
      <w:pPr>
        <w:pStyle w:val="FootnoteText"/>
      </w:pPr>
      <w:r w:rsidRPr="00064619">
        <w:rPr>
          <w:rtl/>
        </w:rPr>
        <w:t>(</w:t>
      </w:r>
      <w:r w:rsidRPr="00064619">
        <w:rPr>
          <w:rtl/>
        </w:rPr>
        <w:footnoteRef/>
      </w:r>
      <w:r w:rsidRPr="00064619">
        <w:rPr>
          <w:rtl/>
        </w:rPr>
        <w:t>) بلغة الفقيه 3: 211.</w:t>
      </w:r>
    </w:p>
  </w:footnote>
  <w:footnote w:id="259">
    <w:p w:rsidR="00F93F13" w:rsidRPr="00064619" w:rsidRDefault="00F93F13" w:rsidP="00064619">
      <w:pPr>
        <w:pStyle w:val="FootnoteText"/>
      </w:pPr>
      <w:r w:rsidRPr="00064619">
        <w:rPr>
          <w:rtl/>
        </w:rPr>
        <w:t>(</w:t>
      </w:r>
      <w:r w:rsidRPr="00064619">
        <w:rPr>
          <w:rtl/>
        </w:rPr>
        <w:footnoteRef/>
      </w:r>
      <w:r w:rsidRPr="00064619">
        <w:rPr>
          <w:rtl/>
        </w:rPr>
        <w:t>) ولاية الحكومة الإسلامية: 81. لم يتعرَّض السيد الخميني لمكانة الناس في نظام ولاية الفقيه في أيٍّ من كتبه الاستدلالية والفتوائية، ككتاب البيع، وتحرير الوسيلة، إلا أنه في خطبه المنشورة في صحيفة نور، وخصوصاً المقابلات التي أجراها في باريس، وخطاباته في طهران، أكدّ على المكانة الرفيعة للناس في نظام الجمهورية الإسلاميّة، كالشعار الذي طرحه «رأي الناس هو المعيار». وسوف نتعرَّض لاحقاً إلى موضوع مكانة وموقعية الشعب من الفكر السياسيّ للسيد الخمينيّ، ومراحل تطوّر الفكر السياسيّ عند مؤسِّس الجمهورية الإسلاميّة.</w:t>
      </w:r>
    </w:p>
  </w:footnote>
  <w:footnote w:id="260">
    <w:p w:rsidR="00F93F13" w:rsidRPr="00064619" w:rsidRDefault="00F93F13" w:rsidP="00064619">
      <w:pPr>
        <w:pStyle w:val="FootnoteText"/>
      </w:pPr>
      <w:r w:rsidRPr="00064619">
        <w:rPr>
          <w:rtl/>
        </w:rPr>
        <w:t>(</w:t>
      </w:r>
      <w:r w:rsidRPr="00064619">
        <w:rPr>
          <w:rtl/>
        </w:rPr>
        <w:footnoteRef/>
      </w:r>
      <w:r w:rsidRPr="00064619">
        <w:rPr>
          <w:rtl/>
        </w:rPr>
        <w:t>) مرتضى مطهري، حول الجمهورية الإسلامية: 153. وللتعرُّف إلى نظرية الشهيد الأستاذ مطهّري في الحكومة الإسلامية راجع كتابه: حول الثورة الإسلامية: 80 ـ 86.</w:t>
      </w:r>
    </w:p>
  </w:footnote>
  <w:footnote w:id="261">
    <w:p w:rsidR="00F93F13" w:rsidRPr="00064619" w:rsidRDefault="00F93F13" w:rsidP="00064619">
      <w:pPr>
        <w:pStyle w:val="FootnoteText"/>
      </w:pPr>
      <w:r w:rsidRPr="00064619">
        <w:rPr>
          <w:rtl/>
        </w:rPr>
        <w:t>(</w:t>
      </w:r>
      <w:r w:rsidRPr="00064619">
        <w:rPr>
          <w:rtl/>
        </w:rPr>
        <w:footnoteRef/>
      </w:r>
      <w:r w:rsidRPr="00064619">
        <w:rPr>
          <w:rtl/>
        </w:rPr>
        <w:t>) السيد كاظم الحائري، أساس الحكومة الإسلامية: 135 ـ 136، 175، 179.</w:t>
      </w:r>
    </w:p>
  </w:footnote>
  <w:footnote w:id="262">
    <w:p w:rsidR="00F93F13" w:rsidRPr="00064619" w:rsidRDefault="00F93F13" w:rsidP="00064619">
      <w:pPr>
        <w:pStyle w:val="FootnoteText"/>
      </w:pPr>
      <w:r w:rsidRPr="00064619">
        <w:rPr>
          <w:rtl/>
        </w:rPr>
        <w:t>(</w:t>
      </w:r>
      <w:r w:rsidRPr="00064619">
        <w:rPr>
          <w:rtl/>
        </w:rPr>
        <w:footnoteRef/>
      </w:r>
      <w:r w:rsidRPr="00064619">
        <w:rPr>
          <w:rtl/>
        </w:rPr>
        <w:t>) الحائري، الإمامة وقيادة المجتمع: 213 ـ 214. وفي كتابه ولاية الأمر في عصر الغيبة: 261 تناول موضوع قصور المجتمع من زاوية مختلفة.</w:t>
      </w:r>
    </w:p>
  </w:footnote>
  <w:footnote w:id="263">
    <w:p w:rsidR="00F93F13" w:rsidRPr="00064619" w:rsidRDefault="00F93F13" w:rsidP="00064619">
      <w:pPr>
        <w:pStyle w:val="FootnoteText"/>
      </w:pPr>
      <w:r w:rsidRPr="00064619">
        <w:rPr>
          <w:rtl/>
        </w:rPr>
        <w:t>(</w:t>
      </w:r>
      <w:r w:rsidRPr="00064619">
        <w:rPr>
          <w:rtl/>
        </w:rPr>
        <w:footnoteRef/>
      </w:r>
      <w:r w:rsidRPr="00064619">
        <w:rPr>
          <w:rtl/>
        </w:rPr>
        <w:t>) مؤمن القمّي، كلمات سديدة في مسائل جديدة، كلمة في مزاحمة أقدام الحكومة الإسلامية لحق الأشخاص: 16 ـ 18.</w:t>
      </w:r>
    </w:p>
  </w:footnote>
  <w:footnote w:id="264">
    <w:p w:rsidR="00F93F13" w:rsidRPr="00064619" w:rsidRDefault="00F93F13" w:rsidP="00064619">
      <w:pPr>
        <w:pStyle w:val="FootnoteText"/>
      </w:pPr>
      <w:r w:rsidRPr="00064619">
        <w:rPr>
          <w:rtl/>
        </w:rPr>
        <w:t>(</w:t>
      </w:r>
      <w:r w:rsidRPr="00064619">
        <w:rPr>
          <w:rtl/>
        </w:rPr>
        <w:footnoteRef/>
      </w:r>
      <w:r w:rsidRPr="00064619">
        <w:rPr>
          <w:rtl/>
        </w:rPr>
        <w:t>) جوادي الآملي، پيرامون وحي ورهبري: 177، 158 ـ 178، مقالة الإمامة والولاية.</w:t>
      </w:r>
    </w:p>
  </w:footnote>
  <w:footnote w:id="265">
    <w:p w:rsidR="00F93F13" w:rsidRPr="00064619" w:rsidRDefault="00F93F13" w:rsidP="00064619">
      <w:pPr>
        <w:pStyle w:val="FootnoteText"/>
      </w:pPr>
      <w:r w:rsidRPr="00064619">
        <w:rPr>
          <w:rtl/>
        </w:rPr>
        <w:t>(</w:t>
      </w:r>
      <w:r w:rsidRPr="00064619">
        <w:rPr>
          <w:rtl/>
        </w:rPr>
        <w:footnoteRef/>
      </w:r>
      <w:r w:rsidRPr="00064619">
        <w:rPr>
          <w:rtl/>
        </w:rPr>
        <w:t xml:space="preserve">) راجع: جوادي الآملي، پيرامون وحي ورهبري: 164 ـ 168. وقد قام بجهدٍ حثيث لنفي حقّ الانتخاب عن الناس، وإثبات تعيين الفقهاء للولاية، كما في الصفحات 160، 184 ـ 190. </w:t>
      </w:r>
    </w:p>
  </w:footnote>
  <w:footnote w:id="266">
    <w:p w:rsidR="00F93F13" w:rsidRPr="00064619" w:rsidRDefault="00F93F13" w:rsidP="00064619">
      <w:pPr>
        <w:pStyle w:val="FootnoteText"/>
      </w:pPr>
      <w:r w:rsidRPr="00064619">
        <w:rPr>
          <w:rtl/>
        </w:rPr>
        <w:t>(</w:t>
      </w:r>
      <w:r w:rsidRPr="00064619">
        <w:rPr>
          <w:rtl/>
        </w:rPr>
        <w:footnoteRef/>
      </w:r>
      <w:r w:rsidRPr="00064619">
        <w:rPr>
          <w:rtl/>
        </w:rPr>
        <w:t>) صرَّح السيد الخميني بنظرية التعيين في أهم كتبه الفقهية، كتاب البيع 2: 479 ـ 480، 485، 502؛ وفي تحرير الوسيلة 1: 482، خاتمة الأمر بالمعروف والنهي عن المنكر، المسألتان 1 و2؛ وفي كتاب ولاية الفقيه: 80، 84.</w:t>
      </w:r>
    </w:p>
  </w:footnote>
  <w:footnote w:id="267">
    <w:p w:rsidR="00F93F13" w:rsidRPr="00064619" w:rsidRDefault="00F93F13" w:rsidP="00064619">
      <w:pPr>
        <w:pStyle w:val="FootnoteText"/>
      </w:pPr>
      <w:r w:rsidRPr="00064619">
        <w:rPr>
          <w:rtl/>
        </w:rPr>
        <w:t>(</w:t>
      </w:r>
      <w:r w:rsidRPr="00064619">
        <w:rPr>
          <w:rtl/>
        </w:rPr>
        <w:footnoteRef/>
      </w:r>
      <w:r w:rsidRPr="00064619">
        <w:rPr>
          <w:rtl/>
        </w:rPr>
        <w:t>) راجع: مؤمن القمّي، كلمات سديدة في مسائل جديدة: 22، حيث يقول: «حكم الولاية مقتضاها أن لا خيرة لأحدٍ إذا قضى الوليّ في دائرة ولايته شيئاً، بل يجب إطاعته واتّباعه، وينفذ هذا القضاء على جميع مَنْ هم تحت الولاية». وراجع أيضاً: صورت مشروح مذاكرات بازنگري قانون أساس جمهوري إسلامي إيران 3: 1261، 1263، 1270، 641.</w:t>
      </w:r>
    </w:p>
  </w:footnote>
  <w:footnote w:id="268">
    <w:p w:rsidR="00F93F13" w:rsidRPr="00064619" w:rsidRDefault="00F93F13" w:rsidP="00064619">
      <w:pPr>
        <w:pStyle w:val="FootnoteText"/>
      </w:pPr>
      <w:r w:rsidRPr="00064619">
        <w:rPr>
          <w:rtl/>
        </w:rPr>
        <w:t>(</w:t>
      </w:r>
      <w:r w:rsidRPr="00064619">
        <w:rPr>
          <w:rtl/>
        </w:rPr>
        <w:footnoteRef/>
      </w:r>
      <w:r w:rsidRPr="00064619">
        <w:rPr>
          <w:rtl/>
        </w:rPr>
        <w:t>) قال الشيخ جوادي الآملي في بيانه التاريخي حول تسمية المرشح الأولى في الدورة السابعة لانتخابات رئاسة الجمهورية في إيران (سنة 1367هـ.ش / 1988 م)، وفي سياق شرح المباني الفقهية لهذا الانتخاب: «إن (المعيّة) مع الوليّ المشار إليها (سورة النور: 62) تعني أنه على رئيس الجمهورية القادم أن يعتقد بأنْ ليست مخالفة القائد (الولي) رافعة للمشروعيّة فقط، بل عليه الاعتقاد بأنّ موافقة الوليّ شرط للصحة. وعليه إحراز إجازته السابقة، سواء أكان تصريحاً أم تلميحاً أم فحوى</w:t>
      </w:r>
      <w:r>
        <w:rPr>
          <w:rFonts w:hint="cs"/>
          <w:rtl/>
        </w:rPr>
        <w:t>،لا</w:t>
      </w:r>
      <w:r w:rsidRPr="00064619">
        <w:rPr>
          <w:rtl/>
        </w:rPr>
        <w:t xml:space="preserve"> الاقتصار على إمضائه اللاحق فقط.</w:t>
      </w:r>
    </w:p>
  </w:footnote>
  <w:footnote w:id="269">
    <w:p w:rsidR="00F93F13" w:rsidRPr="00064619" w:rsidRDefault="00F93F13" w:rsidP="00064619">
      <w:pPr>
        <w:pStyle w:val="FootnoteText"/>
      </w:pPr>
      <w:r w:rsidRPr="00064619">
        <w:rPr>
          <w:rtl/>
        </w:rPr>
        <w:t>(</w:t>
      </w:r>
      <w:r w:rsidRPr="00064619">
        <w:rPr>
          <w:rtl/>
        </w:rPr>
        <w:footnoteRef/>
      </w:r>
      <w:r w:rsidRPr="00064619">
        <w:rPr>
          <w:rtl/>
        </w:rPr>
        <w:t>) كلمات سديدة في مسائل جديدة: 20: «إن مشروعية مجلس التشريع والتقنين مثل سائر الدوائر المختلفة في نظام الولاية موقوفة على رأي وليّ المسلمين، فإنه هو الذي جعله الله تعالى ولياً عليهم. فإذا رأى مصلحة الأمة في تأسيس مجلس تقنين يجتمع فيه وكلاء الناس وممثِّلوهم كان رأيه وعزمه لازم الاتباع، وهو الموجب لصيرورة آرائهم آراء لازمة التبعية وذات قيمة، وإلاّ فالملاك والأصل هو ما رآه وليّ أمر المسلمين».</w:t>
      </w:r>
    </w:p>
  </w:footnote>
  <w:footnote w:id="270">
    <w:p w:rsidR="00F93F13" w:rsidRPr="00064619" w:rsidRDefault="00F93F13" w:rsidP="00C03247">
      <w:pPr>
        <w:pStyle w:val="FootnoteText"/>
        <w:spacing w:line="199" w:lineRule="auto"/>
      </w:pPr>
      <w:r w:rsidRPr="00064619">
        <w:rPr>
          <w:rtl/>
        </w:rPr>
        <w:t>(</w:t>
      </w:r>
      <w:r w:rsidRPr="00064619">
        <w:rPr>
          <w:rtl/>
        </w:rPr>
        <w:footnoteRef/>
      </w:r>
      <w:r w:rsidRPr="00064619">
        <w:rPr>
          <w:rtl/>
        </w:rPr>
        <w:t>) المصدر نفسه: 12: «فهيكلية الحكومة ونظامها ناشئة عن إرادته واستصوابه واختياره، لا أن حدود اختياره ناشئة عن هيكلية ونظام هو أيضاً جزء منه. فعنه النظام، لا أنه عن النظام». انظر أيضاً: المصدر نفسه: 11 ـ 12.</w:t>
      </w:r>
    </w:p>
  </w:footnote>
  <w:footnote w:id="271">
    <w:p w:rsidR="00F93F13" w:rsidRPr="00064619" w:rsidRDefault="00F93F13" w:rsidP="00064619">
      <w:pPr>
        <w:pStyle w:val="FootnoteText"/>
      </w:pPr>
      <w:r w:rsidRPr="00064619">
        <w:rPr>
          <w:rtl/>
        </w:rPr>
        <w:t>(</w:t>
      </w:r>
      <w:r w:rsidRPr="00064619">
        <w:rPr>
          <w:rtl/>
        </w:rPr>
        <w:footnoteRef/>
      </w:r>
      <w:r w:rsidRPr="00064619">
        <w:rPr>
          <w:rtl/>
        </w:rPr>
        <w:t>) المصدر نفسه.</w:t>
      </w:r>
    </w:p>
  </w:footnote>
  <w:footnote w:id="272">
    <w:p w:rsidR="00F93F13" w:rsidRPr="00064619" w:rsidRDefault="00F93F13" w:rsidP="00064619">
      <w:pPr>
        <w:pStyle w:val="FootnoteText"/>
      </w:pPr>
      <w:r w:rsidRPr="00064619">
        <w:rPr>
          <w:rtl/>
        </w:rPr>
        <w:t>(</w:t>
      </w:r>
      <w:r w:rsidRPr="00064619">
        <w:rPr>
          <w:rtl/>
        </w:rPr>
        <w:footnoteRef/>
      </w:r>
      <w:r w:rsidRPr="00064619">
        <w:rPr>
          <w:rtl/>
        </w:rPr>
        <w:t xml:space="preserve">) جوادي الآملي، حول الوحي والقيادة: 170 ـ 174. </w:t>
      </w:r>
    </w:p>
  </w:footnote>
  <w:footnote w:id="273">
    <w:p w:rsidR="00F93F13" w:rsidRPr="00064619" w:rsidRDefault="00F93F13" w:rsidP="00064619">
      <w:pPr>
        <w:pStyle w:val="FootnoteText"/>
      </w:pPr>
      <w:r w:rsidRPr="00064619">
        <w:rPr>
          <w:rtl/>
        </w:rPr>
        <w:t>(</w:t>
      </w:r>
      <w:r w:rsidRPr="00064619">
        <w:rPr>
          <w:rtl/>
        </w:rPr>
        <w:footnoteRef/>
      </w:r>
      <w:r w:rsidRPr="00064619">
        <w:rPr>
          <w:rtl/>
        </w:rPr>
        <w:t>) راجع: تحرير الوسيلة 1: 483.</w:t>
      </w:r>
    </w:p>
  </w:footnote>
  <w:footnote w:id="274">
    <w:p w:rsidR="00F93F13" w:rsidRPr="00064619" w:rsidRDefault="00F93F13" w:rsidP="00064619">
      <w:pPr>
        <w:pStyle w:val="FootnoteText"/>
      </w:pPr>
      <w:r w:rsidRPr="00064619">
        <w:rPr>
          <w:rtl/>
        </w:rPr>
        <w:t>(</w:t>
      </w:r>
      <w:r w:rsidRPr="00064619">
        <w:rPr>
          <w:rtl/>
        </w:rPr>
        <w:footnoteRef/>
      </w:r>
      <w:r w:rsidRPr="00064619">
        <w:rPr>
          <w:rtl/>
        </w:rPr>
        <w:t>) الشيخ جوادي الآملي، مقالة «سيرى در مباني ولاية فقيه»، في فصيلة حكومت إسلامي، العدد الأول: 65، خريف 1375هـ.ش،. وقد ترجمت هذه المقالة في مجلة «قضايا إسلامية معاصرة»، العدد الأول: 13، والعدد الثاني: 243، 1997 ـ 1998.</w:t>
      </w:r>
    </w:p>
  </w:footnote>
  <w:footnote w:id="275">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168: «ص 122: القيادة هي للمجتهد العادل الكفؤ ما دام حيّاً، وليست مؤقَّتةً». انظر: «مشروح مذاكرات شوراي بازنگرى قانون أساس جمهوري إسلامي إيران»، رسالة جماعة المدرّسين في حوزة قم إلى هذه الشورى في خصوص لغوية التقييد الزماني لولاية الولي الفقيه بعشر سنوات 3: 1209 ـ 1261، 1284.</w:t>
      </w:r>
    </w:p>
  </w:footnote>
  <w:footnote w:id="276">
    <w:p w:rsidR="00F93F13" w:rsidRPr="00064619" w:rsidRDefault="00F93F13" w:rsidP="00064619">
      <w:pPr>
        <w:pStyle w:val="FootnoteText"/>
      </w:pPr>
      <w:r w:rsidRPr="00064619">
        <w:rPr>
          <w:rtl/>
        </w:rPr>
        <w:t>(</w:t>
      </w:r>
      <w:r w:rsidRPr="00064619">
        <w:rPr>
          <w:rtl/>
        </w:rPr>
        <w:footnoteRef/>
      </w:r>
      <w:r w:rsidRPr="00064619">
        <w:rPr>
          <w:rtl/>
        </w:rPr>
        <w:t>) راجع: الشيخ أحمد آذري القمي، ﭘرسش وﭘاسخهاي مذهبي سياسي واجتماعي: 205، قم، 1372هـ.ش.</w:t>
      </w:r>
    </w:p>
  </w:footnote>
  <w:footnote w:id="277">
    <w:p w:rsidR="00F93F13" w:rsidRPr="00064619" w:rsidRDefault="00F93F13" w:rsidP="00064619">
      <w:pPr>
        <w:pStyle w:val="FootnoteText"/>
      </w:pPr>
      <w:r w:rsidRPr="00064619">
        <w:rPr>
          <w:rtl/>
        </w:rPr>
        <w:t>(</w:t>
      </w:r>
      <w:r w:rsidRPr="00064619">
        <w:rPr>
          <w:rtl/>
        </w:rPr>
        <w:footnoteRef/>
      </w:r>
      <w:r w:rsidRPr="00064619">
        <w:rPr>
          <w:rtl/>
        </w:rPr>
        <w:t>) حول الوحي والقيادة: 159، 160.</w:t>
      </w:r>
    </w:p>
  </w:footnote>
  <w:footnote w:id="278">
    <w:p w:rsidR="00F93F13" w:rsidRPr="00064619" w:rsidRDefault="00F93F13" w:rsidP="00064619">
      <w:pPr>
        <w:pStyle w:val="FootnoteText"/>
      </w:pPr>
      <w:r w:rsidRPr="00064619">
        <w:rPr>
          <w:rtl/>
        </w:rPr>
        <w:t>(</w:t>
      </w:r>
      <w:r w:rsidRPr="00064619">
        <w:rPr>
          <w:rtl/>
        </w:rPr>
        <w:footnoteRef/>
      </w:r>
      <w:r w:rsidRPr="00064619">
        <w:rPr>
          <w:rtl/>
        </w:rPr>
        <w:t>) المصدر نفسه: 168 ـ 169؛ ومشروح مذاكرات شوراي بازنگرى قانون أساس جمهوري إسلامي إيران: 219، 220، 673، 676، 700.</w:t>
      </w:r>
    </w:p>
  </w:footnote>
  <w:footnote w:id="279">
    <w:p w:rsidR="00F93F13" w:rsidRPr="00064619" w:rsidRDefault="00F93F13" w:rsidP="00064619">
      <w:pPr>
        <w:pStyle w:val="FootnoteText"/>
      </w:pPr>
      <w:r w:rsidRPr="00064619">
        <w:rPr>
          <w:rtl/>
        </w:rPr>
        <w:t>(</w:t>
      </w:r>
      <w:r w:rsidRPr="00064619">
        <w:rPr>
          <w:rtl/>
        </w:rPr>
        <w:footnoteRef/>
      </w:r>
      <w:r w:rsidRPr="00064619">
        <w:rPr>
          <w:rtl/>
        </w:rPr>
        <w:t xml:space="preserve">) راجع: </w:t>
      </w:r>
      <w:r>
        <w:rPr>
          <w:rFonts w:hint="cs"/>
          <w:rtl/>
        </w:rPr>
        <w:t xml:space="preserve">السيد </w:t>
      </w:r>
      <w:r w:rsidRPr="00064619">
        <w:rPr>
          <w:rtl/>
        </w:rPr>
        <w:t>الخميني، كتاب البيع 2: 472 ـ 489.</w:t>
      </w:r>
    </w:p>
  </w:footnote>
  <w:footnote w:id="280">
    <w:p w:rsidR="00F93F13" w:rsidRPr="00064619" w:rsidRDefault="00F93F13" w:rsidP="00064619">
      <w:pPr>
        <w:pStyle w:val="FootnoteText"/>
      </w:pPr>
      <w:r w:rsidRPr="00064619">
        <w:rPr>
          <w:rtl/>
        </w:rPr>
        <w:t>(</w:t>
      </w:r>
      <w:r w:rsidRPr="00064619">
        <w:rPr>
          <w:rtl/>
        </w:rPr>
        <w:footnoteRef/>
      </w:r>
      <w:r w:rsidRPr="00064619">
        <w:rPr>
          <w:rtl/>
        </w:rPr>
        <w:t>) راجع: حول الوحي والقيادة: 62 ـ 190، الفصل 13.</w:t>
      </w:r>
    </w:p>
  </w:footnote>
  <w:footnote w:id="281">
    <w:p w:rsidR="00F93F13" w:rsidRPr="00064619" w:rsidRDefault="00F93F13" w:rsidP="00064619">
      <w:pPr>
        <w:pStyle w:val="FootnoteText"/>
      </w:pPr>
      <w:r w:rsidRPr="00064619">
        <w:rPr>
          <w:rtl/>
        </w:rPr>
        <w:t>(</w:t>
      </w:r>
      <w:r w:rsidRPr="00064619">
        <w:rPr>
          <w:rtl/>
        </w:rPr>
        <w:footnoteRef/>
      </w:r>
      <w:r w:rsidRPr="00064619">
        <w:rPr>
          <w:rtl/>
        </w:rPr>
        <w:t>) المصدر نفسه: 160.</w:t>
      </w:r>
    </w:p>
  </w:footnote>
  <w:footnote w:id="282">
    <w:p w:rsidR="00F93F13" w:rsidRPr="00064619" w:rsidRDefault="00F93F13" w:rsidP="00064619">
      <w:pPr>
        <w:pStyle w:val="FootnoteText"/>
      </w:pPr>
      <w:r w:rsidRPr="00064619">
        <w:rPr>
          <w:rtl/>
        </w:rPr>
        <w:t>(</w:t>
      </w:r>
      <w:r w:rsidRPr="00064619">
        <w:rPr>
          <w:rtl/>
        </w:rPr>
        <w:footnoteRef/>
      </w:r>
      <w:r w:rsidRPr="00064619">
        <w:rPr>
          <w:rtl/>
        </w:rPr>
        <w:t xml:space="preserve">) </w:t>
      </w:r>
      <w:r>
        <w:rPr>
          <w:rFonts w:hint="cs"/>
          <w:rtl/>
        </w:rPr>
        <w:t xml:space="preserve">السيد </w:t>
      </w:r>
      <w:r w:rsidRPr="00064619">
        <w:rPr>
          <w:rtl/>
        </w:rPr>
        <w:t>الخميني، كتاب البيع 2: 495.</w:t>
      </w:r>
    </w:p>
  </w:footnote>
  <w:footnote w:id="283">
    <w:p w:rsidR="00F93F13" w:rsidRPr="00064619" w:rsidRDefault="00F93F13" w:rsidP="00DD2A48">
      <w:pPr>
        <w:pStyle w:val="FootnoteText"/>
      </w:pPr>
      <w:r w:rsidRPr="00064619">
        <w:rPr>
          <w:rtl/>
        </w:rPr>
        <w:t>(</w:t>
      </w:r>
      <w:r w:rsidRPr="00064619">
        <w:rPr>
          <w:rtl/>
        </w:rPr>
        <w:footnoteRef/>
      </w:r>
      <w:r w:rsidRPr="00064619">
        <w:rPr>
          <w:rtl/>
        </w:rPr>
        <w:t>) جوادي الآملي، حول الوحي والقيادة: 189: «إنّ تغيير نظام الولاية على أمور المسلمين من التنصيب من قِبَل المعصومين</w:t>
      </w:r>
      <w:r>
        <w:rPr>
          <w:rFonts w:hint="cs"/>
          <w:rtl/>
        </w:rPr>
        <w:t>^</w:t>
      </w:r>
      <w:r w:rsidRPr="00064619">
        <w:rPr>
          <w:rtl/>
        </w:rPr>
        <w:t xml:space="preserve"> إلى الانتخاب من قِبَل الناس، ليس وارداً؛ إذ يؤدّي إلى زوال القدسية عن مقام الإمامة، وتنزيله إلى مستوى الرئاسة البشريّة. وتشهد لشيء من هذا المعنى وكالة الناس عن بعضهم البعض».</w:t>
      </w:r>
    </w:p>
  </w:footnote>
  <w:footnote w:id="284">
    <w:p w:rsidR="00F93F13" w:rsidRPr="00064619" w:rsidRDefault="00F93F13" w:rsidP="00064619">
      <w:pPr>
        <w:pStyle w:val="FootnoteText"/>
      </w:pPr>
      <w:r w:rsidRPr="00064619">
        <w:rPr>
          <w:rtl/>
        </w:rPr>
        <w:t>(</w:t>
      </w:r>
      <w:r w:rsidRPr="00064619">
        <w:rPr>
          <w:rtl/>
        </w:rPr>
        <w:footnoteRef/>
      </w:r>
      <w:r w:rsidRPr="00064619">
        <w:rPr>
          <w:rtl/>
        </w:rPr>
        <w:t>) جوادي الآملي، مقالة «سيرى در مباني ولايت فقيه»، المنشورة في فصليّة حكومت إسلامي، العدد الأول: 55 ـ 58، خريف 1375هـ.ش. وقد ترجمت هذه المقالة في مجلة «قضايا إسلامية معاصرة» العدد الأول: 13، والعدد الثاني: 243، 1997ـ 1998.</w:t>
      </w:r>
    </w:p>
  </w:footnote>
  <w:footnote w:id="285">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489. وخصوصاً في مسألة معارضة الفقيه مع فقيه آخر: 514 ـ 520: «لا يستفاد من أدلة الولاية ولاية الفقهاء بعضهم على بعض، بل لا يعقل أن يكون فقيه ولياً على فقيه ومولى عليه له» (كتاب البيع 2: 517).</w:t>
      </w:r>
    </w:p>
  </w:footnote>
  <w:footnote w:id="286">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الحكومة الإسلامية: 83: «...لكنّ الفقيه ليس له ولاية مطلقة بنحو يشمل كلّ فقهاء عصره، ويتمكن بحسبها من عزل فقيه آخر أو نصبه. فليست ثمة مراتب ودرجات بهذا المعنى، بنحو يكون البعض في مرتبة أعلى، بينما البعض في مرتبة أسفل منه».</w:t>
      </w:r>
    </w:p>
  </w:footnote>
  <w:footnote w:id="287">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519.</w:t>
      </w:r>
    </w:p>
  </w:footnote>
  <w:footnote w:id="288">
    <w:p w:rsidR="00F93F13" w:rsidRPr="00064619" w:rsidRDefault="00F93F13" w:rsidP="00064619">
      <w:pPr>
        <w:pStyle w:val="FootnoteText"/>
      </w:pPr>
      <w:r w:rsidRPr="00064619">
        <w:rPr>
          <w:rtl/>
        </w:rPr>
        <w:t>(</w:t>
      </w:r>
      <w:r w:rsidRPr="00064619">
        <w:rPr>
          <w:rtl/>
        </w:rPr>
        <w:footnoteRef/>
      </w:r>
      <w:r w:rsidRPr="00064619">
        <w:rPr>
          <w:rtl/>
        </w:rPr>
        <w:t>) سوف نتوسَّع في هذا البحث لاحقاً. وفي هذا المجال راجع: الحائري، ولاية الأمر في عصر الغيبة، نفوذ حكم الولي على سائر الفقهاء وحالة العلم بخطأ الولي: 257 ـ 271.</w:t>
      </w:r>
    </w:p>
  </w:footnote>
  <w:footnote w:id="289">
    <w:p w:rsidR="00F93F13" w:rsidRPr="00064619" w:rsidRDefault="00F93F13" w:rsidP="00064619">
      <w:pPr>
        <w:pStyle w:val="FootnoteText"/>
      </w:pPr>
      <w:r w:rsidRPr="00064619">
        <w:rPr>
          <w:rtl/>
        </w:rPr>
        <w:t>(</w:t>
      </w:r>
      <w:r w:rsidRPr="00064619">
        <w:rPr>
          <w:rtl/>
        </w:rPr>
        <w:footnoteRef/>
      </w:r>
      <w:r w:rsidRPr="00064619">
        <w:rPr>
          <w:rtl/>
        </w:rPr>
        <w:t xml:space="preserve">) راجع: </w:t>
      </w:r>
      <w:r>
        <w:rPr>
          <w:rFonts w:hint="cs"/>
          <w:rtl/>
        </w:rPr>
        <w:t xml:space="preserve">السيد </w:t>
      </w:r>
      <w:r w:rsidRPr="00064619">
        <w:rPr>
          <w:rtl/>
        </w:rPr>
        <w:t>الخميني، المكاسب المحرمة 2: 106: «فالسلطنة بشؤونها وفروعها لهم من قبله تعالى، ولا يجوز لأحدٍ التصرف فيها وتقلّدها أصلاً وفرعاً؛ لأن تقلّدها غصب، والتصرُّف فيها وفي شؤونها كائنة ما كانت تصرُّف في سلطان الغير». وراجع أيضاً: صحيفه نور 9: 253.</w:t>
      </w:r>
    </w:p>
  </w:footnote>
  <w:footnote w:id="290">
    <w:p w:rsidR="00F93F13" w:rsidRPr="00064619" w:rsidRDefault="00F93F13" w:rsidP="00064619">
      <w:pPr>
        <w:pStyle w:val="FootnoteText"/>
      </w:pPr>
      <w:r w:rsidRPr="00064619">
        <w:rPr>
          <w:rtl/>
        </w:rPr>
        <w:t>(</w:t>
      </w:r>
      <w:r w:rsidRPr="00064619">
        <w:rPr>
          <w:rtl/>
        </w:rPr>
        <w:footnoteRef/>
      </w:r>
      <w:r w:rsidRPr="00064619">
        <w:rPr>
          <w:rtl/>
        </w:rPr>
        <w:t xml:space="preserve">) رسائل المحقّق الكركي 1: 142؛ عوائد الأيام: 529، عائدة ولاية الفقهاء؛ العناوين: 355؛ جواهر الكلام 21: 395، 22: 155، 40: 10؛ خزائن الأحكام: (بدون رقم صفحة)؛ الهمداني، مصباح الفقيه، الخمس: 161؛ بلغة الفقيه 3: 231؛ النجفي، كتاب حكم نافذ: 238؛ رسالة هداية الأنام في حكم أموال الإمام (الطبعة الحجرية): 14؛ النائيني، المكاسب والبيع (تقريرات أبحاثه بقلم: الشيخ محمد تقي الآملي) 1: 336؛ الفردوس الأعلى: 53، 54؛ البدر الزاهر في صلاة الجمعة والمسافر: 71؛ </w:t>
      </w:r>
      <w:r>
        <w:rPr>
          <w:rFonts w:hint="cs"/>
          <w:rtl/>
        </w:rPr>
        <w:t xml:space="preserve">السيد </w:t>
      </w:r>
      <w:r w:rsidRPr="00064619">
        <w:rPr>
          <w:rtl/>
        </w:rPr>
        <w:t>الخميني، كتاب البيع 2: 459، مهذَّب الأحكام 1: 121، 11: 276، 16: 401؛ الگلپايگاني، الهداية إلى مَنْ له الولاية: 46.</w:t>
      </w:r>
    </w:p>
  </w:footnote>
  <w:footnote w:id="291">
    <w:p w:rsidR="00F93F13" w:rsidRPr="00064619" w:rsidRDefault="00F93F13" w:rsidP="00064619">
      <w:pPr>
        <w:pStyle w:val="FootnoteText"/>
      </w:pPr>
      <w:r w:rsidRPr="00064619">
        <w:rPr>
          <w:rtl/>
        </w:rPr>
        <w:t>(</w:t>
      </w:r>
      <w:r w:rsidRPr="00064619">
        <w:rPr>
          <w:rtl/>
        </w:rPr>
        <w:footnoteRef/>
      </w:r>
      <w:r w:rsidRPr="00064619">
        <w:rPr>
          <w:rtl/>
        </w:rPr>
        <w:t>) راجع: الخوئي، التنقيح في شرح العروة الوثقى، الاجتهاد والتقليد (تقرير أبحاثه بقلم: الميرزا الغروي التبريزي): 424؛ الخوانساري، جامع المدارك في شرح المختصر النافع 3: 100؛ الحكيم، نهج الفقاهة: 300.</w:t>
      </w:r>
    </w:p>
  </w:footnote>
  <w:footnote w:id="292">
    <w:p w:rsidR="00F93F13" w:rsidRPr="00064619" w:rsidRDefault="00F93F13" w:rsidP="00064619">
      <w:pPr>
        <w:pStyle w:val="FootnoteText"/>
      </w:pPr>
      <w:r w:rsidRPr="00064619">
        <w:rPr>
          <w:rtl/>
        </w:rPr>
        <w:t>(</w:t>
      </w:r>
      <w:r w:rsidRPr="00064619">
        <w:rPr>
          <w:rtl/>
        </w:rPr>
        <w:footnoteRef/>
      </w:r>
      <w:r w:rsidRPr="00064619">
        <w:rPr>
          <w:rtl/>
        </w:rPr>
        <w:t>) راجع: التبريزي، إرشاد الطالب إلى التعليق على المكاسب 3: 25 ـ 26.</w:t>
      </w:r>
    </w:p>
  </w:footnote>
  <w:footnote w:id="293">
    <w:p w:rsidR="00F93F13" w:rsidRPr="00064619" w:rsidRDefault="00F93F13" w:rsidP="00064619">
      <w:pPr>
        <w:pStyle w:val="FootnoteText"/>
      </w:pPr>
      <w:r w:rsidRPr="00064619">
        <w:rPr>
          <w:rtl/>
        </w:rPr>
        <w:t>(</w:t>
      </w:r>
      <w:r w:rsidRPr="00064619">
        <w:rPr>
          <w:rtl/>
        </w:rPr>
        <w:footnoteRef/>
      </w:r>
      <w:r w:rsidRPr="00064619">
        <w:rPr>
          <w:rtl/>
        </w:rPr>
        <w:t>) النائيني، تنبيه الأمة وتنزيه الملة: 317، النسخة التي ترجمها إلى العربية توفيق سيف، بعنوان (ضد الاستبداد الفقه السياسيّ الشيعيّ في عصر الغيبة ـ قراءة في رسالة تنبيه الأمّة وتنزيه الملّة).</w:t>
      </w:r>
    </w:p>
  </w:footnote>
  <w:footnote w:id="294">
    <w:p w:rsidR="00F93F13" w:rsidRPr="00064619" w:rsidRDefault="00F93F13" w:rsidP="00064619">
      <w:pPr>
        <w:pStyle w:val="FootnoteText"/>
      </w:pPr>
      <w:r w:rsidRPr="00064619">
        <w:rPr>
          <w:rtl/>
        </w:rPr>
        <w:t>(</w:t>
      </w:r>
      <w:r w:rsidRPr="00064619">
        <w:rPr>
          <w:rtl/>
        </w:rPr>
        <w:footnoteRef/>
      </w:r>
      <w:r w:rsidRPr="00064619">
        <w:rPr>
          <w:rtl/>
        </w:rPr>
        <w:t>) راجع: الحائري، ولاية الأمر في عصر الغيبة: 92 ـ 93.</w:t>
      </w:r>
    </w:p>
  </w:footnote>
  <w:footnote w:id="295">
    <w:p w:rsidR="00F93F13" w:rsidRPr="00064619" w:rsidRDefault="00F93F13" w:rsidP="00064619">
      <w:pPr>
        <w:pStyle w:val="FootnoteText"/>
      </w:pPr>
      <w:r w:rsidRPr="00064619">
        <w:rPr>
          <w:rtl/>
        </w:rPr>
        <w:t>(</w:t>
      </w:r>
      <w:r w:rsidRPr="00064619">
        <w:rPr>
          <w:rtl/>
        </w:rPr>
        <w:footnoteRef/>
      </w:r>
      <w:r w:rsidRPr="00064619">
        <w:rPr>
          <w:rtl/>
        </w:rPr>
        <w:t>) التبريزي، إرشاد الطالب إلى التعليق على المكاسب 3: 36 ـ 40.</w:t>
      </w:r>
    </w:p>
  </w:footnote>
  <w:footnote w:id="296">
    <w:p w:rsidR="00F93F13" w:rsidRPr="00064619" w:rsidRDefault="00F93F13" w:rsidP="00064619">
      <w:pPr>
        <w:pStyle w:val="FootnoteText"/>
      </w:pPr>
      <w:r w:rsidRPr="00064619">
        <w:rPr>
          <w:rtl/>
        </w:rPr>
        <w:t>(</w:t>
      </w:r>
      <w:r w:rsidRPr="00064619">
        <w:rPr>
          <w:rtl/>
        </w:rPr>
        <w:footnoteRef/>
      </w:r>
      <w:r w:rsidRPr="00064619">
        <w:rPr>
          <w:rtl/>
        </w:rPr>
        <w:t>) ولاية الأمر في عصر الغيبة: 93.</w:t>
      </w:r>
    </w:p>
  </w:footnote>
  <w:footnote w:id="297">
    <w:p w:rsidR="00F93F13" w:rsidRPr="00064619" w:rsidRDefault="00F93F13" w:rsidP="00064619">
      <w:pPr>
        <w:pStyle w:val="FootnoteText"/>
      </w:pPr>
      <w:r w:rsidRPr="00064619">
        <w:rPr>
          <w:rtl/>
        </w:rPr>
        <w:t>(</w:t>
      </w:r>
      <w:r w:rsidRPr="00064619">
        <w:rPr>
          <w:rtl/>
        </w:rPr>
        <w:footnoteRef/>
      </w:r>
      <w:r w:rsidRPr="00064619">
        <w:rPr>
          <w:rtl/>
        </w:rPr>
        <w:t>) ولاية الأمر في عصر الغيبة: 93.</w:t>
      </w:r>
    </w:p>
  </w:footnote>
  <w:footnote w:id="298">
    <w:p w:rsidR="00F93F13" w:rsidRPr="00064619" w:rsidRDefault="00F93F13" w:rsidP="00064619">
      <w:pPr>
        <w:pStyle w:val="FootnoteText"/>
      </w:pPr>
      <w:r w:rsidRPr="00064619">
        <w:rPr>
          <w:rtl/>
        </w:rPr>
        <w:t>(</w:t>
      </w:r>
      <w:r w:rsidRPr="00064619">
        <w:rPr>
          <w:rtl/>
        </w:rPr>
        <w:footnoteRef/>
      </w:r>
      <w:r w:rsidRPr="00064619">
        <w:rPr>
          <w:rtl/>
        </w:rPr>
        <w:t>) راجع: اليزدي، العروة الوثقى 1: 16 ـ 17، باب الاجتهاد والتقليد، مسألة 51، وتعليقات الفقهاء عليها. وهذه المسألة تشير إلى قبول أو عدم قبول الولاية من قبل الفقهاء.</w:t>
      </w:r>
    </w:p>
  </w:footnote>
  <w:footnote w:id="299">
    <w:p w:rsidR="00F93F13" w:rsidRPr="00064619" w:rsidRDefault="00F93F13" w:rsidP="00064619">
      <w:pPr>
        <w:pStyle w:val="FootnoteText"/>
      </w:pPr>
      <w:r w:rsidRPr="00064619">
        <w:rPr>
          <w:rtl/>
        </w:rPr>
        <w:t>(</w:t>
      </w:r>
      <w:r w:rsidRPr="00064619">
        <w:rPr>
          <w:rtl/>
        </w:rPr>
        <w:footnoteRef/>
      </w:r>
      <w:r w:rsidRPr="00064619">
        <w:rPr>
          <w:rtl/>
        </w:rPr>
        <w:t>) راجع: كشف الغطاء عن مبهمات الشريعة الغراء 4: 245.</w:t>
      </w:r>
    </w:p>
  </w:footnote>
  <w:footnote w:id="300">
    <w:p w:rsidR="00F93F13" w:rsidRPr="00064619" w:rsidRDefault="00F93F13" w:rsidP="00064619">
      <w:pPr>
        <w:pStyle w:val="FootnoteText"/>
      </w:pPr>
      <w:r w:rsidRPr="00064619">
        <w:rPr>
          <w:rtl/>
        </w:rPr>
        <w:t>(</w:t>
      </w:r>
      <w:r w:rsidRPr="00064619">
        <w:rPr>
          <w:rtl/>
        </w:rPr>
        <w:footnoteRef/>
      </w:r>
      <w:r w:rsidRPr="00064619">
        <w:rPr>
          <w:rtl/>
        </w:rPr>
        <w:t>) راجع: الشيخ المفيد، المقنعة: 657: «إنْ مات (الوصيّ) كان الناظر في أمور المسلمين يتولّى إنفاذ الوصية على حسب ما كان على الوصي أن ينفذها».</w:t>
      </w:r>
    </w:p>
  </w:footnote>
  <w:footnote w:id="301">
    <w:p w:rsidR="00F93F13" w:rsidRPr="00064619" w:rsidRDefault="00F93F13" w:rsidP="00064619">
      <w:pPr>
        <w:pStyle w:val="FootnoteText"/>
      </w:pPr>
      <w:r w:rsidRPr="00064619">
        <w:rPr>
          <w:rtl/>
        </w:rPr>
        <w:t>(</w:t>
      </w:r>
      <w:r w:rsidRPr="00064619">
        <w:rPr>
          <w:rtl/>
        </w:rPr>
        <w:footnoteRef/>
      </w:r>
      <w:r w:rsidRPr="00064619">
        <w:rPr>
          <w:rtl/>
        </w:rPr>
        <w:t>) راجع: ابن إدريس الحلّي، السرائر 2: 193: «إذا مات الإنسان من غير الوصية كان على الناظر في أمور المسلمين أن يقيم له ناظراً ينظر في مصلحة الورثة».</w:t>
      </w:r>
    </w:p>
  </w:footnote>
  <w:footnote w:id="302">
    <w:p w:rsidR="00F93F13" w:rsidRPr="00064619" w:rsidRDefault="00F93F13" w:rsidP="00064619">
      <w:pPr>
        <w:pStyle w:val="FootnoteText"/>
      </w:pPr>
      <w:r w:rsidRPr="00064619">
        <w:rPr>
          <w:rtl/>
        </w:rPr>
        <w:t>(</w:t>
      </w:r>
      <w:r w:rsidRPr="00064619">
        <w:rPr>
          <w:rtl/>
        </w:rPr>
        <w:footnoteRef/>
      </w:r>
      <w:r w:rsidRPr="00064619">
        <w:rPr>
          <w:rtl/>
        </w:rPr>
        <w:t>) الطوسي، النهاية: 607: «إذا مات الوصي كان على الناظر في أمر المسلمين أن يقيم من ينظر في ذلك». ومثله في: سلار الديلمي، المراسم العلوية: 207.</w:t>
      </w:r>
    </w:p>
  </w:footnote>
  <w:footnote w:id="303">
    <w:p w:rsidR="00F93F13" w:rsidRPr="00064619" w:rsidRDefault="00F93F13" w:rsidP="00064619">
      <w:pPr>
        <w:pStyle w:val="FootnoteText"/>
      </w:pPr>
      <w:r w:rsidRPr="00064619">
        <w:rPr>
          <w:rtl/>
        </w:rPr>
        <w:t>(</w:t>
      </w:r>
      <w:r w:rsidRPr="00064619">
        <w:rPr>
          <w:rtl/>
        </w:rPr>
        <w:footnoteRef/>
      </w:r>
      <w:r w:rsidRPr="00064619">
        <w:rPr>
          <w:rtl/>
        </w:rPr>
        <w:t xml:space="preserve">) إصباح الشيعة بمصباح الشريعة، للصهرشتي، (سلسلة الينابيع الفقهية) 12: 209: «لا يجوز للوصي صرف شيءٍ من مال الوصية في غير وجه المأمور به، فإنْ فعل أو اختار ضمن المال، وعلى الناظر في أمر المسلمين أن يعزله ويقيم أميناً مقامه». </w:t>
      </w:r>
    </w:p>
  </w:footnote>
  <w:footnote w:id="304">
    <w:p w:rsidR="00F93F13" w:rsidRPr="00064619" w:rsidRDefault="00F93F13" w:rsidP="00064619">
      <w:pPr>
        <w:pStyle w:val="FootnoteText"/>
      </w:pPr>
      <w:r w:rsidRPr="00064619">
        <w:rPr>
          <w:rtl/>
        </w:rPr>
        <w:t>(</w:t>
      </w:r>
      <w:r w:rsidRPr="00064619">
        <w:rPr>
          <w:rtl/>
        </w:rPr>
        <w:footnoteRef/>
      </w:r>
      <w:r w:rsidRPr="00064619">
        <w:rPr>
          <w:rtl/>
        </w:rPr>
        <w:t>) غنية النزوع، للسيد أبي زهرة، (الجوامع الفقهية): 591: «إذا ضعف الوصي عما أسند إليه فعلى الناظر في مصالح المسلمين أن يعضده بقويّ أمين».</w:t>
      </w:r>
    </w:p>
  </w:footnote>
  <w:footnote w:id="305">
    <w:p w:rsidR="00F93F13" w:rsidRPr="00064619" w:rsidRDefault="00F93F13" w:rsidP="00064619">
      <w:pPr>
        <w:pStyle w:val="FootnoteText"/>
      </w:pPr>
      <w:r w:rsidRPr="00064619">
        <w:rPr>
          <w:rtl/>
        </w:rPr>
        <w:t>(</w:t>
      </w:r>
      <w:r w:rsidRPr="00064619">
        <w:rPr>
          <w:rtl/>
        </w:rPr>
        <w:footnoteRef/>
      </w:r>
      <w:r w:rsidRPr="00064619">
        <w:rPr>
          <w:rtl/>
        </w:rPr>
        <w:t>) الطوسيّ، النهاية: 317: «للناظر في أمور المسلمين ولحاكمهم أن يوكل على سفهائهم وأيتامهم ونواقص عقولهم مَنْ يطالب بحقوقهم ويحتجّ عنهم ولهم»؛ غنية النزوع، للسيد أبي زهرة، (الجوامع الفقهية): 591: «إذا كان الشريك غير كامل العقل فلوليه أو الناظر في أمور المسلمين المطالبة بالشفعة».</w:t>
      </w:r>
    </w:p>
  </w:footnote>
  <w:footnote w:id="306">
    <w:p w:rsidR="00F93F13" w:rsidRPr="00064619" w:rsidRDefault="00F93F13" w:rsidP="00CF6991">
      <w:pPr>
        <w:pStyle w:val="FootnoteText"/>
        <w:spacing w:line="182" w:lineRule="auto"/>
      </w:pPr>
      <w:r w:rsidRPr="00064619">
        <w:rPr>
          <w:rtl/>
        </w:rPr>
        <w:t>(</w:t>
      </w:r>
      <w:r w:rsidRPr="00064619">
        <w:rPr>
          <w:rtl/>
        </w:rPr>
        <w:footnoteRef/>
      </w:r>
      <w:r>
        <w:rPr>
          <w:rtl/>
        </w:rPr>
        <w:t>) راجع</w:t>
      </w:r>
      <w:r>
        <w:rPr>
          <w:rFonts w:hint="cs"/>
          <w:rtl/>
        </w:rPr>
        <w:t xml:space="preserve"> تحقيق</w:t>
      </w:r>
      <w:r>
        <w:rPr>
          <w:rtl/>
        </w:rPr>
        <w:t>: «</w:t>
      </w:r>
      <w:r>
        <w:rPr>
          <w:rFonts w:hint="cs"/>
          <w:rtl/>
        </w:rPr>
        <w:t>الحكومة الاسلامية في فكر فقهاء الشيعة من البدايات حتى السيد المجاهد</w:t>
      </w:r>
      <w:r>
        <w:rPr>
          <w:rFonts w:ascii="Mosawi" w:hAnsi="Mosawi"/>
          <w:rtl/>
        </w:rPr>
        <w:t>»</w:t>
      </w:r>
      <w:r>
        <w:rPr>
          <w:rFonts w:hint="cs"/>
          <w:rtl/>
        </w:rPr>
        <w:t xml:space="preserve"> (الفارسية)</w:t>
      </w:r>
      <w:r>
        <w:rPr>
          <w:rtl/>
        </w:rPr>
        <w:t xml:space="preserve"> </w:t>
      </w:r>
      <w:r>
        <w:rPr>
          <w:rFonts w:hint="cs"/>
          <w:rtl/>
        </w:rPr>
        <w:t>للشيخ م</w:t>
      </w:r>
      <w:r w:rsidRPr="00064619">
        <w:rPr>
          <w:rtl/>
        </w:rPr>
        <w:t>حمد كاظم رحمان ستايش، بمساعدة نعمت الله صفري، معاونت أنديشه إسلامى مركز تحقيقات إستراتيژيك.</w:t>
      </w:r>
    </w:p>
  </w:footnote>
  <w:footnote w:id="307">
    <w:p w:rsidR="00F93F13" w:rsidRPr="00064619" w:rsidRDefault="00F93F13" w:rsidP="00CF6991">
      <w:pPr>
        <w:pStyle w:val="FootnoteText"/>
        <w:spacing w:line="182" w:lineRule="auto"/>
      </w:pPr>
      <w:r w:rsidRPr="00064619">
        <w:rPr>
          <w:rtl/>
        </w:rPr>
        <w:t>(</w:t>
      </w:r>
      <w:r w:rsidRPr="00064619">
        <w:rPr>
          <w:rtl/>
        </w:rPr>
        <w:footnoteRef/>
      </w:r>
      <w:r w:rsidRPr="00064619">
        <w:rPr>
          <w:rtl/>
        </w:rPr>
        <w:t>) راجع: كشف الغطاء عن مبهمات الشريعة الغرّاء 4: 247؛ تحرير الوسيلة 2: 84.</w:t>
      </w:r>
    </w:p>
  </w:footnote>
  <w:footnote w:id="308">
    <w:p w:rsidR="00F93F13" w:rsidRPr="00064619" w:rsidRDefault="00F93F13" w:rsidP="00CF6991">
      <w:pPr>
        <w:pStyle w:val="FootnoteText"/>
        <w:spacing w:line="182" w:lineRule="auto"/>
      </w:pPr>
      <w:r w:rsidRPr="00064619">
        <w:rPr>
          <w:rtl/>
        </w:rPr>
        <w:t>(</w:t>
      </w:r>
      <w:r w:rsidRPr="00064619">
        <w:rPr>
          <w:rtl/>
        </w:rPr>
        <w:footnoteRef/>
      </w:r>
      <w:r w:rsidRPr="00064619">
        <w:rPr>
          <w:rtl/>
        </w:rPr>
        <w:t>) متمِّم القانون الأساس، المصوب في 29 شعبان 1324هـ (15 مهر 1286هـ.ش)، الأصل الثاني: 15، مجموعه مصوبات أدوار أول ودوّم قانونگذاري مجلس شوراي ملي.</w:t>
      </w:r>
    </w:p>
  </w:footnote>
  <w:footnote w:id="309">
    <w:p w:rsidR="00F93F13" w:rsidRPr="00064619" w:rsidRDefault="00F93F13" w:rsidP="00CF6991">
      <w:pPr>
        <w:pStyle w:val="FootnoteText"/>
        <w:spacing w:line="182" w:lineRule="auto"/>
      </w:pPr>
      <w:r w:rsidRPr="00064619">
        <w:rPr>
          <w:rtl/>
        </w:rPr>
        <w:t>(</w:t>
      </w:r>
      <w:r w:rsidRPr="00064619">
        <w:rPr>
          <w:rtl/>
        </w:rPr>
        <w:footnoteRef/>
      </w:r>
      <w:r w:rsidRPr="00064619">
        <w:rPr>
          <w:rtl/>
        </w:rPr>
        <w:t>) راجع: محمد تركمان، رسائل إعلامي ها، مكتوبات و... روزنامه شيخ شهيد فضل الله نوري، ج 1 و2.</w:t>
      </w:r>
    </w:p>
  </w:footnote>
  <w:footnote w:id="310">
    <w:p w:rsidR="00F93F13" w:rsidRPr="00064619" w:rsidRDefault="00F93F13" w:rsidP="00064619">
      <w:pPr>
        <w:pStyle w:val="FootnoteText"/>
      </w:pPr>
      <w:r w:rsidRPr="00064619">
        <w:rPr>
          <w:rtl/>
        </w:rPr>
        <w:t>(</w:t>
      </w:r>
      <w:r w:rsidRPr="00064619">
        <w:rPr>
          <w:rtl/>
        </w:rPr>
        <w:footnoteRef/>
      </w:r>
      <w:r w:rsidRPr="00064619">
        <w:rPr>
          <w:rtl/>
        </w:rPr>
        <w:t>) تنبيه الأمة وتنزيه الملة لميرزا النائيني، ص 98.</w:t>
      </w:r>
    </w:p>
  </w:footnote>
  <w:footnote w:id="311">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كشف الأسرار: 210.</w:t>
      </w:r>
    </w:p>
  </w:footnote>
  <w:footnote w:id="312">
    <w:p w:rsidR="00F93F13" w:rsidRPr="00064619" w:rsidRDefault="00F93F13" w:rsidP="00064619">
      <w:pPr>
        <w:pStyle w:val="FootnoteText"/>
      </w:pPr>
      <w:r w:rsidRPr="00064619">
        <w:rPr>
          <w:rtl/>
        </w:rPr>
        <w:t>(</w:t>
      </w:r>
      <w:r w:rsidRPr="00064619">
        <w:rPr>
          <w:rtl/>
        </w:rPr>
        <w:footnoteRef/>
      </w:r>
      <w:r w:rsidRPr="00064619">
        <w:rPr>
          <w:rtl/>
        </w:rPr>
        <w:t>) المصدر نفسه: 218.</w:t>
      </w:r>
    </w:p>
  </w:footnote>
  <w:footnote w:id="313">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صحيفه نور 4: 206.</w:t>
      </w:r>
    </w:p>
  </w:footnote>
  <w:footnote w:id="314">
    <w:p w:rsidR="00F93F13" w:rsidRPr="00064619" w:rsidRDefault="00F93F13" w:rsidP="00064619">
      <w:pPr>
        <w:pStyle w:val="FootnoteText"/>
      </w:pPr>
      <w:r w:rsidRPr="00064619">
        <w:rPr>
          <w:rtl/>
        </w:rPr>
        <w:t>(</w:t>
      </w:r>
      <w:r w:rsidRPr="00064619">
        <w:rPr>
          <w:rtl/>
        </w:rPr>
        <w:footnoteRef/>
      </w:r>
      <w:r w:rsidRPr="00064619">
        <w:rPr>
          <w:rtl/>
        </w:rPr>
        <w:t>) المصدر نفسه 4: 215.</w:t>
      </w:r>
    </w:p>
  </w:footnote>
  <w:footnote w:id="315">
    <w:p w:rsidR="00F93F13" w:rsidRPr="00064619" w:rsidRDefault="00F93F13" w:rsidP="00064619">
      <w:pPr>
        <w:pStyle w:val="FootnoteText"/>
      </w:pPr>
      <w:r w:rsidRPr="00064619">
        <w:rPr>
          <w:rtl/>
        </w:rPr>
        <w:t>(</w:t>
      </w:r>
      <w:r w:rsidRPr="00064619">
        <w:rPr>
          <w:rtl/>
        </w:rPr>
        <w:footnoteRef/>
      </w:r>
      <w:r w:rsidRPr="00064619">
        <w:rPr>
          <w:rtl/>
        </w:rPr>
        <w:t>) المصدر نفسه 3: 107. وراجع أيضاً: 3: 56، 75، 88، 96.</w:t>
      </w:r>
    </w:p>
  </w:footnote>
  <w:footnote w:id="316">
    <w:p w:rsidR="00F93F13" w:rsidRPr="00064619" w:rsidRDefault="00F93F13" w:rsidP="00064619">
      <w:pPr>
        <w:pStyle w:val="FootnoteText"/>
      </w:pPr>
      <w:r w:rsidRPr="00064619">
        <w:rPr>
          <w:rtl/>
        </w:rPr>
        <w:t>(</w:t>
      </w:r>
      <w:r w:rsidRPr="00064619">
        <w:rPr>
          <w:rtl/>
        </w:rPr>
        <w:footnoteRef/>
      </w:r>
      <w:r w:rsidRPr="00064619">
        <w:rPr>
          <w:rtl/>
        </w:rPr>
        <w:t>) المصدر نفسه 22: 128.</w:t>
      </w:r>
    </w:p>
  </w:footnote>
  <w:footnote w:id="317">
    <w:p w:rsidR="00F93F13" w:rsidRPr="00064619" w:rsidRDefault="00F93F13" w:rsidP="00CF6991">
      <w:pPr>
        <w:pStyle w:val="FootnoteText"/>
        <w:spacing w:line="180" w:lineRule="auto"/>
      </w:pPr>
      <w:r w:rsidRPr="00064619">
        <w:rPr>
          <w:rtl/>
        </w:rPr>
        <w:t>(</w:t>
      </w:r>
      <w:r w:rsidRPr="00064619">
        <w:rPr>
          <w:rtl/>
        </w:rPr>
        <w:footnoteRef/>
      </w:r>
      <w:r w:rsidRPr="00064619">
        <w:rPr>
          <w:rtl/>
        </w:rPr>
        <w:t>) المصدر نفسه 16: 211 ـ 212.</w:t>
      </w:r>
    </w:p>
  </w:footnote>
  <w:footnote w:id="318">
    <w:p w:rsidR="00F93F13" w:rsidRPr="00064619" w:rsidRDefault="00F93F13" w:rsidP="00064619">
      <w:pPr>
        <w:pStyle w:val="FootnoteText"/>
      </w:pPr>
      <w:r w:rsidRPr="00064619">
        <w:rPr>
          <w:rtl/>
        </w:rPr>
        <w:t>(</w:t>
      </w:r>
      <w:r w:rsidRPr="00064619">
        <w:rPr>
          <w:rtl/>
        </w:rPr>
        <w:footnoteRef/>
      </w:r>
      <w:r w:rsidRPr="00064619">
        <w:rPr>
          <w:rtl/>
        </w:rPr>
        <w:t>) المصدر نفسه 18: 178.</w:t>
      </w:r>
    </w:p>
  </w:footnote>
  <w:footnote w:id="319">
    <w:p w:rsidR="00F93F13" w:rsidRPr="00064619" w:rsidRDefault="00F93F13" w:rsidP="00064619">
      <w:pPr>
        <w:pStyle w:val="FootnoteText"/>
      </w:pPr>
      <w:r w:rsidRPr="00064619">
        <w:rPr>
          <w:rtl/>
        </w:rPr>
        <w:t>(</w:t>
      </w:r>
      <w:r w:rsidRPr="00064619">
        <w:rPr>
          <w:rtl/>
        </w:rPr>
        <w:footnoteRef/>
      </w:r>
      <w:r w:rsidRPr="00064619">
        <w:rPr>
          <w:rtl/>
        </w:rPr>
        <w:t>) مطهري، حول الثورة الإسلامية: 86. وفي تتمة هذا البحث يقوم بإثبات الانسجام بين نظرية ولاية الفقيه (على أساس رؤيته المذكورة) وبين حقّ الشعب في الحكم.</w:t>
      </w:r>
    </w:p>
  </w:footnote>
  <w:footnote w:id="320">
    <w:p w:rsidR="00F93F13" w:rsidRPr="00064619" w:rsidRDefault="00F93F13" w:rsidP="00DD2A48">
      <w:pPr>
        <w:pStyle w:val="FootnoteText"/>
      </w:pPr>
      <w:r w:rsidRPr="00064619">
        <w:rPr>
          <w:rtl/>
        </w:rPr>
        <w:t>(</w:t>
      </w:r>
      <w:r w:rsidRPr="00064619">
        <w:rPr>
          <w:rtl/>
        </w:rPr>
        <w:footnoteRef/>
      </w:r>
      <w:r w:rsidRPr="00064619">
        <w:rPr>
          <w:rtl/>
        </w:rPr>
        <w:t>) مطهري، حول الثورة الإسلامية: 185 ـ 186، بحث (المؤسَّسة الدينية والثورة الإسلامية). وأيضاً راجع الآراء الأخيرة للأستاذ الشهيد في مقابلةٍ أجريت معه قبل أسبوعين من استشهاده، في كتاب حول الجمهورية الإسلامية: 25 ـ 27.</w:t>
      </w:r>
    </w:p>
  </w:footnote>
  <w:footnote w:id="321">
    <w:p w:rsidR="00F93F13" w:rsidRPr="00064619" w:rsidRDefault="00F93F13" w:rsidP="00CF6991">
      <w:pPr>
        <w:pStyle w:val="FootnoteText"/>
        <w:spacing w:line="182" w:lineRule="auto"/>
      </w:pPr>
      <w:r w:rsidRPr="00064619">
        <w:rPr>
          <w:rtl/>
        </w:rPr>
        <w:t>(</w:t>
      </w:r>
      <w:r w:rsidRPr="00064619">
        <w:rPr>
          <w:rtl/>
        </w:rPr>
        <w:footnoteRef/>
      </w:r>
      <w:r w:rsidRPr="00064619">
        <w:rPr>
          <w:rtl/>
        </w:rPr>
        <w:t>) الشيخ منتظري، ولاية فقيه وقانون أساسي، المنشور في مجلة راه نو، العدد 18 ـ 19، 7 تير 1377.</w:t>
      </w:r>
    </w:p>
  </w:footnote>
  <w:footnote w:id="322">
    <w:p w:rsidR="00F93F13" w:rsidRPr="00064619" w:rsidRDefault="00F93F13" w:rsidP="00CF6991">
      <w:pPr>
        <w:pStyle w:val="FootnoteText"/>
        <w:spacing w:line="182" w:lineRule="auto"/>
      </w:pPr>
      <w:r w:rsidRPr="00064619">
        <w:rPr>
          <w:rtl/>
        </w:rPr>
        <w:t>(</w:t>
      </w:r>
      <w:r w:rsidRPr="00064619">
        <w:rPr>
          <w:rtl/>
        </w:rPr>
        <w:footnoteRef/>
      </w:r>
      <w:r w:rsidRPr="00064619">
        <w:rPr>
          <w:rtl/>
        </w:rPr>
        <w:t>) السيد محمد باقر الصدر، مجموعة الإسلام يقود الحياة، (بيروت، 1399هـ).</w:t>
      </w:r>
    </w:p>
  </w:footnote>
  <w:footnote w:id="323">
    <w:p w:rsidR="00F93F13" w:rsidRPr="00064619" w:rsidRDefault="00F93F13" w:rsidP="00DD2A48">
      <w:pPr>
        <w:pStyle w:val="FootnoteText"/>
      </w:pPr>
      <w:r w:rsidRPr="00064619">
        <w:rPr>
          <w:rtl/>
        </w:rPr>
        <w:t>(</w:t>
      </w:r>
      <w:r w:rsidRPr="00064619">
        <w:rPr>
          <w:rtl/>
        </w:rPr>
        <w:footnoteRef/>
      </w:r>
      <w:r w:rsidRPr="00064619">
        <w:rPr>
          <w:rtl/>
        </w:rPr>
        <w:t>) نظريات الحكومة المبتنية على المشروعية الإلهيّة الشعبيّة هي عبارة عن: الدولة الدستورية (</w:t>
      </w:r>
      <w:r>
        <w:rPr>
          <w:rtl/>
        </w:rPr>
        <w:t xml:space="preserve">تحت إذن وإشراف الفقهاء)، خلافة </w:t>
      </w:r>
      <w:r>
        <w:rPr>
          <w:rFonts w:hint="cs"/>
          <w:rtl/>
        </w:rPr>
        <w:t>الناس</w:t>
      </w:r>
      <w:r w:rsidRPr="00064619">
        <w:rPr>
          <w:rtl/>
        </w:rPr>
        <w:t xml:space="preserve"> </w:t>
      </w:r>
      <w:r>
        <w:rPr>
          <w:rFonts w:hint="cs"/>
          <w:rtl/>
        </w:rPr>
        <w:t>واشراف المرجعية</w:t>
      </w:r>
      <w:r w:rsidRPr="00064619">
        <w:rPr>
          <w:rtl/>
        </w:rPr>
        <w:t xml:space="preserve">، الولاية الانتخابية المقيدة للفقيه، الدولة الإسلامية </w:t>
      </w:r>
      <w:r>
        <w:rPr>
          <w:rtl/>
        </w:rPr>
        <w:t>الانتخابية</w:t>
      </w:r>
      <w:r>
        <w:rPr>
          <w:rFonts w:hint="cs"/>
          <w:rtl/>
        </w:rPr>
        <w:t xml:space="preserve"> </w:t>
      </w:r>
      <w:r w:rsidRPr="00064619">
        <w:rPr>
          <w:rtl/>
        </w:rPr>
        <w:t>ووكالة الملاك الشخصيّين للمشاع.</w:t>
      </w:r>
    </w:p>
  </w:footnote>
  <w:footnote w:id="324">
    <w:p w:rsidR="00F93F13" w:rsidRPr="00064619" w:rsidRDefault="00F93F13" w:rsidP="00064619">
      <w:pPr>
        <w:pStyle w:val="FootnoteText"/>
      </w:pPr>
      <w:r w:rsidRPr="00064619">
        <w:rPr>
          <w:rtl/>
        </w:rPr>
        <w:t>(</w:t>
      </w:r>
      <w:r w:rsidRPr="00064619">
        <w:rPr>
          <w:rtl/>
        </w:rPr>
        <w:footnoteRef/>
      </w:r>
      <w:r w:rsidRPr="00064619">
        <w:rPr>
          <w:rtl/>
        </w:rPr>
        <w:t>) الشيخ منتظري، دراسات في ولاية الفقيه وفقه الدولة الإسلامية 1: 575 ـ 576، ونظريته مبتنية على القسم الثالث من الوكالة (المعاهدة اللازمة).</w:t>
      </w:r>
    </w:p>
  </w:footnote>
  <w:footnote w:id="325">
    <w:p w:rsidR="00F93F13" w:rsidRPr="00064619" w:rsidRDefault="00F93F13" w:rsidP="00064619">
      <w:pPr>
        <w:pStyle w:val="FootnoteText"/>
      </w:pPr>
      <w:r w:rsidRPr="00064619">
        <w:rPr>
          <w:rtl/>
        </w:rPr>
        <w:t>(</w:t>
      </w:r>
      <w:r w:rsidRPr="00064619">
        <w:rPr>
          <w:rtl/>
        </w:rPr>
        <w:footnoteRef/>
      </w:r>
      <w:r w:rsidRPr="00064619">
        <w:rPr>
          <w:rtl/>
        </w:rPr>
        <w:t>) راجع: جوادي الآملي، حول الوحي والقيادة: 158 ـ 159، مقالة الإمامة والولاية.</w:t>
      </w:r>
    </w:p>
  </w:footnote>
  <w:footnote w:id="326">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وفقه الدولة الإسلامية 1: 575.</w:t>
      </w:r>
    </w:p>
  </w:footnote>
  <w:footnote w:id="327">
    <w:p w:rsidR="00F93F13" w:rsidRPr="00064619" w:rsidRDefault="00F93F13" w:rsidP="00064619">
      <w:pPr>
        <w:pStyle w:val="FootnoteText"/>
      </w:pPr>
      <w:r w:rsidRPr="00064619">
        <w:rPr>
          <w:rtl/>
        </w:rPr>
        <w:t>(</w:t>
      </w:r>
      <w:r w:rsidRPr="00064619">
        <w:rPr>
          <w:rtl/>
        </w:rPr>
        <w:footnoteRef/>
      </w:r>
      <w:r w:rsidRPr="00064619">
        <w:rPr>
          <w:rtl/>
        </w:rPr>
        <w:t>) شرائع الإسلام في مسائل الحلال والحرام 2: 193، القسم الثاني من العقود، كتاب الوكالة.</w:t>
      </w:r>
    </w:p>
  </w:footnote>
  <w:footnote w:id="328">
    <w:p w:rsidR="00F93F13" w:rsidRPr="00064619" w:rsidRDefault="00F93F13" w:rsidP="00064619">
      <w:pPr>
        <w:pStyle w:val="FootnoteText"/>
      </w:pPr>
      <w:r w:rsidRPr="00064619">
        <w:rPr>
          <w:rtl/>
        </w:rPr>
        <w:t>(</w:t>
      </w:r>
      <w:r w:rsidRPr="00064619">
        <w:rPr>
          <w:rtl/>
        </w:rPr>
        <w:footnoteRef/>
      </w:r>
      <w:r w:rsidRPr="00064619">
        <w:rPr>
          <w:rtl/>
        </w:rPr>
        <w:t>) جواهر الكلام في شرح شرائع الإسلام 27: 377 ـ 386.</w:t>
      </w:r>
    </w:p>
  </w:footnote>
  <w:footnote w:id="329">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165.</w:t>
      </w:r>
    </w:p>
  </w:footnote>
  <w:footnote w:id="330">
    <w:p w:rsidR="00F93F13" w:rsidRPr="00064619" w:rsidRDefault="00F93F13" w:rsidP="00064619">
      <w:pPr>
        <w:pStyle w:val="FootnoteText"/>
      </w:pPr>
      <w:r w:rsidRPr="00064619">
        <w:rPr>
          <w:rtl/>
        </w:rPr>
        <w:t>(</w:t>
      </w:r>
      <w:r w:rsidRPr="00064619">
        <w:rPr>
          <w:rtl/>
        </w:rPr>
        <w:footnoteRef/>
      </w:r>
      <w:r w:rsidRPr="00064619">
        <w:rPr>
          <w:rtl/>
        </w:rPr>
        <w:t>) جواهر الكلام 27: 377 ـ 388.</w:t>
      </w:r>
    </w:p>
  </w:footnote>
  <w:footnote w:id="331">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159.</w:t>
      </w:r>
    </w:p>
  </w:footnote>
  <w:footnote w:id="332">
    <w:p w:rsidR="00F93F13" w:rsidRPr="00064619" w:rsidRDefault="00F93F13" w:rsidP="00064619">
      <w:pPr>
        <w:pStyle w:val="FootnoteText"/>
      </w:pPr>
      <w:r w:rsidRPr="00064619">
        <w:rPr>
          <w:rtl/>
        </w:rPr>
        <w:t>(</w:t>
      </w:r>
      <w:r w:rsidRPr="00064619">
        <w:rPr>
          <w:rtl/>
        </w:rPr>
        <w:footnoteRef/>
      </w:r>
      <w:r w:rsidRPr="00064619">
        <w:rPr>
          <w:rtl/>
        </w:rPr>
        <w:t>) جواهر الكلام 27: 287 ـ 293.</w:t>
      </w:r>
    </w:p>
  </w:footnote>
  <w:footnote w:id="333">
    <w:p w:rsidR="00F93F13" w:rsidRPr="00064619" w:rsidRDefault="00F93F13" w:rsidP="00064619">
      <w:pPr>
        <w:pStyle w:val="FootnoteText"/>
      </w:pPr>
      <w:r w:rsidRPr="00064619">
        <w:rPr>
          <w:rtl/>
        </w:rPr>
        <w:t>(</w:t>
      </w:r>
      <w:r w:rsidRPr="00064619">
        <w:rPr>
          <w:rtl/>
        </w:rPr>
        <w:footnoteRef/>
      </w:r>
      <w:r w:rsidRPr="00064619">
        <w:rPr>
          <w:rtl/>
        </w:rPr>
        <w:t>) يمكن عزل الوكيل قبل انقضاء مدة الوكالة، إلا في حال توفر أمرين: الأول: اشتراط عدم العزل؛ والثاني: أن يكون الشرط ملزماً، سواء كان ابتدائياً أو شرطاً في عقد جائز.</w:t>
      </w:r>
    </w:p>
  </w:footnote>
  <w:footnote w:id="334">
    <w:p w:rsidR="00F93F13" w:rsidRPr="00064619" w:rsidRDefault="00F93F13" w:rsidP="00DD2A48">
      <w:pPr>
        <w:pStyle w:val="FootnoteText"/>
      </w:pPr>
      <w:r w:rsidRPr="00064619">
        <w:rPr>
          <w:rtl/>
        </w:rPr>
        <w:t>(</w:t>
      </w:r>
      <w:r w:rsidRPr="00064619">
        <w:rPr>
          <w:rtl/>
        </w:rPr>
        <w:footnoteRef/>
      </w:r>
      <w:r w:rsidRPr="00064619">
        <w:rPr>
          <w:rtl/>
        </w:rPr>
        <w:t>) «وفقاً للدستور فإن مجلس الخبراء يسمي الفقيه الجامع للشرائط، ثم يَعْرضه على الناس، وعليهم أن يتولونه (يقبلون ولايته)، لا أن يوكِّلوه. وفي أثناء صياغة الدستور الأول قام البعض باقتراح يقضي بأنّ «الناس ينتخبون»، ولكنْ تمّ إصلاح الدستور على نحو «الناس يقبلون»، وحينها طرح في مجلس الخبراء سؤال حول الفرق بين «ينتخبون» و«يقبلون»؟ أجبنا: الأول هو توكيل، والثاني تولّي. فإن الناس يقبلون الولي الفقيه أي ولاء الفقه والعدل، لا أنهم يوكلونه وينتخبونه» الشيخ جوادى الآملي، مقالة «سيري در مباني ولايت فقيه»، المنشورة في فصلية حكومت إسلامي، العدد الأول: 65، خريف 1357، وقد ترجمت هذه المقالة في مجلة «قضايا إسلامية معاصرة»، العدد الأول: 13، والعدد الثاني: 243، 1997ـ 1998.</w:t>
      </w:r>
    </w:p>
  </w:footnote>
  <w:footnote w:id="335">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168.</w:t>
      </w:r>
    </w:p>
  </w:footnote>
  <w:footnote w:id="336">
    <w:p w:rsidR="00F93F13" w:rsidRPr="00064619" w:rsidRDefault="00F93F13" w:rsidP="00064619">
      <w:pPr>
        <w:pStyle w:val="FootnoteText"/>
      </w:pPr>
      <w:r w:rsidRPr="00064619">
        <w:rPr>
          <w:rtl/>
        </w:rPr>
        <w:t>(</w:t>
      </w:r>
      <w:r w:rsidRPr="00064619">
        <w:rPr>
          <w:rtl/>
        </w:rPr>
        <w:footnoteRef/>
      </w:r>
      <w:r w:rsidRPr="00064619">
        <w:rPr>
          <w:rtl/>
        </w:rPr>
        <w:t>) جواهر الكلام 27: 356.</w:t>
      </w:r>
    </w:p>
  </w:footnote>
  <w:footnote w:id="337">
    <w:p w:rsidR="00F93F13" w:rsidRPr="00064619" w:rsidRDefault="00F93F13" w:rsidP="00064619">
      <w:pPr>
        <w:pStyle w:val="FootnoteText"/>
      </w:pPr>
      <w:r w:rsidRPr="00064619">
        <w:rPr>
          <w:rtl/>
        </w:rPr>
        <w:t>(</w:t>
      </w:r>
      <w:r w:rsidRPr="00064619">
        <w:rPr>
          <w:rtl/>
        </w:rPr>
        <w:footnoteRef/>
      </w:r>
      <w:r w:rsidRPr="00064619">
        <w:rPr>
          <w:rtl/>
        </w:rPr>
        <w:t>) المصدر نفسه 27: 360.</w:t>
      </w:r>
    </w:p>
  </w:footnote>
  <w:footnote w:id="338">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161.</w:t>
      </w:r>
    </w:p>
  </w:footnote>
  <w:footnote w:id="339">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160.</w:t>
      </w:r>
    </w:p>
  </w:footnote>
  <w:footnote w:id="340">
    <w:p w:rsidR="00F93F13" w:rsidRPr="00064619" w:rsidRDefault="00F93F13" w:rsidP="00064619">
      <w:pPr>
        <w:pStyle w:val="FootnoteText"/>
      </w:pPr>
      <w:r w:rsidRPr="00064619">
        <w:rPr>
          <w:rtl/>
        </w:rPr>
        <w:t>(</w:t>
      </w:r>
      <w:r w:rsidRPr="00064619">
        <w:rPr>
          <w:rtl/>
        </w:rPr>
        <w:footnoteRef/>
      </w:r>
      <w:r w:rsidRPr="00064619">
        <w:rPr>
          <w:rtl/>
        </w:rPr>
        <w:t>) لا تعدّ الفقاهة شرطاً في الحاكم في نظريتَيْ الدولة الإسلامية المنتخبة، ووكالة الملاّك الشخصيّين للمشاع (راجع: محسن كديور، نظريات الحكم في الفقه الشيعي: 158 ـ 188، طهران، نشر ني، 1376هـ.ش).</w:t>
      </w:r>
    </w:p>
  </w:footnote>
  <w:footnote w:id="341">
    <w:p w:rsidR="00F93F13" w:rsidRPr="00064619" w:rsidRDefault="00F93F13" w:rsidP="00064619">
      <w:pPr>
        <w:pStyle w:val="FootnoteText"/>
        <w:rPr>
          <w:rtl/>
        </w:rPr>
      </w:pPr>
      <w:r w:rsidRPr="00064619">
        <w:rPr>
          <w:rtl/>
        </w:rPr>
        <w:t>(</w:t>
      </w:r>
      <w:r w:rsidRPr="00064619">
        <w:rPr>
          <w:rtl/>
        </w:rPr>
        <w:footnoteRef/>
      </w:r>
      <w:r w:rsidRPr="00064619">
        <w:rPr>
          <w:rtl/>
        </w:rPr>
        <w:t>) جوادي الآملي، حول الوحي والقيادة: 159 ـ 160، مقالة الإمامة والولاية.</w:t>
      </w:r>
    </w:p>
  </w:footnote>
  <w:footnote w:id="342">
    <w:p w:rsidR="00F93F13" w:rsidRPr="00064619" w:rsidRDefault="00F93F13" w:rsidP="00064619">
      <w:pPr>
        <w:pStyle w:val="FootnoteText"/>
      </w:pPr>
      <w:r w:rsidRPr="00064619">
        <w:rPr>
          <w:rtl/>
        </w:rPr>
        <w:t>(</w:t>
      </w:r>
      <w:r w:rsidRPr="00064619">
        <w:rPr>
          <w:rtl/>
        </w:rPr>
        <w:footnoteRef/>
      </w:r>
      <w:r w:rsidRPr="00064619">
        <w:rPr>
          <w:rtl/>
        </w:rPr>
        <w:t>) جواهر الكلام 27: 347.</w:t>
      </w:r>
    </w:p>
  </w:footnote>
  <w:footnote w:id="343">
    <w:p w:rsidR="00F93F13" w:rsidRPr="00064619" w:rsidRDefault="00F93F13" w:rsidP="00064619">
      <w:pPr>
        <w:pStyle w:val="FootnoteText"/>
      </w:pPr>
      <w:r w:rsidRPr="00064619">
        <w:rPr>
          <w:rtl/>
        </w:rPr>
        <w:t>(</w:t>
      </w:r>
      <w:r w:rsidRPr="00064619">
        <w:rPr>
          <w:rtl/>
        </w:rPr>
        <w:footnoteRef/>
      </w:r>
      <w:r w:rsidRPr="00064619">
        <w:rPr>
          <w:rtl/>
        </w:rPr>
        <w:t>) في كتاب «العناوين» أورد المراغي احتمال توكيل المعصوم× للفقيه. كما أورد الدربندي في كتابه «خزائن الأحكام» احتمال وكالة الفقيه من قبل الإمام الحجّة</w:t>
      </w:r>
      <w:r w:rsidRPr="00064619">
        <w:rPr>
          <w:rtl/>
        </w:rPr>
        <w:sym w:font="Abz Roumouz" w:char="F02E"/>
      </w:r>
      <w:r w:rsidRPr="00064619">
        <w:rPr>
          <w:rtl/>
        </w:rPr>
        <w:t>.</w:t>
      </w:r>
    </w:p>
  </w:footnote>
  <w:footnote w:id="344">
    <w:p w:rsidR="00F93F13" w:rsidRPr="00064619" w:rsidRDefault="00F93F13" w:rsidP="00064619">
      <w:pPr>
        <w:pStyle w:val="FootnoteText"/>
      </w:pPr>
      <w:r w:rsidRPr="00064619">
        <w:rPr>
          <w:rtl/>
        </w:rPr>
        <w:t>(</w:t>
      </w:r>
      <w:r w:rsidRPr="00064619">
        <w:rPr>
          <w:rtl/>
        </w:rPr>
        <w:footnoteRef/>
      </w:r>
      <w:r w:rsidRPr="00064619">
        <w:rPr>
          <w:rtl/>
        </w:rPr>
        <w:t>) «وأمّا الحكومة المعمولة في عصرنا، فإن حصلت بتوكيل جميع ذوي الحقوق، حتى الصغار والمجانين بإذن أوليائهم، فداخلة في باب الوكالة، والظاهر حينئذٍ عدم الإشكال في تصرفات المتصدّين وإعانتهم، لكن ينبغي أن يكون التوكيل في ضمن عقد لازم لا يقبل العزل إلى المدّة المعينة، على إشكال فيه؛ وإنْ لم تحصل بذلك أيضاً فيكون نظير السلطان العادل على تقدير العدالة في الأمور، لكنّها مقدّمة عليه لحصول الوكالة الناقصة بخلافه» (الحائري، ابتغاء الفضيلة في شرح الوسيلة 1: 205، في المكاسب المحرمة).</w:t>
      </w:r>
    </w:p>
  </w:footnote>
  <w:footnote w:id="345">
    <w:p w:rsidR="00F93F13" w:rsidRPr="00064619" w:rsidRDefault="00F93F13" w:rsidP="00064619">
      <w:pPr>
        <w:pStyle w:val="FootnoteText"/>
      </w:pPr>
      <w:r w:rsidRPr="00064619">
        <w:rPr>
          <w:rtl/>
        </w:rPr>
        <w:t>(</w:t>
      </w:r>
      <w:r w:rsidRPr="00064619">
        <w:rPr>
          <w:rtl/>
        </w:rPr>
        <w:footnoteRef/>
      </w:r>
      <w:r w:rsidRPr="00064619">
        <w:rPr>
          <w:rtl/>
        </w:rPr>
        <w:t>) الدكتور مهدي الحائري، حكمت وحكومت: 95، 99 ـ 108، 120 ـ 121، 131 ـ 132.</w:t>
      </w:r>
    </w:p>
  </w:footnote>
  <w:footnote w:id="346">
    <w:p w:rsidR="00F93F13" w:rsidRPr="00064619" w:rsidRDefault="00F93F13" w:rsidP="00064619">
      <w:pPr>
        <w:pStyle w:val="FootnoteText"/>
      </w:pPr>
      <w:r w:rsidRPr="00064619">
        <w:rPr>
          <w:rtl/>
        </w:rPr>
        <w:t>(</w:t>
      </w:r>
      <w:r w:rsidRPr="00064619">
        <w:rPr>
          <w:rtl/>
        </w:rPr>
        <w:footnoteRef/>
      </w:r>
      <w:r w:rsidRPr="00064619">
        <w:rPr>
          <w:rtl/>
        </w:rPr>
        <w:t>) قام الشيخ جوادي الآملي بنقد نظرية الوكالة المطروحة في كتاب «حكمت وحكومت» في مقالة «سيري در مباني ولاية فقيه». وقام الحائري بالردّ على هذا النقد. راجع: مجلة «قضايا إسلامية معاصرة»، العددين الأول والثاني، 1997 ـ 1998.</w:t>
      </w:r>
    </w:p>
  </w:footnote>
  <w:footnote w:id="347">
    <w:p w:rsidR="00F93F13" w:rsidRPr="00064619" w:rsidRDefault="00F93F13" w:rsidP="00064619">
      <w:pPr>
        <w:pStyle w:val="FootnoteText"/>
      </w:pPr>
      <w:r w:rsidRPr="00064619">
        <w:rPr>
          <w:rtl/>
        </w:rPr>
        <w:t>(</w:t>
      </w:r>
      <w:r w:rsidRPr="00064619">
        <w:rPr>
          <w:rtl/>
        </w:rPr>
        <w:footnoteRef/>
      </w:r>
      <w:r w:rsidRPr="00064619">
        <w:rPr>
          <w:rtl/>
        </w:rPr>
        <w:t>) راجع: الفصل الثالث.</w:t>
      </w:r>
    </w:p>
  </w:footnote>
  <w:footnote w:id="348">
    <w:p w:rsidR="00F93F13" w:rsidRPr="00064619" w:rsidRDefault="00F93F13" w:rsidP="00064619">
      <w:pPr>
        <w:pStyle w:val="FootnoteText"/>
      </w:pPr>
      <w:r w:rsidRPr="00064619">
        <w:rPr>
          <w:rtl/>
        </w:rPr>
        <w:t>(</w:t>
      </w:r>
      <w:r w:rsidRPr="00064619">
        <w:rPr>
          <w:rtl/>
        </w:rPr>
        <w:footnoteRef/>
      </w:r>
      <w:r w:rsidRPr="00064619">
        <w:rPr>
          <w:rtl/>
        </w:rPr>
        <w:t>) وللتعرُّف أكثر على خصائص النظام الملكي راجع مقالة «ساخت اقتدار سلطاني، آسيب پذيريها، بديلها» لسعيد حجاريان، في مجلة اطلاعات سياسي اقتصادي، العددان 91 ـ 92: 45 ـ 57، سنة 1374هـ.ش.</w:t>
      </w:r>
    </w:p>
  </w:footnote>
  <w:footnote w:id="349">
    <w:p w:rsidR="00F93F13" w:rsidRDefault="00F93F13" w:rsidP="009D41F1">
      <w:pPr>
        <w:pStyle w:val="FootnoteText"/>
        <w:rPr>
          <w:rtl/>
        </w:rPr>
      </w:pPr>
      <w:r w:rsidRPr="00064619">
        <w:rPr>
          <w:rtl/>
        </w:rPr>
        <w:t>(</w:t>
      </w:r>
      <w:r w:rsidRPr="00064619">
        <w:rPr>
          <w:rtl/>
        </w:rPr>
        <w:footnoteRef/>
      </w:r>
      <w:r w:rsidRPr="00064619">
        <w:rPr>
          <w:rtl/>
        </w:rPr>
        <w:t>) راجع على سبيل المثال: الحكيم أبو القاسم الفردوسي، الشاهنامه، حيث يقول</w:t>
      </w:r>
      <w:r>
        <w:rPr>
          <w:rFonts w:hint="cs"/>
          <w:rtl/>
        </w:rPr>
        <w:t>:</w:t>
      </w:r>
    </w:p>
    <w:p w:rsidR="00F93F13" w:rsidRDefault="00F93F13" w:rsidP="009D41F1">
      <w:pPr>
        <w:pStyle w:val="FootnoteText"/>
        <w:rPr>
          <w:rtl/>
          <w:lang w:bidi="fa-IR"/>
        </w:rPr>
      </w:pPr>
      <w:r>
        <w:rPr>
          <w:rFonts w:hint="cs"/>
          <w:rtl/>
        </w:rPr>
        <w:t xml:space="preserve">   </w:t>
      </w:r>
      <w:r>
        <w:rPr>
          <w:rFonts w:hint="cs"/>
          <w:rtl/>
          <w:lang w:bidi="fa-IR"/>
        </w:rPr>
        <w:t>چو بیند تو را کی کند کار بد                                         خود از شاه ایران بدی کی سزد</w:t>
      </w:r>
    </w:p>
    <w:p w:rsidR="00F93F13" w:rsidRDefault="00F93F13" w:rsidP="009D41F1">
      <w:pPr>
        <w:pStyle w:val="FootnoteText"/>
        <w:rPr>
          <w:rtl/>
        </w:rPr>
      </w:pPr>
      <w:r w:rsidRPr="00064619">
        <w:rPr>
          <w:rtl/>
        </w:rPr>
        <w:t xml:space="preserve">ما </w:t>
      </w:r>
      <w:r>
        <w:rPr>
          <w:rFonts w:hint="cs"/>
          <w:rtl/>
        </w:rPr>
        <w:t xml:space="preserve">یمکن </w:t>
      </w:r>
      <w:r w:rsidRPr="00064619">
        <w:rPr>
          <w:rtl/>
        </w:rPr>
        <w:t>ترجمته:</w:t>
      </w:r>
    </w:p>
    <w:p w:rsidR="00F93F13" w:rsidRPr="00064619" w:rsidRDefault="00F93F13" w:rsidP="00064619">
      <w:pPr>
        <w:pStyle w:val="FootnoteText"/>
        <w:rPr>
          <w:rtl/>
        </w:rPr>
      </w:pPr>
      <w:r w:rsidRPr="00CF6991">
        <w:rPr>
          <w:rFonts w:hint="cs"/>
          <w:rtl/>
        </w:rPr>
        <w:t>(</w:t>
      </w:r>
      <w:r w:rsidRPr="00CF6991">
        <w:rPr>
          <w:rtl/>
        </w:rPr>
        <w:t>كيف يمكن للناظر إليك أن يسيء</w:t>
      </w:r>
      <w:r w:rsidRPr="00CF6991">
        <w:rPr>
          <w:rFonts w:hint="cs"/>
          <w:rtl/>
        </w:rPr>
        <w:t xml:space="preserve">                             </w:t>
      </w:r>
      <w:r w:rsidRPr="00CF6991">
        <w:rPr>
          <w:rtl/>
        </w:rPr>
        <w:t>فمتى صدر عن ملك إيران السوء؟!</w:t>
      </w:r>
      <w:r w:rsidRPr="00CF6991">
        <w:rPr>
          <w:rFonts w:hint="cs"/>
          <w:rtl/>
        </w:rPr>
        <w:t>)</w:t>
      </w:r>
    </w:p>
    <w:p w:rsidR="00F93F13" w:rsidRPr="00064619" w:rsidRDefault="00F93F13" w:rsidP="00064619">
      <w:pPr>
        <w:pStyle w:val="FootnoteText"/>
      </w:pPr>
      <w:r w:rsidRPr="00064619">
        <w:rPr>
          <w:rtl/>
        </w:rPr>
        <w:t>وراجع أيضاً: سعدي الشيرازي، گلستان، الباب الأول، حول سيرة الملوك.</w:t>
      </w:r>
    </w:p>
  </w:footnote>
  <w:footnote w:id="350">
    <w:p w:rsidR="00F93F13" w:rsidRPr="00064619" w:rsidRDefault="00F93F13" w:rsidP="00064619">
      <w:pPr>
        <w:pStyle w:val="FootnoteText"/>
      </w:pPr>
      <w:r w:rsidRPr="00064619">
        <w:rPr>
          <w:rtl/>
        </w:rPr>
        <w:t>(</w:t>
      </w:r>
      <w:r w:rsidRPr="00064619">
        <w:rPr>
          <w:rtl/>
        </w:rPr>
        <w:footnoteRef/>
      </w:r>
      <w:r w:rsidRPr="00064619">
        <w:rPr>
          <w:rtl/>
        </w:rPr>
        <w:t>) راجع: المجلسي، عين الحياة: 492 ـ 496؛ الكشفي، تحفة الملوك؛ رسائل إعلامية، مكتوبات... للشيخ النوري: 110 ـ 111، 155، 382 ـ 383.</w:t>
      </w:r>
    </w:p>
  </w:footnote>
  <w:footnote w:id="351">
    <w:p w:rsidR="00F93F13" w:rsidRPr="00064619" w:rsidRDefault="00F93F13" w:rsidP="00D163BC">
      <w:pPr>
        <w:pStyle w:val="FootnoteText"/>
      </w:pPr>
      <w:r w:rsidRPr="00064619">
        <w:rPr>
          <w:rtl/>
        </w:rPr>
        <w:t>(</w:t>
      </w:r>
      <w:r w:rsidRPr="00064619">
        <w:rPr>
          <w:rtl/>
        </w:rPr>
        <w:footnoteRef/>
      </w:r>
      <w:r w:rsidRPr="00064619">
        <w:rPr>
          <w:rtl/>
        </w:rPr>
        <w:t>) راجع: رسالة الإرشاد، للميرزا القمي، مع مقدمة وتصحيح حسن قاضي طباطبائي، في</w:t>
      </w:r>
      <w:r>
        <w:rPr>
          <w:rFonts w:hint="cs"/>
          <w:rtl/>
        </w:rPr>
        <w:t xml:space="preserve"> مجلة كلية</w:t>
      </w:r>
      <w:r w:rsidRPr="00064619">
        <w:rPr>
          <w:rtl/>
        </w:rPr>
        <w:t xml:space="preserve"> الآداب والعلوم الإنسانية في تبريز، الجزء 20، العدد 3: 365 ـ 383، السنة 1348هـ.ش.</w:t>
      </w:r>
    </w:p>
  </w:footnote>
  <w:footnote w:id="352">
    <w:p w:rsidR="00F93F13" w:rsidRPr="00064619" w:rsidRDefault="00F93F13" w:rsidP="00064619">
      <w:pPr>
        <w:pStyle w:val="FootnoteText"/>
      </w:pPr>
      <w:r w:rsidRPr="00064619">
        <w:rPr>
          <w:rtl/>
        </w:rPr>
        <w:t>(</w:t>
      </w:r>
      <w:r w:rsidRPr="00064619">
        <w:rPr>
          <w:rtl/>
        </w:rPr>
        <w:footnoteRef/>
      </w:r>
      <w:r w:rsidRPr="00064619">
        <w:rPr>
          <w:rtl/>
        </w:rPr>
        <w:t>) راجع: المجلسي، بحار الأنوار 52: 243، حيث يقول: «لا يبعد أن يكون إشارةً إلى الدولة الصفوية شيَّدها الله تعالى ووصلها بدولة القائم×». وكذلك راجع خطبته بمناسبة تولّي شاه سلطان حسين صفوي العرش (مخطوطة رقم (2721) في مجلس الشورى الإسلامي).</w:t>
      </w:r>
    </w:p>
  </w:footnote>
  <w:footnote w:id="353">
    <w:p w:rsidR="00F93F13" w:rsidRPr="00064619" w:rsidRDefault="00F93F13" w:rsidP="00064619">
      <w:pPr>
        <w:pStyle w:val="FootnoteText"/>
      </w:pPr>
      <w:r w:rsidRPr="00064619">
        <w:rPr>
          <w:rtl/>
        </w:rPr>
        <w:t>(</w:t>
      </w:r>
      <w:r w:rsidRPr="00064619">
        <w:rPr>
          <w:rtl/>
        </w:rPr>
        <w:footnoteRef/>
      </w:r>
      <w:r w:rsidRPr="00064619">
        <w:rPr>
          <w:rtl/>
        </w:rPr>
        <w:t>) من أبرز الأدلة على الارتباط والانتماء للأجنبيّ هو سقوط حكومة مصدق الوطنية بانقلاب عسكريّ دبّرته أمريكا في سنة 1332هـ.ش / 1953 م.</w:t>
      </w:r>
    </w:p>
  </w:footnote>
  <w:footnote w:id="354">
    <w:p w:rsidR="00F93F13" w:rsidRPr="00064619" w:rsidRDefault="00F93F13" w:rsidP="00064619">
      <w:pPr>
        <w:pStyle w:val="FootnoteText"/>
        <w:rPr>
          <w:rtl/>
        </w:rPr>
      </w:pPr>
      <w:r w:rsidRPr="00064619">
        <w:rPr>
          <w:rtl/>
        </w:rPr>
        <w:t>(</w:t>
      </w:r>
      <w:r w:rsidRPr="00064619">
        <w:rPr>
          <w:rtl/>
        </w:rPr>
        <w:footnoteRef/>
      </w:r>
      <w:r w:rsidRPr="00064619">
        <w:rPr>
          <w:rtl/>
        </w:rPr>
        <w:t>) من قبيل: محاولات البهلوي الأول لمنع الحجاب، التضييق على رجال الدين والحوزات العلميّة ومن قبيل: محاولات البهلوي الثاني في إرساء القيم الغربية محل القيم الإسلامية، وقيامه بتبديل التاريخ الهجريّ بالتاريخ الملكيّ.</w:t>
      </w:r>
    </w:p>
  </w:footnote>
  <w:footnote w:id="355">
    <w:p w:rsidR="00F93F13" w:rsidRPr="00064619" w:rsidRDefault="00F93F13" w:rsidP="00064619">
      <w:pPr>
        <w:pStyle w:val="FootnoteText"/>
        <w:rPr>
          <w:rtl/>
        </w:rPr>
      </w:pPr>
      <w:r w:rsidRPr="00064619">
        <w:rPr>
          <w:rtl/>
        </w:rPr>
        <w:t>(</w:t>
      </w:r>
      <w:r w:rsidRPr="00064619">
        <w:rPr>
          <w:rtl/>
        </w:rPr>
        <w:footnoteRef/>
      </w:r>
      <w:r w:rsidRPr="00064619">
        <w:rPr>
          <w:rtl/>
        </w:rPr>
        <w:t>) راجع: السيد حميد الروحاني، بررسي وتحليل أز نهضت إمام خميني 1: 141 ـ 467؛ أسناد انقلاب إسلامي، ج 1 و5.</w:t>
      </w:r>
    </w:p>
  </w:footnote>
  <w:footnote w:id="356">
    <w:p w:rsidR="00F93F13" w:rsidRPr="00064619" w:rsidRDefault="00F93F13" w:rsidP="00064619">
      <w:pPr>
        <w:pStyle w:val="FootnoteText"/>
        <w:rPr>
          <w:rtl/>
        </w:rPr>
      </w:pPr>
      <w:r w:rsidRPr="00064619">
        <w:rPr>
          <w:rtl/>
        </w:rPr>
        <w:t>(</w:t>
      </w:r>
      <w:r w:rsidRPr="00064619">
        <w:rPr>
          <w:rtl/>
        </w:rPr>
        <w:footnoteRef/>
      </w:r>
      <w:r w:rsidRPr="00064619">
        <w:rPr>
          <w:rtl/>
        </w:rPr>
        <w:t>) راجع: صحيفه نور، ج 1.</w:t>
      </w:r>
    </w:p>
  </w:footnote>
  <w:footnote w:id="357">
    <w:p w:rsidR="00F93F13" w:rsidRPr="00064619" w:rsidRDefault="00F93F13" w:rsidP="00064619">
      <w:pPr>
        <w:pStyle w:val="FootnoteText"/>
        <w:rPr>
          <w:rtl/>
        </w:rPr>
      </w:pPr>
      <w:r w:rsidRPr="00064619">
        <w:rPr>
          <w:rtl/>
        </w:rPr>
        <w:t>(</w:t>
      </w:r>
      <w:r w:rsidRPr="00064619">
        <w:rPr>
          <w:rtl/>
        </w:rPr>
        <w:footnoteRef/>
      </w:r>
      <w:r w:rsidRPr="00064619">
        <w:rPr>
          <w:rtl/>
        </w:rPr>
        <w:t xml:space="preserve">) راجع على سبيل المثال: خطبة السيد الخميني في 22/8/1357هـ.ش / 1978 م، في صحيفه نور 2: 341 ـ 349، طبعة 1370هـ.ش، و2: 354 ـ 357. </w:t>
      </w:r>
    </w:p>
  </w:footnote>
  <w:footnote w:id="358">
    <w:p w:rsidR="00F93F13" w:rsidRPr="00064619" w:rsidRDefault="00F93F13" w:rsidP="00064619">
      <w:pPr>
        <w:pStyle w:val="FootnoteText"/>
        <w:rPr>
          <w:rtl/>
        </w:rPr>
      </w:pPr>
      <w:r w:rsidRPr="00064619">
        <w:rPr>
          <w:rtl/>
        </w:rPr>
        <w:t>(</w:t>
      </w:r>
      <w:r w:rsidRPr="00064619">
        <w:rPr>
          <w:rtl/>
        </w:rPr>
        <w:footnoteRef/>
      </w:r>
      <w:r w:rsidRPr="00064619">
        <w:rPr>
          <w:rtl/>
        </w:rPr>
        <w:t>) صحيفة نور 2: 341 ـ 349، و354 ـ 357، خطبتا 22 و24 آبان 1357هـ.ش / 1978 م؛ 3: 160؛ 3: 200 ـ 205، البيانات التاريخية في جنّة الزهراء، بتاريخ 13 بهمن 1357هـ.ش / 1978 م.</w:t>
      </w:r>
    </w:p>
  </w:footnote>
  <w:footnote w:id="359">
    <w:p w:rsidR="00F93F13" w:rsidRPr="00064619" w:rsidRDefault="00F93F13" w:rsidP="00064619">
      <w:pPr>
        <w:pStyle w:val="FootnoteText"/>
        <w:rPr>
          <w:rtl/>
        </w:rPr>
      </w:pPr>
      <w:r w:rsidRPr="00064619">
        <w:rPr>
          <w:rtl/>
        </w:rPr>
        <w:t>(</w:t>
      </w:r>
      <w:r w:rsidRPr="00064619">
        <w:rPr>
          <w:rtl/>
        </w:rPr>
        <w:footnoteRef/>
      </w:r>
      <w:r w:rsidRPr="00064619">
        <w:rPr>
          <w:rtl/>
        </w:rPr>
        <w:t>) لقد أشرنا في الفصل التاسع إلى المراحل الأربع للفكر السياسيّ عند السيد الخمينيّ.</w:t>
      </w:r>
    </w:p>
  </w:footnote>
  <w:footnote w:id="360">
    <w:p w:rsidR="00F93F13" w:rsidRPr="00064619" w:rsidRDefault="00F93F13" w:rsidP="00064619">
      <w:pPr>
        <w:pStyle w:val="FootnoteText"/>
        <w:rPr>
          <w:rtl/>
        </w:rPr>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461، 472.</w:t>
      </w:r>
    </w:p>
  </w:footnote>
  <w:footnote w:id="361">
    <w:p w:rsidR="00F93F13" w:rsidRPr="00064619" w:rsidRDefault="00F93F13" w:rsidP="00064619">
      <w:pPr>
        <w:pStyle w:val="FootnoteText"/>
        <w:rPr>
          <w:rtl/>
        </w:rPr>
      </w:pPr>
      <w:r w:rsidRPr="00064619">
        <w:rPr>
          <w:rtl/>
        </w:rPr>
        <w:t>(</w:t>
      </w:r>
      <w:r w:rsidRPr="00064619">
        <w:rPr>
          <w:rtl/>
        </w:rPr>
        <w:footnoteRef/>
      </w:r>
      <w:r w:rsidRPr="00064619">
        <w:rPr>
          <w:rtl/>
        </w:rPr>
        <w:t>) تحرير الوسيلة 1: 472، 483.</w:t>
      </w:r>
    </w:p>
  </w:footnote>
  <w:footnote w:id="362">
    <w:p w:rsidR="00F93F13" w:rsidRPr="00064619" w:rsidRDefault="00F93F13" w:rsidP="00064619">
      <w:pPr>
        <w:pStyle w:val="FootnoteText"/>
        <w:rPr>
          <w:rtl/>
        </w:rPr>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465؛ تحرير الوسيلة 1: 482.</w:t>
      </w:r>
    </w:p>
  </w:footnote>
  <w:footnote w:id="363">
    <w:p w:rsidR="00F93F13" w:rsidRPr="00064619" w:rsidRDefault="00F93F13" w:rsidP="00064619">
      <w:pPr>
        <w:pStyle w:val="FootnoteText"/>
        <w:rPr>
          <w:rtl/>
        </w:rPr>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490.</w:t>
      </w:r>
    </w:p>
  </w:footnote>
  <w:footnote w:id="364">
    <w:p w:rsidR="00F93F13" w:rsidRPr="00064619" w:rsidRDefault="00F93F13" w:rsidP="00064619">
      <w:pPr>
        <w:pStyle w:val="FootnoteText"/>
        <w:rPr>
          <w:rtl/>
        </w:rPr>
      </w:pPr>
      <w:r w:rsidRPr="00064619">
        <w:rPr>
          <w:rtl/>
        </w:rPr>
        <w:t>(</w:t>
      </w:r>
      <w:r w:rsidRPr="00064619">
        <w:rPr>
          <w:rtl/>
        </w:rPr>
        <w:footnoteRef/>
      </w:r>
      <w:r w:rsidRPr="00064619">
        <w:rPr>
          <w:rtl/>
        </w:rPr>
        <w:t>)</w:t>
      </w:r>
      <w:r>
        <w:rPr>
          <w:rFonts w:hint="cs"/>
          <w:rtl/>
        </w:rPr>
        <w:t xml:space="preserve"> السيد </w:t>
      </w:r>
      <w:r w:rsidRPr="00064619">
        <w:rPr>
          <w:rtl/>
        </w:rPr>
        <w:t>الخميني، الحكومة الإسلامية: 5 ـ 6.</w:t>
      </w:r>
    </w:p>
  </w:footnote>
  <w:footnote w:id="365">
    <w:p w:rsidR="00F93F13" w:rsidRPr="00064619" w:rsidRDefault="00F93F13" w:rsidP="00064619">
      <w:pPr>
        <w:pStyle w:val="FootnoteText"/>
        <w:rPr>
          <w:rtl/>
        </w:rPr>
      </w:pPr>
      <w:r w:rsidRPr="00064619">
        <w:rPr>
          <w:rtl/>
        </w:rPr>
        <w:t>(</w:t>
      </w:r>
      <w:r w:rsidRPr="00064619">
        <w:rPr>
          <w:rtl/>
        </w:rPr>
        <w:footnoteRef/>
      </w:r>
      <w:r w:rsidRPr="00064619">
        <w:rPr>
          <w:rtl/>
        </w:rPr>
        <w:t>) صحيفه نور 2: 34، مقابلة مع مراسل الفيغارو الفرنسية.</w:t>
      </w:r>
    </w:p>
  </w:footnote>
  <w:footnote w:id="366">
    <w:p w:rsidR="00F93F13" w:rsidRPr="00064619" w:rsidRDefault="00F93F13" w:rsidP="00064619">
      <w:pPr>
        <w:pStyle w:val="FootnoteText"/>
        <w:rPr>
          <w:rtl/>
        </w:rPr>
      </w:pPr>
      <w:r w:rsidRPr="00064619">
        <w:rPr>
          <w:rtl/>
        </w:rPr>
        <w:t>(</w:t>
      </w:r>
      <w:r w:rsidRPr="00064619">
        <w:rPr>
          <w:rtl/>
        </w:rPr>
        <w:footnoteRef/>
      </w:r>
      <w:r w:rsidRPr="00064619">
        <w:rPr>
          <w:rtl/>
        </w:rPr>
        <w:t>)</w:t>
      </w:r>
      <w:r>
        <w:rPr>
          <w:rFonts w:hint="cs"/>
          <w:rtl/>
        </w:rPr>
        <w:t xml:space="preserve"> السيد </w:t>
      </w:r>
      <w:r w:rsidRPr="00064619">
        <w:rPr>
          <w:rtl/>
        </w:rPr>
        <w:t>الخميني، الحكومة الإسلامية: 70: «الفرق الأساسي للحكومة الإسلامية مع حكومات «الملكية المشروطة» و«الجمهورية» هو في...».</w:t>
      </w:r>
    </w:p>
  </w:footnote>
  <w:footnote w:id="367">
    <w:p w:rsidR="00F93F13" w:rsidRPr="00064619" w:rsidRDefault="00F93F13" w:rsidP="00064619">
      <w:pPr>
        <w:pStyle w:val="FootnoteText"/>
        <w:rPr>
          <w:rtl/>
        </w:rPr>
      </w:pPr>
      <w:r w:rsidRPr="00064619">
        <w:rPr>
          <w:rtl/>
        </w:rPr>
        <w:t>(</w:t>
      </w:r>
      <w:r w:rsidRPr="00064619">
        <w:rPr>
          <w:rtl/>
        </w:rPr>
        <w:footnoteRef/>
      </w:r>
      <w:r w:rsidRPr="00064619">
        <w:rPr>
          <w:rtl/>
        </w:rPr>
        <w:t>) صحيفه نور، ج 2 و3، الطبعة الجديدة مع الإضافات والإصلاحات.</w:t>
      </w:r>
    </w:p>
  </w:footnote>
  <w:footnote w:id="368">
    <w:p w:rsidR="00F93F13" w:rsidRPr="00064619" w:rsidRDefault="00F93F13" w:rsidP="00064619">
      <w:pPr>
        <w:pStyle w:val="FootnoteText"/>
      </w:pPr>
      <w:r w:rsidRPr="00064619">
        <w:rPr>
          <w:rtl/>
        </w:rPr>
        <w:t>(</w:t>
      </w:r>
      <w:r w:rsidRPr="00064619">
        <w:rPr>
          <w:rtl/>
        </w:rPr>
        <w:footnoteRef/>
      </w:r>
      <w:r w:rsidRPr="00064619">
        <w:rPr>
          <w:rtl/>
        </w:rPr>
        <w:t>) صحيفة نور 2: 114، 131، 230، 245، 249، 290، 313، 319، 324، 351، 404، 503، 545، 557؛ 3: 41.</w:t>
      </w:r>
    </w:p>
  </w:footnote>
  <w:footnote w:id="369">
    <w:p w:rsidR="00F93F13" w:rsidRPr="00064619" w:rsidRDefault="00F93F13" w:rsidP="00064619">
      <w:pPr>
        <w:pStyle w:val="FootnoteText"/>
      </w:pPr>
      <w:r w:rsidRPr="00064619">
        <w:rPr>
          <w:rtl/>
        </w:rPr>
        <w:t>(</w:t>
      </w:r>
      <w:r w:rsidRPr="00064619">
        <w:rPr>
          <w:rtl/>
        </w:rPr>
        <w:footnoteRef/>
      </w:r>
      <w:r w:rsidRPr="00064619">
        <w:rPr>
          <w:rtl/>
        </w:rPr>
        <w:t>) صحيفه نور 2: 162، 244، 319، 349، 351، 482. وفي صفحة 517: «أما شكل حكمنا فهو الجمهورية الإسلامية، الجمهورية بمعنى استنادها إلى رأي الأكثرية، وإسلامية لأنها مستندة إلى قانون الإسلام». وأيضاً: 2: 545، 568، 584؛ 3: 20 ـ 21، 36، 37: «الحكومة الإسلامية حكومة تستند مائة بالمائة على آراء الشعب، بشكل يجعل كلّ فرد إيراني يشعر بأن رأيه يؤثِّر في بناء نفسه وبلده. ولكون الأكثرية الساحقة من هذا الشعب مسلمين فمن البديهي أن تراعى الموازين والقواعد الإسلاميّة في شتى الميادين». وأيضاً: 3: 70 ـ 71، 102، 115.</w:t>
      </w:r>
    </w:p>
  </w:footnote>
  <w:footnote w:id="370">
    <w:p w:rsidR="00F93F13" w:rsidRPr="00064619" w:rsidRDefault="00F93F13" w:rsidP="000E5EF9">
      <w:pPr>
        <w:pStyle w:val="FootnoteText"/>
        <w:spacing w:line="180" w:lineRule="auto"/>
        <w:rPr>
          <w:rtl/>
        </w:rPr>
      </w:pPr>
      <w:r w:rsidRPr="00064619">
        <w:rPr>
          <w:rtl/>
        </w:rPr>
        <w:t>(</w:t>
      </w:r>
      <w:r w:rsidRPr="00064619">
        <w:rPr>
          <w:rtl/>
        </w:rPr>
        <w:footnoteRef/>
      </w:r>
      <w:r w:rsidRPr="00064619">
        <w:rPr>
          <w:rtl/>
        </w:rPr>
        <w:t>) صحيفه نور 2: 351، في مقابلة مع مراسل صحيفة اللوموند الفرنسية في 22/آبان/1357هـ.ش / 1978 م: «لقد قلتم: إنه يجب أن تقوم في إيران جمهورية إسلامية. وهذا الأمر غير واضح لنا نحن الفرنسيين؛ وذلك لأن الجمهورية يمكن أن تكون خالية من أيّ أساسٍ مذهبيّ، فما هو رأيكم؟ هل ترتكز جمهوريتكم على الاشتراكية المشروطة؟ أترتكز على انتخابات ديمقراطية؟ كيف هي؟».</w:t>
      </w:r>
    </w:p>
    <w:p w:rsidR="00F93F13" w:rsidRPr="00064619" w:rsidRDefault="00F93F13" w:rsidP="000E5EF9">
      <w:pPr>
        <w:pStyle w:val="FootnoteText"/>
        <w:ind w:firstLine="0"/>
        <w:rPr>
          <w:rtl/>
        </w:rPr>
      </w:pPr>
      <w:r w:rsidRPr="00064619">
        <w:rPr>
          <w:rtl/>
        </w:rPr>
        <w:t>جواب السيد الخميني: «أمّا الجمهورية فهي بالمعنى نفسه الذي تستعمل فيه الجمهورية أينما كان، وإنما نقول: جمهورية إسلامية؛ لأجل أن شروط المرشحين، وكذلك الأحكام المتبعة في إيران، مرتكزة على الإسلام، لكن الانتخاب بيد الشعب، وشكل الجمهورية هو عينه الموجود أينما كان».</w:t>
      </w:r>
    </w:p>
    <w:p w:rsidR="00F93F13" w:rsidRPr="00064619" w:rsidRDefault="00F93F13" w:rsidP="000E5EF9">
      <w:pPr>
        <w:pStyle w:val="FootnoteText"/>
        <w:ind w:firstLine="0"/>
        <w:rPr>
          <w:rtl/>
        </w:rPr>
      </w:pPr>
      <w:r w:rsidRPr="00064619">
        <w:rPr>
          <w:rtl/>
        </w:rPr>
        <w:t>وفي 3: 41، في مقابلة مع الـ «بي بي سي» في 15/دي/1357هـ.ش / 1978 م: «دولة الجمهورية الإسلامية هي جمهورية كسائر الجمهوريّات، سوى أن قانونها قانون إسلاميّ».</w:t>
      </w:r>
    </w:p>
    <w:p w:rsidR="00F93F13" w:rsidRPr="00064619" w:rsidRDefault="00F93F13" w:rsidP="000E5EF9">
      <w:pPr>
        <w:pStyle w:val="FootnoteText"/>
        <w:ind w:firstLine="0"/>
      </w:pPr>
      <w:r w:rsidRPr="00064619">
        <w:rPr>
          <w:rtl/>
        </w:rPr>
        <w:t>وفي 2: 107، في مقابلة مع تلفزيون إيطاليا، في 23/دي/1357هـ.ش / 1978 م: «شكل الحكم جمهوري كسائر الجمهوريات، وأحكام الإسلام أحكام تقدمية مرتكزة على الديمقراطية، ومتطوّرة، ومتلائمة مع جميع مظاهر الحضارة».</w:t>
      </w:r>
    </w:p>
  </w:footnote>
  <w:footnote w:id="371">
    <w:p w:rsidR="00F93F13" w:rsidRPr="00064619" w:rsidRDefault="00F93F13" w:rsidP="00064619">
      <w:pPr>
        <w:pStyle w:val="FootnoteText"/>
      </w:pPr>
      <w:r w:rsidRPr="00064619">
        <w:rPr>
          <w:rtl/>
        </w:rPr>
        <w:t>(</w:t>
      </w:r>
      <w:r w:rsidRPr="00064619">
        <w:rPr>
          <w:rtl/>
        </w:rPr>
        <w:footnoteRef/>
      </w:r>
      <w:r w:rsidRPr="00064619">
        <w:rPr>
          <w:rtl/>
        </w:rPr>
        <w:t>) صحيفه نور 2: 168، 259.</w:t>
      </w:r>
    </w:p>
  </w:footnote>
  <w:footnote w:id="372">
    <w:p w:rsidR="00F93F13" w:rsidRPr="00064619" w:rsidRDefault="00F93F13" w:rsidP="00064619">
      <w:pPr>
        <w:pStyle w:val="FootnoteText"/>
      </w:pPr>
      <w:r w:rsidRPr="00064619">
        <w:rPr>
          <w:rtl/>
        </w:rPr>
        <w:t>(</w:t>
      </w:r>
      <w:r w:rsidRPr="00064619">
        <w:rPr>
          <w:rtl/>
        </w:rPr>
        <w:footnoteRef/>
      </w:r>
      <w:r w:rsidRPr="00064619">
        <w:rPr>
          <w:rtl/>
        </w:rPr>
        <w:t>) المصدر نفسه 2: 216، 259، 392.</w:t>
      </w:r>
    </w:p>
  </w:footnote>
  <w:footnote w:id="373">
    <w:p w:rsidR="00F93F13" w:rsidRPr="00064619" w:rsidRDefault="00F93F13" w:rsidP="00064619">
      <w:pPr>
        <w:pStyle w:val="FootnoteText"/>
      </w:pPr>
      <w:r w:rsidRPr="00064619">
        <w:rPr>
          <w:rtl/>
        </w:rPr>
        <w:t>(</w:t>
      </w:r>
      <w:r w:rsidRPr="00064619">
        <w:rPr>
          <w:rtl/>
        </w:rPr>
        <w:footnoteRef/>
      </w:r>
      <w:r w:rsidRPr="00064619">
        <w:rPr>
          <w:rtl/>
        </w:rPr>
        <w:t>) المصدر نفسه 2: 259، 302 ـ 304، 475.</w:t>
      </w:r>
    </w:p>
  </w:footnote>
  <w:footnote w:id="374">
    <w:p w:rsidR="00F93F13" w:rsidRPr="00064619" w:rsidRDefault="00F93F13" w:rsidP="00064619">
      <w:pPr>
        <w:pStyle w:val="FootnoteText"/>
      </w:pPr>
      <w:r w:rsidRPr="00064619">
        <w:rPr>
          <w:rtl/>
        </w:rPr>
        <w:t>(</w:t>
      </w:r>
      <w:r w:rsidRPr="00064619">
        <w:rPr>
          <w:rtl/>
        </w:rPr>
        <w:footnoteRef/>
      </w:r>
      <w:r w:rsidRPr="00064619">
        <w:rPr>
          <w:rtl/>
        </w:rPr>
        <w:t>) المصدر نفسه 2: 140، 26/10/1357 / 1978 م.</w:t>
      </w:r>
    </w:p>
  </w:footnote>
  <w:footnote w:id="375">
    <w:p w:rsidR="00F93F13" w:rsidRPr="00064619" w:rsidRDefault="00F93F13" w:rsidP="00064619">
      <w:pPr>
        <w:pStyle w:val="FootnoteText"/>
      </w:pPr>
      <w:r w:rsidRPr="00064619">
        <w:rPr>
          <w:rtl/>
        </w:rPr>
        <w:t>(</w:t>
      </w:r>
      <w:r w:rsidRPr="00064619">
        <w:rPr>
          <w:rtl/>
        </w:rPr>
        <w:footnoteRef/>
      </w:r>
      <w:r w:rsidRPr="00064619">
        <w:rPr>
          <w:rtl/>
        </w:rPr>
        <w:t>) المصدر نفسه 2: 216.</w:t>
      </w:r>
    </w:p>
  </w:footnote>
  <w:footnote w:id="376">
    <w:p w:rsidR="00F93F13" w:rsidRPr="00064619" w:rsidRDefault="00F93F13" w:rsidP="00064619">
      <w:pPr>
        <w:pStyle w:val="FootnoteText"/>
      </w:pPr>
      <w:r w:rsidRPr="00064619">
        <w:rPr>
          <w:rtl/>
        </w:rPr>
        <w:t>(</w:t>
      </w:r>
      <w:r w:rsidRPr="00064619">
        <w:rPr>
          <w:rtl/>
        </w:rPr>
        <w:footnoteRef/>
      </w:r>
      <w:r w:rsidRPr="00064619">
        <w:rPr>
          <w:rtl/>
        </w:rPr>
        <w:t>) المصدر نفسه 2: 103.</w:t>
      </w:r>
    </w:p>
  </w:footnote>
  <w:footnote w:id="377">
    <w:p w:rsidR="00F93F13" w:rsidRPr="00064619" w:rsidRDefault="00F93F13" w:rsidP="00064619">
      <w:pPr>
        <w:pStyle w:val="FootnoteText"/>
      </w:pPr>
      <w:r w:rsidRPr="00064619">
        <w:rPr>
          <w:rtl/>
        </w:rPr>
        <w:t>(</w:t>
      </w:r>
      <w:r w:rsidRPr="00064619">
        <w:rPr>
          <w:rtl/>
        </w:rPr>
        <w:footnoteRef/>
      </w:r>
      <w:r w:rsidRPr="00064619">
        <w:rPr>
          <w:rtl/>
        </w:rPr>
        <w:t>) المصدر نفسه 3: 86، 19/10/1357 / 1978 م.</w:t>
      </w:r>
    </w:p>
  </w:footnote>
  <w:footnote w:id="378">
    <w:p w:rsidR="00F93F13" w:rsidRPr="00064619" w:rsidRDefault="00F93F13" w:rsidP="00064619">
      <w:pPr>
        <w:pStyle w:val="FootnoteText"/>
      </w:pPr>
      <w:r w:rsidRPr="00064619">
        <w:rPr>
          <w:rtl/>
        </w:rPr>
        <w:t>(</w:t>
      </w:r>
      <w:r w:rsidRPr="00064619">
        <w:rPr>
          <w:rtl/>
        </w:rPr>
        <w:footnoteRef/>
      </w:r>
      <w:r w:rsidRPr="00064619">
        <w:rPr>
          <w:rtl/>
        </w:rPr>
        <w:t>) المصدر نفسه 2: 250، 16/8/1357؛ 3: 140، 26/10/1357 / 1978 م.</w:t>
      </w:r>
    </w:p>
  </w:footnote>
  <w:footnote w:id="379">
    <w:p w:rsidR="00F93F13" w:rsidRPr="00064619" w:rsidRDefault="00F93F13" w:rsidP="00064619">
      <w:pPr>
        <w:pStyle w:val="FootnoteText"/>
      </w:pPr>
      <w:r w:rsidRPr="00064619">
        <w:rPr>
          <w:rtl/>
        </w:rPr>
        <w:t>(</w:t>
      </w:r>
      <w:r w:rsidRPr="00064619">
        <w:rPr>
          <w:rtl/>
        </w:rPr>
        <w:footnoteRef/>
      </w:r>
      <w:r w:rsidRPr="00064619">
        <w:rPr>
          <w:rtl/>
        </w:rPr>
        <w:t>) المصدر نفسه 3: 110 ـ 111، 23/10/1357 / 1978 م.</w:t>
      </w:r>
    </w:p>
  </w:footnote>
  <w:footnote w:id="380">
    <w:p w:rsidR="00F93F13" w:rsidRPr="00064619" w:rsidRDefault="00F93F13" w:rsidP="000E5EF9">
      <w:pPr>
        <w:pStyle w:val="FootnoteText"/>
        <w:spacing w:line="168" w:lineRule="auto"/>
      </w:pPr>
      <w:r w:rsidRPr="00064619">
        <w:rPr>
          <w:rtl/>
        </w:rPr>
        <w:t>(</w:t>
      </w:r>
      <w:r w:rsidRPr="00064619">
        <w:rPr>
          <w:rtl/>
        </w:rPr>
        <w:footnoteRef/>
      </w:r>
      <w:r w:rsidRPr="00064619">
        <w:rPr>
          <w:rtl/>
        </w:rPr>
        <w:t>) المصدر نفسه 3: 75 ـ 78، 18/10/1357 / 1978 م؛ 3: 135، 25/10/1357 / 1978 م: «أنا وسائر رجال الدين لن نشغل أيّ منصب في الحكومة، ووظيفة رجال الدين هي إرشاد الحكومات، ووظيفتي في الحكومة المستقبلية هي الهداية»؛ 3: 140، 26/10/1357 / 1978 م: «أنا لم أقُلْ: إن رجال الدين هم المتكفِّلون بموضوع الحكم، فوظيفة رجال الدين شيء آخر، والنظارة على القوانين هي في عهدة رجال الدين، كما أنها في عهدة الشعب».</w:t>
      </w:r>
    </w:p>
  </w:footnote>
  <w:footnote w:id="381">
    <w:p w:rsidR="00F93F13" w:rsidRPr="00064619" w:rsidRDefault="00F93F13" w:rsidP="000E5EF9">
      <w:pPr>
        <w:pStyle w:val="FootnoteText"/>
        <w:spacing w:line="168" w:lineRule="auto"/>
      </w:pPr>
      <w:r w:rsidRPr="00064619">
        <w:rPr>
          <w:rtl/>
        </w:rPr>
        <w:t>(</w:t>
      </w:r>
      <w:r w:rsidRPr="00064619">
        <w:rPr>
          <w:rtl/>
        </w:rPr>
        <w:footnoteRef/>
      </w:r>
      <w:r w:rsidRPr="00064619">
        <w:rPr>
          <w:rtl/>
        </w:rPr>
        <w:t>) المصدر نفسه 3: 81 ـ 82، مقابلة مع اللوموند، 19/10/1357 / 1978 م.</w:t>
      </w:r>
    </w:p>
  </w:footnote>
  <w:footnote w:id="382">
    <w:p w:rsidR="00F93F13" w:rsidRPr="00064619" w:rsidRDefault="00F93F13" w:rsidP="000E5EF9">
      <w:pPr>
        <w:pStyle w:val="FootnoteText"/>
        <w:spacing w:line="182" w:lineRule="auto"/>
      </w:pPr>
      <w:r w:rsidRPr="00064619">
        <w:rPr>
          <w:rtl/>
        </w:rPr>
        <w:t>(</w:t>
      </w:r>
      <w:r w:rsidRPr="00064619">
        <w:rPr>
          <w:rtl/>
        </w:rPr>
        <w:footnoteRef/>
      </w:r>
      <w:r w:rsidRPr="00064619">
        <w:rPr>
          <w:rtl/>
        </w:rPr>
        <w:t>) المصدر نفسه 2: 257، 16/8/1357 / 1978 م؛ 2: 295، 18/8/1357 / 1978 م؛ 2: 302 ـ 304، 19/8/1357 / 1978 م؛ 2: 315، 20/8/1357 / 1978 م؛ 2: 475، 6/9/1357 / 1978 م؛ 2: 477، 7/9/1357 / 1978 م؛ 3: 41، 15/10/1357 / 1978 م؛ 3: 71، 18/10/1357 / 1978 م؛ 3: 93، 20/10/1357 / 1978 م؛ 3: 102، 22/10/1357 / 1978 م.</w:t>
      </w:r>
    </w:p>
  </w:footnote>
  <w:footnote w:id="383">
    <w:p w:rsidR="00F93F13" w:rsidRPr="00064619" w:rsidRDefault="00F93F13" w:rsidP="000E5EF9">
      <w:pPr>
        <w:pStyle w:val="FootnoteText"/>
        <w:spacing w:line="168" w:lineRule="auto"/>
      </w:pPr>
      <w:r w:rsidRPr="00064619">
        <w:rPr>
          <w:rtl/>
        </w:rPr>
        <w:t>(</w:t>
      </w:r>
      <w:r w:rsidRPr="00064619">
        <w:rPr>
          <w:rtl/>
        </w:rPr>
        <w:footnoteRef/>
      </w:r>
      <w:r w:rsidRPr="00064619">
        <w:rPr>
          <w:rtl/>
        </w:rPr>
        <w:t>) المصدر نفسه 3: 115، 24/10/1357 / 1978 م.</w:t>
      </w:r>
    </w:p>
  </w:footnote>
  <w:footnote w:id="384">
    <w:p w:rsidR="00F93F13" w:rsidRPr="00064619" w:rsidRDefault="00F93F13" w:rsidP="000E5EF9">
      <w:pPr>
        <w:pStyle w:val="FootnoteText"/>
        <w:spacing w:line="180" w:lineRule="auto"/>
      </w:pPr>
      <w:r w:rsidRPr="00064619">
        <w:rPr>
          <w:rtl/>
        </w:rPr>
        <w:t>(</w:t>
      </w:r>
      <w:r w:rsidRPr="00064619">
        <w:rPr>
          <w:rtl/>
        </w:rPr>
        <w:footnoteRef/>
      </w:r>
      <w:r w:rsidRPr="00064619">
        <w:rPr>
          <w:rtl/>
        </w:rPr>
        <w:t>) «ونحن إنْ شاء الله تعالى سوف نطرح برنامجنا عند أوّل فرصة سانحة. وهذا لا يعني أنني سوف أمسك زمام أمور الدولة، وأقوم كل يوم بإصدار (فرمانات) ـ كما كان الحال في فترة ديكتاتورية الشاه ـ وألزم بها الناس قهراً، فهذه الأمور موكولة إلى الحكومة وممثِّلي الشعب، ليتخذوا القرارات بشأنها، أما أنا فسوف تكون لي دائماً وظيفة الإرشاد والهداية» (صحيفه نور 3: 75 ـ 78، 18/10/1357 / 1978 م).</w:t>
      </w:r>
    </w:p>
  </w:footnote>
  <w:footnote w:id="385">
    <w:p w:rsidR="00F93F13" w:rsidRPr="00064619" w:rsidRDefault="00F93F13" w:rsidP="00064619">
      <w:pPr>
        <w:pStyle w:val="FootnoteText"/>
      </w:pPr>
      <w:r w:rsidRPr="00064619">
        <w:rPr>
          <w:rtl/>
        </w:rPr>
        <w:t>(</w:t>
      </w:r>
      <w:r w:rsidRPr="00064619">
        <w:rPr>
          <w:rtl/>
        </w:rPr>
        <w:footnoteRef/>
      </w:r>
      <w:r w:rsidRPr="00064619">
        <w:rPr>
          <w:rtl/>
        </w:rPr>
        <w:t>) صحيفه نور 2: 162 ـ 165، 282.</w:t>
      </w:r>
    </w:p>
  </w:footnote>
  <w:footnote w:id="386">
    <w:p w:rsidR="00F93F13" w:rsidRPr="00064619" w:rsidRDefault="00F93F13" w:rsidP="00064619">
      <w:pPr>
        <w:pStyle w:val="FootnoteText"/>
      </w:pPr>
      <w:r w:rsidRPr="00064619">
        <w:rPr>
          <w:rtl/>
        </w:rPr>
        <w:t>(</w:t>
      </w:r>
      <w:r w:rsidRPr="00064619">
        <w:rPr>
          <w:rtl/>
        </w:rPr>
        <w:footnoteRef/>
      </w:r>
      <w:r w:rsidRPr="00064619">
        <w:rPr>
          <w:rtl/>
        </w:rPr>
        <w:t>) المصدر نفسه 3: 81 ـ 82، مقابلة مع صحيفة لو موند، 19/10/1357 / 1978 م.</w:t>
      </w:r>
    </w:p>
  </w:footnote>
  <w:footnote w:id="387">
    <w:p w:rsidR="00F93F13" w:rsidRPr="00064619" w:rsidRDefault="00F93F13" w:rsidP="00064619">
      <w:pPr>
        <w:pStyle w:val="FootnoteText"/>
      </w:pPr>
      <w:r w:rsidRPr="00064619">
        <w:rPr>
          <w:rtl/>
        </w:rPr>
        <w:t>(</w:t>
      </w:r>
      <w:r w:rsidRPr="00064619">
        <w:rPr>
          <w:rtl/>
        </w:rPr>
        <w:footnoteRef/>
      </w:r>
      <w:r w:rsidRPr="00064619">
        <w:rPr>
          <w:rtl/>
        </w:rPr>
        <w:t>) النائيني، المكاسب والبيع (تقريرات أبحاثه بقلم: الشيخ محمد تقي الآملي) 2: 334. وكذلك تنبيه الأمة وتنزيه الملّة: 15، 41، 70، 98.</w:t>
      </w:r>
    </w:p>
  </w:footnote>
  <w:footnote w:id="388">
    <w:p w:rsidR="00F93F13" w:rsidRPr="00064619" w:rsidRDefault="00F93F13" w:rsidP="00064619">
      <w:pPr>
        <w:pStyle w:val="FootnoteText"/>
      </w:pPr>
      <w:r w:rsidRPr="00064619">
        <w:rPr>
          <w:rtl/>
        </w:rPr>
        <w:t>(</w:t>
      </w:r>
      <w:r w:rsidRPr="00064619">
        <w:rPr>
          <w:rtl/>
        </w:rPr>
        <w:footnoteRef/>
      </w:r>
      <w:r w:rsidRPr="00064619">
        <w:rPr>
          <w:rtl/>
        </w:rPr>
        <w:t>) كشف الأسرار: 180، 210.</w:t>
      </w:r>
    </w:p>
  </w:footnote>
  <w:footnote w:id="389">
    <w:p w:rsidR="00F93F13" w:rsidRPr="00064619" w:rsidRDefault="00F93F13" w:rsidP="00D163BC">
      <w:pPr>
        <w:pStyle w:val="FootnoteText"/>
      </w:pPr>
      <w:r w:rsidRPr="00064619">
        <w:rPr>
          <w:rtl/>
        </w:rPr>
        <w:t>(</w:t>
      </w:r>
      <w:r w:rsidRPr="00064619">
        <w:rPr>
          <w:rtl/>
        </w:rPr>
        <w:footnoteRef/>
      </w:r>
      <w:r w:rsidRPr="00064619">
        <w:rPr>
          <w:rtl/>
        </w:rPr>
        <w:t xml:space="preserve">) راجع: أسناد انقلاب إسلامي، الجزء 1 و5 </w:t>
      </w:r>
      <w:r>
        <w:rPr>
          <w:rFonts w:ascii="Mosawi" w:hAnsi="Mosawi"/>
          <w:rtl/>
        </w:rPr>
        <w:t>«</w:t>
      </w:r>
      <w:r w:rsidRPr="00064619">
        <w:rPr>
          <w:rtl/>
        </w:rPr>
        <w:t>الخاصّان بالإعلانات والقرارات والبيانات والرسائل والتلغرافات ورسائل مراجع التقليد</w:t>
      </w:r>
      <w:r>
        <w:rPr>
          <w:rFonts w:ascii="Mosawi" w:hAnsi="Mosawi"/>
          <w:rtl/>
        </w:rPr>
        <w:t>»</w:t>
      </w:r>
      <w:r>
        <w:rPr>
          <w:rFonts w:hint="cs"/>
          <w:rtl/>
        </w:rPr>
        <w:t xml:space="preserve"> </w:t>
      </w:r>
      <w:r w:rsidRPr="00064619">
        <w:rPr>
          <w:rtl/>
        </w:rPr>
        <w:t>(طهران، 1374هـ.ش).</w:t>
      </w:r>
    </w:p>
  </w:footnote>
  <w:footnote w:id="390">
    <w:p w:rsidR="00F93F13" w:rsidRPr="00064619" w:rsidRDefault="00F93F13" w:rsidP="00D163BC">
      <w:pPr>
        <w:pStyle w:val="FootnoteText"/>
      </w:pPr>
      <w:r w:rsidRPr="00064619">
        <w:rPr>
          <w:rtl/>
        </w:rPr>
        <w:t>(</w:t>
      </w:r>
      <w:r w:rsidRPr="00064619">
        <w:rPr>
          <w:rtl/>
        </w:rPr>
        <w:footnoteRef/>
      </w:r>
      <w:r w:rsidRPr="00064619">
        <w:rPr>
          <w:rtl/>
        </w:rPr>
        <w:t xml:space="preserve">) راجع: أسناد انقلاب إسلامي، الجزء 2 </w:t>
      </w:r>
      <w:r>
        <w:rPr>
          <w:rFonts w:ascii="Mosawi" w:hAnsi="Mosawi"/>
          <w:rtl/>
        </w:rPr>
        <w:t>«</w:t>
      </w:r>
      <w:r w:rsidRPr="00064619">
        <w:rPr>
          <w:rtl/>
        </w:rPr>
        <w:t>الخاصّ بالإعلانات والبيانات والرسائل والتلغرافات ورسائل علماء المدن الإيرانية</w:t>
      </w:r>
      <w:r>
        <w:rPr>
          <w:rFonts w:ascii="Mosawi" w:hAnsi="Mosawi"/>
          <w:rtl/>
        </w:rPr>
        <w:t>»</w:t>
      </w:r>
      <w:r w:rsidRPr="00064619">
        <w:rPr>
          <w:rtl/>
        </w:rPr>
        <w:t xml:space="preserve">، والجزء 3 </w:t>
      </w:r>
      <w:r>
        <w:rPr>
          <w:rFonts w:ascii="Mosawi" w:hAnsi="Mosawi"/>
          <w:rtl/>
        </w:rPr>
        <w:t>«</w:t>
      </w:r>
      <w:r w:rsidRPr="00064619">
        <w:rPr>
          <w:rtl/>
        </w:rPr>
        <w:t>الخاصّ بالإعلانات والقرارات والبيانات والرسائل والتلغرافات والرسائل ذات التواقيع الكثيرة من قبل التجمّعات الدينية</w:t>
      </w:r>
      <w:r>
        <w:rPr>
          <w:rFonts w:ascii="Mosawi" w:hAnsi="Mosawi"/>
          <w:rtl/>
        </w:rPr>
        <w:t>»</w:t>
      </w:r>
      <w:r w:rsidRPr="00064619">
        <w:rPr>
          <w:rtl/>
        </w:rPr>
        <w:t xml:space="preserve"> (طهران، 1374هـ.ش).</w:t>
      </w:r>
    </w:p>
  </w:footnote>
  <w:footnote w:id="391">
    <w:p w:rsidR="00F93F13" w:rsidRPr="00064619" w:rsidRDefault="00F93F13" w:rsidP="00064619">
      <w:pPr>
        <w:pStyle w:val="FootnoteText"/>
      </w:pPr>
      <w:r w:rsidRPr="00064619">
        <w:rPr>
          <w:rtl/>
        </w:rPr>
        <w:t>(</w:t>
      </w:r>
      <w:r w:rsidRPr="00064619">
        <w:rPr>
          <w:rtl/>
        </w:rPr>
        <w:footnoteRef/>
      </w:r>
      <w:r w:rsidRPr="00064619">
        <w:rPr>
          <w:rtl/>
        </w:rPr>
        <w:t>) صحيفه نور 3: 105.</w:t>
      </w:r>
    </w:p>
  </w:footnote>
  <w:footnote w:id="392">
    <w:p w:rsidR="00F93F13" w:rsidRPr="00064619" w:rsidRDefault="00F93F13" w:rsidP="00064619">
      <w:pPr>
        <w:pStyle w:val="FootnoteText"/>
      </w:pPr>
      <w:r w:rsidRPr="00064619">
        <w:rPr>
          <w:rtl/>
        </w:rPr>
        <w:t>(</w:t>
      </w:r>
      <w:r w:rsidRPr="00064619">
        <w:rPr>
          <w:rtl/>
        </w:rPr>
        <w:footnoteRef/>
      </w:r>
      <w:r w:rsidRPr="00064619">
        <w:rPr>
          <w:rtl/>
        </w:rPr>
        <w:t>) المصدر نفسه 3: 203 ـ 205.</w:t>
      </w:r>
    </w:p>
  </w:footnote>
  <w:footnote w:id="393">
    <w:p w:rsidR="00F93F13" w:rsidRPr="00064619" w:rsidRDefault="00F93F13" w:rsidP="00064619">
      <w:pPr>
        <w:pStyle w:val="FootnoteText"/>
      </w:pPr>
      <w:r w:rsidRPr="00064619">
        <w:rPr>
          <w:rtl/>
        </w:rPr>
        <w:t>(</w:t>
      </w:r>
      <w:r w:rsidRPr="00064619">
        <w:rPr>
          <w:rtl/>
        </w:rPr>
        <w:footnoteRef/>
      </w:r>
      <w:r w:rsidRPr="00064619">
        <w:rPr>
          <w:rtl/>
        </w:rPr>
        <w:t>) المصدر نفسه 3: 226 ـ 227.</w:t>
      </w:r>
    </w:p>
  </w:footnote>
  <w:footnote w:id="394">
    <w:p w:rsidR="00F93F13" w:rsidRPr="00064619" w:rsidRDefault="00F93F13" w:rsidP="00064619">
      <w:pPr>
        <w:pStyle w:val="FootnoteText"/>
      </w:pPr>
      <w:r w:rsidRPr="00064619">
        <w:rPr>
          <w:rtl/>
        </w:rPr>
        <w:t>(</w:t>
      </w:r>
      <w:r w:rsidRPr="00064619">
        <w:rPr>
          <w:rtl/>
        </w:rPr>
        <w:footnoteRef/>
      </w:r>
      <w:r w:rsidRPr="00064619">
        <w:rPr>
          <w:rtl/>
        </w:rPr>
        <w:t>) المصدر نفسه 3: 228 ـ 229.</w:t>
      </w:r>
    </w:p>
  </w:footnote>
  <w:footnote w:id="395">
    <w:p w:rsidR="00F93F13" w:rsidRPr="00064619" w:rsidRDefault="00F93F13" w:rsidP="00064619">
      <w:pPr>
        <w:pStyle w:val="FootnoteText"/>
      </w:pPr>
      <w:r w:rsidRPr="00064619">
        <w:rPr>
          <w:rtl/>
        </w:rPr>
        <w:t>(</w:t>
      </w:r>
      <w:r w:rsidRPr="00064619">
        <w:rPr>
          <w:rtl/>
        </w:rPr>
        <w:footnoteRef/>
      </w:r>
      <w:r w:rsidRPr="00064619">
        <w:rPr>
          <w:rtl/>
        </w:rPr>
        <w:t>) المصدر نفسه 3: 228 ـ 229.</w:t>
      </w:r>
    </w:p>
  </w:footnote>
  <w:footnote w:id="396">
    <w:p w:rsidR="00F93F13" w:rsidRPr="00064619" w:rsidRDefault="00F93F13" w:rsidP="00064619">
      <w:pPr>
        <w:pStyle w:val="FootnoteText"/>
      </w:pPr>
      <w:r w:rsidRPr="00064619">
        <w:rPr>
          <w:rtl/>
        </w:rPr>
        <w:t>(</w:t>
      </w:r>
      <w:r w:rsidRPr="00064619">
        <w:rPr>
          <w:rtl/>
        </w:rPr>
        <w:footnoteRef/>
      </w:r>
      <w:r w:rsidRPr="00064619">
        <w:rPr>
          <w:rtl/>
        </w:rPr>
        <w:t>) المصدر نفسه 3: 236، 17/11/1357 / 1978 م.</w:t>
      </w:r>
    </w:p>
  </w:footnote>
  <w:footnote w:id="397">
    <w:p w:rsidR="00F93F13" w:rsidRPr="00064619" w:rsidRDefault="00F93F13" w:rsidP="00064619">
      <w:pPr>
        <w:pStyle w:val="FootnoteText"/>
      </w:pPr>
      <w:r w:rsidRPr="00064619">
        <w:rPr>
          <w:rtl/>
        </w:rPr>
        <w:t>(</w:t>
      </w:r>
      <w:r w:rsidRPr="00064619">
        <w:rPr>
          <w:rtl/>
        </w:rPr>
        <w:footnoteRef/>
      </w:r>
      <w:r w:rsidRPr="00064619">
        <w:rPr>
          <w:rtl/>
        </w:rPr>
        <w:t>) المصدر نفسه 3: 251 ـ 252، 18/11/1357 / 1978 م.</w:t>
      </w:r>
    </w:p>
  </w:footnote>
  <w:footnote w:id="398">
    <w:p w:rsidR="00F93F13" w:rsidRPr="00064619" w:rsidRDefault="00F93F13" w:rsidP="00064619">
      <w:pPr>
        <w:pStyle w:val="FootnoteText"/>
      </w:pPr>
      <w:r w:rsidRPr="00064619">
        <w:rPr>
          <w:rtl/>
        </w:rPr>
        <w:t>(</w:t>
      </w:r>
      <w:r w:rsidRPr="00064619">
        <w:rPr>
          <w:rtl/>
        </w:rPr>
        <w:footnoteRef/>
      </w:r>
      <w:r w:rsidRPr="00064619">
        <w:rPr>
          <w:rtl/>
        </w:rPr>
        <w:t>) في هذه المرحلة أشار السيد الخميني إلى مسألة ولاية الفقيه مرّة واحدة، وذلك في خطاب موجّه لأهل السنة «بنظر كبار علماء أهل السنّة فإنّ طاعة أولي الأمر واجبة، وأولو الأمر اليوم هم دولتنا ونحن» (صحيفه نور 1: 266، بتاريخ: 2/6/1358هـ.ش / 1979 م، ط1).</w:t>
      </w:r>
    </w:p>
  </w:footnote>
  <w:footnote w:id="399">
    <w:p w:rsidR="00F93F13" w:rsidRPr="00064619" w:rsidRDefault="00F93F13" w:rsidP="00064619">
      <w:pPr>
        <w:pStyle w:val="FootnoteText"/>
      </w:pPr>
      <w:r w:rsidRPr="00064619">
        <w:rPr>
          <w:rtl/>
        </w:rPr>
        <w:t>(</w:t>
      </w:r>
      <w:r w:rsidRPr="00064619">
        <w:rPr>
          <w:rtl/>
        </w:rPr>
        <w:footnoteRef/>
      </w:r>
      <w:r w:rsidRPr="00064619">
        <w:rPr>
          <w:rtl/>
        </w:rPr>
        <w:t>) راجع: حوار مرتضى مطهري في الإذاعة والتلفزيون حول الجمهورية الإسلامية، المنشور في كتاب «حول الثورة الإسلامية»: 79 ـ 86.</w:t>
      </w:r>
    </w:p>
  </w:footnote>
  <w:footnote w:id="400">
    <w:p w:rsidR="00F93F13" w:rsidRPr="00064619" w:rsidRDefault="00F93F13" w:rsidP="00064619">
      <w:pPr>
        <w:pStyle w:val="FootnoteText"/>
      </w:pPr>
      <w:r w:rsidRPr="00064619">
        <w:rPr>
          <w:rtl/>
        </w:rPr>
        <w:t>(</w:t>
      </w:r>
      <w:r w:rsidRPr="00064619">
        <w:rPr>
          <w:rtl/>
        </w:rPr>
        <w:footnoteRef/>
      </w:r>
      <w:r w:rsidRPr="00064619">
        <w:rPr>
          <w:rtl/>
        </w:rPr>
        <w:t>) صحيفة نور 4: 463.</w:t>
      </w:r>
    </w:p>
  </w:footnote>
  <w:footnote w:id="401">
    <w:p w:rsidR="00F93F13" w:rsidRPr="00064619" w:rsidRDefault="00F93F13" w:rsidP="00064619">
      <w:pPr>
        <w:pStyle w:val="FootnoteText"/>
      </w:pPr>
      <w:r w:rsidRPr="00064619">
        <w:rPr>
          <w:rtl/>
        </w:rPr>
        <w:t>(</w:t>
      </w:r>
      <w:r w:rsidRPr="00064619">
        <w:rPr>
          <w:rtl/>
        </w:rPr>
        <w:footnoteRef/>
      </w:r>
      <w:r w:rsidRPr="00064619">
        <w:rPr>
          <w:rtl/>
        </w:rPr>
        <w:t>) انظر: مقابلة السيد بهشتي عضو شورى الثورة مع صحيفة كيهان، في 26 خرداد 1358 / 1979 م؛ ومقابلة السيد موسوي أردبيلي مع صحيفة جمهوري إسلامي، في 28 خرداد 1358 / 1979 م؛ وكذلك مقابلة الدكتور يد الله سحابي الوزير المستشار لمجلس التخطيط للثورة في الصحيفة نفسها، وخصوصاً مقابلة الدكتور حسن حبيبي، الكاتب الأول لمسوَّدة الدستور، مع صحيفة كيهان، في 6، 10، 11، شهريور 1358 / 1979 م. أما الدكتور حسن آيت فيعتقد «أن الإمام الخميني اطَّلع على المسوّدة، ولكنه لم يوافق عليها، وسوف يدلي في خصوص ذلك برأيه في خلال شهر» (صحيفة جمهوري إسلامي، 16 تير 1358 / 1979 م). وللاطلاع على رأي حزب الجمهورية الإسلامية في خصوص هذه المسوّدة يمكن مراجعة صحيفة جمهوري إسلامي، في 6/4/1358 / 1979 م.</w:t>
      </w:r>
    </w:p>
  </w:footnote>
  <w:footnote w:id="402">
    <w:p w:rsidR="00F93F13" w:rsidRPr="00064619" w:rsidRDefault="00F93F13" w:rsidP="00064619">
      <w:pPr>
        <w:pStyle w:val="FootnoteText"/>
      </w:pPr>
      <w:r w:rsidRPr="00064619">
        <w:rPr>
          <w:rtl/>
        </w:rPr>
        <w:t>(</w:t>
      </w:r>
      <w:r w:rsidRPr="00064619">
        <w:rPr>
          <w:rtl/>
        </w:rPr>
        <w:footnoteRef/>
      </w:r>
      <w:r w:rsidRPr="00064619">
        <w:rPr>
          <w:rtl/>
        </w:rPr>
        <w:t>) تمّ نشر نصّ مسوّدة دستور الجمهورية الإسلاميّة في صحيفة كيهان بتاريخ 24 خرداد 1358 / 1979 م. وأمّا صحيفة جمهوري إسلامي فقد نشرت النص في 26 خرداد، ثم عادت ونشرت في تاريخ 30 خرداد 1358 / 1979 م مقدمة مسوّدة الدستور. وقد نشر هذا النصّ في المجلد الرابع من صورت مشروح مذاكرات مجلس بررسي نهايي قانون أساسي جمهوري إسلامي إيران: 3 ـ 22 (طهران، 1368هـ.ش).</w:t>
      </w:r>
    </w:p>
  </w:footnote>
  <w:footnote w:id="403">
    <w:p w:rsidR="00F93F13" w:rsidRPr="00064619" w:rsidRDefault="00F93F13" w:rsidP="00064619">
      <w:pPr>
        <w:pStyle w:val="FootnoteText"/>
      </w:pPr>
      <w:r w:rsidRPr="00064619">
        <w:rPr>
          <w:rtl/>
        </w:rPr>
        <w:t>(</w:t>
      </w:r>
      <w:r w:rsidRPr="00064619">
        <w:rPr>
          <w:rtl/>
        </w:rPr>
        <w:footnoteRef/>
      </w:r>
      <w:r w:rsidRPr="00064619">
        <w:rPr>
          <w:rtl/>
        </w:rPr>
        <w:t>) انظر: مقابلة الدكتور حسن حبيبي، الكاتب الأوّل لمسوّدة الدستور، مع صحيفة كيهان، في تاريخ 6، 10، 11 شهريور 1358 / 1979 م. وجاء في مطلع هذه المقابلة: «دكتور حسن حبيبي هو أحد الحقوقيين وعلماء الاجتماع، الذي أوكل إليه الإمام خلال فترة إقامته في باريس مهمة إعداد مسوّدة الدستور، ويعتبر المخطّط الذي وضعه من المصادر المقترحة التي قُدمت لمجلس صياغة الدستور». ويصرّح الدكتور حبيبي في أول المقابلة: «إن الإمام الخميني بصفته مرجعاً دينياً ومجتهداً مطلقاً، وبصفته قائداً للثورة، يتمتَّع بالولاية الشرعية». والجواب الذي نقلناه في المتن مأخوذ عن القسم الثالث من المقابلة «11 شهريور 1358 / 1979 م».</w:t>
      </w:r>
    </w:p>
  </w:footnote>
  <w:footnote w:id="404">
    <w:p w:rsidR="00F93F13" w:rsidRPr="00064619" w:rsidRDefault="00F93F13" w:rsidP="00064619">
      <w:pPr>
        <w:pStyle w:val="FootnoteText"/>
      </w:pPr>
      <w:r w:rsidRPr="00064619">
        <w:rPr>
          <w:rtl/>
        </w:rPr>
        <w:t>(</w:t>
      </w:r>
      <w:r w:rsidRPr="00064619">
        <w:rPr>
          <w:rtl/>
        </w:rPr>
        <w:footnoteRef/>
      </w:r>
      <w:r w:rsidRPr="00064619">
        <w:rPr>
          <w:rtl/>
        </w:rPr>
        <w:t>) صحيفه نور 4: 433.</w:t>
      </w:r>
    </w:p>
  </w:footnote>
  <w:footnote w:id="405">
    <w:p w:rsidR="00F93F13" w:rsidRPr="00064619" w:rsidRDefault="00F93F13" w:rsidP="00064619">
      <w:pPr>
        <w:pStyle w:val="FootnoteText"/>
      </w:pPr>
      <w:r w:rsidRPr="00064619">
        <w:rPr>
          <w:rtl/>
        </w:rPr>
        <w:t>(</w:t>
      </w:r>
      <w:r w:rsidRPr="00064619">
        <w:rPr>
          <w:rtl/>
        </w:rPr>
        <w:footnoteRef/>
      </w:r>
      <w:r w:rsidRPr="00064619">
        <w:rPr>
          <w:rtl/>
        </w:rPr>
        <w:t>) المصدر نفسه 4: 463؛ 3: 282، قرار تعيين المهندس بازرگان.</w:t>
      </w:r>
    </w:p>
  </w:footnote>
  <w:footnote w:id="406">
    <w:p w:rsidR="00F93F13" w:rsidRPr="00064619" w:rsidRDefault="00F93F13" w:rsidP="00064619">
      <w:pPr>
        <w:pStyle w:val="FootnoteText"/>
      </w:pPr>
      <w:r w:rsidRPr="00064619">
        <w:rPr>
          <w:rtl/>
        </w:rPr>
        <w:t>(</w:t>
      </w:r>
      <w:r w:rsidRPr="00064619">
        <w:rPr>
          <w:rtl/>
        </w:rPr>
        <w:footnoteRef/>
      </w:r>
      <w:r w:rsidRPr="00064619">
        <w:rPr>
          <w:rtl/>
        </w:rPr>
        <w:t>) ونشير ـ على سبيل المثال ـ إلى ثلاثة نماذج من آراء العلماء المطالبين بضرورة التركيز على إشراف الفقيه: بيان الشيخ منتظري، صحيفة كيهان، في 2 تير 1358 / 1979 م؛ مقابلة مع السيد صدوقي في صحيفة «كيهان»، في 10 تير 1358 / 1979 م؛ بيان السيد عبد الله الشيرازي في صحيفة كيهان، في 24 تير 1358 / 1979 م.</w:t>
      </w:r>
    </w:p>
  </w:footnote>
  <w:footnote w:id="407">
    <w:p w:rsidR="00F93F13" w:rsidRPr="00064619" w:rsidRDefault="00F93F13" w:rsidP="00064619">
      <w:pPr>
        <w:pStyle w:val="FootnoteText"/>
      </w:pPr>
      <w:r w:rsidRPr="00064619">
        <w:rPr>
          <w:rtl/>
        </w:rPr>
        <w:t>(</w:t>
      </w:r>
      <w:r w:rsidRPr="00064619">
        <w:rPr>
          <w:rtl/>
        </w:rPr>
        <w:footnoteRef/>
      </w:r>
      <w:r w:rsidRPr="00064619">
        <w:rPr>
          <w:rtl/>
        </w:rPr>
        <w:t>) ومن هؤلاء نذكر الدكتور حسن آيت، ومَنْ ينسجم معه فكرياً، وكذلك فؤاد كريمي. وقد عقد المسلمون المنتقدون للدستور مؤتمراً في طهران، في شهر تير 1358 / 1979 م. وجاء في التوصية التي صدرت عن المؤتمر: «إنّ صلاحيات رئيس الجمهورية هي صلاحيات الولي الفقيه. ولذلك يجب أن يكون رئيس الجمهورية فقيهاً، وإذا لم يتمّ ذلك فلا بُدَّ من ذكر القوانين المختصّة بصلاحيات الإمام وولاية الفقيه بشكل مستقلّ» (صحيفة جمهوري إسلامي، 25 تير 1358) / 1979 م.</w:t>
      </w:r>
    </w:p>
  </w:footnote>
  <w:footnote w:id="408">
    <w:p w:rsidR="00F93F13" w:rsidRPr="00064619" w:rsidRDefault="00F93F13" w:rsidP="00064619">
      <w:pPr>
        <w:pStyle w:val="FootnoteText"/>
      </w:pPr>
      <w:r w:rsidRPr="00064619">
        <w:rPr>
          <w:rtl/>
        </w:rPr>
        <w:t>(</w:t>
      </w:r>
      <w:r w:rsidRPr="00064619">
        <w:rPr>
          <w:rtl/>
        </w:rPr>
        <w:footnoteRef/>
      </w:r>
      <w:r w:rsidRPr="00064619">
        <w:rPr>
          <w:rtl/>
        </w:rPr>
        <w:t>) صحيفه جمهوري إسلامي، 30/3/1358هـ.ش / 1979 م.</w:t>
      </w:r>
    </w:p>
  </w:footnote>
  <w:footnote w:id="409">
    <w:p w:rsidR="00F93F13" w:rsidRPr="00064619" w:rsidRDefault="00F93F13" w:rsidP="00064619">
      <w:pPr>
        <w:pStyle w:val="FootnoteText"/>
      </w:pPr>
      <w:r w:rsidRPr="00064619">
        <w:rPr>
          <w:rtl/>
        </w:rPr>
        <w:t>(</w:t>
      </w:r>
      <w:r w:rsidRPr="00064619">
        <w:rPr>
          <w:rtl/>
        </w:rPr>
        <w:footnoteRef/>
      </w:r>
      <w:r w:rsidRPr="00064619">
        <w:rPr>
          <w:rtl/>
        </w:rPr>
        <w:t>) صحيفه كيهان، 1/5/1358هـ.ش / 1979 م.</w:t>
      </w:r>
    </w:p>
  </w:footnote>
  <w:footnote w:id="410">
    <w:p w:rsidR="00F93F13" w:rsidRPr="00064619" w:rsidRDefault="00F93F13" w:rsidP="00064619">
      <w:pPr>
        <w:pStyle w:val="FootnoteText"/>
      </w:pPr>
      <w:r w:rsidRPr="00064619">
        <w:rPr>
          <w:rtl/>
        </w:rPr>
        <w:t>(</w:t>
      </w:r>
      <w:r w:rsidRPr="00064619">
        <w:rPr>
          <w:rtl/>
        </w:rPr>
        <w:footnoteRef/>
      </w:r>
      <w:r w:rsidRPr="00064619">
        <w:rPr>
          <w:rtl/>
        </w:rPr>
        <w:t>) صحيفه جمهوري إسلامي، 24 تير 1358 / 1979 م.</w:t>
      </w:r>
    </w:p>
  </w:footnote>
  <w:footnote w:id="411">
    <w:p w:rsidR="00F93F13" w:rsidRPr="00064619" w:rsidRDefault="00F93F13" w:rsidP="00064619">
      <w:pPr>
        <w:pStyle w:val="FootnoteText"/>
      </w:pPr>
      <w:r w:rsidRPr="00064619">
        <w:rPr>
          <w:rtl/>
        </w:rPr>
        <w:t>(</w:t>
      </w:r>
      <w:r w:rsidRPr="00064619">
        <w:rPr>
          <w:rtl/>
        </w:rPr>
        <w:footnoteRef/>
      </w:r>
      <w:r w:rsidRPr="00064619">
        <w:rPr>
          <w:rtl/>
        </w:rPr>
        <w:t>) صحيفه نور</w:t>
      </w:r>
      <w:r>
        <w:rPr>
          <w:rFonts w:hint="cs"/>
          <w:rtl/>
        </w:rPr>
        <w:t>8: 75</w:t>
      </w:r>
      <w:r w:rsidRPr="00064619">
        <w:rPr>
          <w:rtl/>
        </w:rPr>
        <w:t>.</w:t>
      </w:r>
    </w:p>
  </w:footnote>
  <w:footnote w:id="412">
    <w:p w:rsidR="00F93F13" w:rsidRPr="00064619" w:rsidRDefault="00F93F13" w:rsidP="00064619">
      <w:pPr>
        <w:pStyle w:val="FootnoteText"/>
      </w:pPr>
      <w:r w:rsidRPr="00064619">
        <w:rPr>
          <w:rtl/>
        </w:rPr>
        <w:t>(</w:t>
      </w:r>
      <w:r w:rsidRPr="00064619">
        <w:rPr>
          <w:rtl/>
        </w:rPr>
        <w:footnoteRef/>
      </w:r>
      <w:r w:rsidRPr="00064619">
        <w:rPr>
          <w:rtl/>
        </w:rPr>
        <w:t>) المصدر نفسه.</w:t>
      </w:r>
    </w:p>
  </w:footnote>
  <w:footnote w:id="413">
    <w:p w:rsidR="00F93F13" w:rsidRPr="00064619" w:rsidRDefault="00F93F13" w:rsidP="008B4604">
      <w:pPr>
        <w:pStyle w:val="FootnoteText"/>
      </w:pPr>
      <w:r w:rsidRPr="00064619">
        <w:rPr>
          <w:rtl/>
        </w:rPr>
        <w:t>(</w:t>
      </w:r>
      <w:r w:rsidRPr="00064619">
        <w:rPr>
          <w:rtl/>
        </w:rPr>
        <w:footnoteRef/>
      </w:r>
      <w:r w:rsidRPr="00064619">
        <w:rPr>
          <w:rtl/>
        </w:rPr>
        <w:t>) صحيفه نور 8: 256، 28/5/1358هـ.ش / 1979 م؛ صورت مشروح مذاكرات مجلس بررسي نهايي قانون أساسي جمهوري إسلامي إيران 1: 5 ـ 6.</w:t>
      </w:r>
    </w:p>
  </w:footnote>
  <w:footnote w:id="414">
    <w:p w:rsidR="00F93F13" w:rsidRPr="00064619" w:rsidRDefault="00F93F13" w:rsidP="00064619">
      <w:pPr>
        <w:pStyle w:val="FootnoteText"/>
      </w:pPr>
      <w:r w:rsidRPr="00064619">
        <w:rPr>
          <w:rtl/>
        </w:rPr>
        <w:t>(</w:t>
      </w:r>
      <w:r w:rsidRPr="00064619">
        <w:rPr>
          <w:rtl/>
        </w:rPr>
        <w:footnoteRef/>
      </w:r>
      <w:r w:rsidRPr="00064619">
        <w:rPr>
          <w:rtl/>
        </w:rPr>
        <w:t>) يوم الجمعة 23 شهريور 1358 / 1979 م كانت أول صلاة جمعة تقام، وكانت بإمامة إمام جمعة طهران الثاني الشيخ منتظري، كيهان 24/6/1358 / 1979 م.</w:t>
      </w:r>
    </w:p>
  </w:footnote>
  <w:footnote w:id="415">
    <w:p w:rsidR="00F93F13" w:rsidRPr="00064619" w:rsidRDefault="00F93F13" w:rsidP="00064619">
      <w:pPr>
        <w:pStyle w:val="FootnoteText"/>
      </w:pPr>
      <w:r w:rsidRPr="00064619">
        <w:rPr>
          <w:rtl/>
        </w:rPr>
        <w:t>(</w:t>
      </w:r>
      <w:r w:rsidRPr="00064619">
        <w:rPr>
          <w:rtl/>
        </w:rPr>
        <w:footnoteRef/>
      </w:r>
      <w:r w:rsidRPr="00064619">
        <w:rPr>
          <w:rtl/>
        </w:rPr>
        <w:t>) «ضامن انقلاب ما ولاية فقيه است (ولاية الفقيه هي ضمانة ثورتنا)» (كيهان، 7 مهر 1358) / 1979 م.</w:t>
      </w:r>
    </w:p>
  </w:footnote>
  <w:footnote w:id="416">
    <w:p w:rsidR="00F93F13" w:rsidRPr="00064619" w:rsidRDefault="00F93F13" w:rsidP="00064619">
      <w:pPr>
        <w:pStyle w:val="FootnoteText"/>
      </w:pPr>
      <w:r w:rsidRPr="00064619">
        <w:rPr>
          <w:rtl/>
        </w:rPr>
        <w:t>(</w:t>
      </w:r>
      <w:r w:rsidRPr="00064619">
        <w:rPr>
          <w:rtl/>
        </w:rPr>
        <w:footnoteRef/>
      </w:r>
      <w:r w:rsidRPr="00064619">
        <w:rPr>
          <w:rtl/>
        </w:rPr>
        <w:t>) البند الثاني من بيان المظاهرات المتضامنة مع السيد الخميني: «نعلن مرة أخرى ونؤكد على ارتباطنا الوثيق ومبايعتنا وتعلُّقنا بإمام الأمة، ونبايع القيادة على أساس ولاية الفقيه، بكل ما لدينا من قوة وإمكانات، حتّى آخر قطرة دم» (كيهان، 5/8/1358هـ.ش / 1979 م).</w:t>
      </w:r>
    </w:p>
  </w:footnote>
  <w:footnote w:id="417">
    <w:p w:rsidR="00F93F13" w:rsidRPr="00064619" w:rsidRDefault="00F93F13" w:rsidP="00064619">
      <w:pPr>
        <w:pStyle w:val="FootnoteText"/>
      </w:pPr>
      <w:r w:rsidRPr="00064619">
        <w:rPr>
          <w:rtl/>
        </w:rPr>
        <w:t>(</w:t>
      </w:r>
      <w:r w:rsidRPr="00064619">
        <w:rPr>
          <w:rtl/>
        </w:rPr>
        <w:footnoteRef/>
      </w:r>
      <w:r w:rsidRPr="00064619">
        <w:rPr>
          <w:rtl/>
        </w:rPr>
        <w:t>) صحيفه نور 3: 228.</w:t>
      </w:r>
    </w:p>
  </w:footnote>
  <w:footnote w:id="418">
    <w:p w:rsidR="00F93F13" w:rsidRPr="00064619" w:rsidRDefault="00F93F13" w:rsidP="00064619">
      <w:pPr>
        <w:pStyle w:val="FootnoteText"/>
      </w:pPr>
      <w:r w:rsidRPr="00064619">
        <w:rPr>
          <w:rtl/>
        </w:rPr>
        <w:t>(</w:t>
      </w:r>
      <w:r w:rsidRPr="00064619">
        <w:rPr>
          <w:rtl/>
        </w:rPr>
        <w:footnoteRef/>
      </w:r>
      <w:r w:rsidRPr="00064619">
        <w:rPr>
          <w:rtl/>
        </w:rPr>
        <w:t>) المصدر نفسه 4: 282.</w:t>
      </w:r>
    </w:p>
  </w:footnote>
  <w:footnote w:id="419">
    <w:p w:rsidR="00F93F13" w:rsidRPr="00064619" w:rsidRDefault="00F93F13" w:rsidP="00064619">
      <w:pPr>
        <w:pStyle w:val="FootnoteText"/>
      </w:pPr>
      <w:r w:rsidRPr="00064619">
        <w:rPr>
          <w:rtl/>
        </w:rPr>
        <w:t>(</w:t>
      </w:r>
      <w:r w:rsidRPr="00064619">
        <w:rPr>
          <w:rtl/>
        </w:rPr>
        <w:footnoteRef/>
      </w:r>
      <w:r w:rsidRPr="00064619">
        <w:rPr>
          <w:rtl/>
        </w:rPr>
        <w:t>) وللتعرُّف أكثر على الأسباب التي دعت إلى تأسيس مجلس الخبراء عوضاً عن تشكيل المجلس التأسيسيّ للدستور راجع: المقابلة التي أجريت مع المستشار السياسي في وزارة الداخلية الدكتور صادق طباطبائي، في صحيفتا كيهان وجمهوري إسلامي، 23/3/1358 / 1979 م.</w:t>
      </w:r>
    </w:p>
  </w:footnote>
  <w:footnote w:id="420">
    <w:p w:rsidR="00F93F13" w:rsidRPr="00064619" w:rsidRDefault="00F93F13" w:rsidP="00064619">
      <w:pPr>
        <w:pStyle w:val="FootnoteText"/>
      </w:pPr>
      <w:r w:rsidRPr="00064619">
        <w:rPr>
          <w:rtl/>
        </w:rPr>
        <w:t>(</w:t>
      </w:r>
      <w:r w:rsidRPr="00064619">
        <w:rPr>
          <w:rtl/>
        </w:rPr>
        <w:footnoteRef/>
      </w:r>
      <w:r w:rsidRPr="00064619">
        <w:rPr>
          <w:rtl/>
        </w:rPr>
        <w:t>) راجع: مشروح مذاكرات مجلس بررسي نهايي قانون أساسي جمهوري إسلامي إيران 4: 3 ـ 23، مسودة الدستور وقائمة أصول الدستور، الأصل الخامس، في ص 60.</w:t>
      </w:r>
    </w:p>
  </w:footnote>
  <w:footnote w:id="421">
    <w:p w:rsidR="00F93F13" w:rsidRPr="000E5EF9" w:rsidRDefault="00F93F13" w:rsidP="00064619">
      <w:pPr>
        <w:pStyle w:val="FootnoteText"/>
        <w:rPr>
          <w:sz w:val="18"/>
          <w:szCs w:val="24"/>
          <w:rtl/>
        </w:rPr>
      </w:pPr>
      <w:r w:rsidRPr="000E5EF9">
        <w:rPr>
          <w:sz w:val="18"/>
          <w:szCs w:val="24"/>
          <w:rtl/>
        </w:rPr>
        <w:t>(</w:t>
      </w:r>
      <w:r w:rsidRPr="000E5EF9">
        <w:rPr>
          <w:sz w:val="18"/>
          <w:szCs w:val="24"/>
          <w:rtl/>
        </w:rPr>
        <w:footnoteRef/>
      </w:r>
      <w:r w:rsidRPr="000E5EF9">
        <w:rPr>
          <w:sz w:val="18"/>
          <w:szCs w:val="24"/>
          <w:rtl/>
        </w:rPr>
        <w:t>) راجع: مشروح مذاكرات مجلس بررسي نهايي قانون أساسي جمهوري إسلامي إيران 1: 379.</w:t>
      </w:r>
    </w:p>
  </w:footnote>
  <w:footnote w:id="422">
    <w:p w:rsidR="00F93F13" w:rsidRPr="00064619" w:rsidRDefault="00F93F13" w:rsidP="00064619">
      <w:pPr>
        <w:pStyle w:val="FootnoteText"/>
        <w:rPr>
          <w:rtl/>
        </w:rPr>
      </w:pPr>
      <w:r w:rsidRPr="00064619">
        <w:rPr>
          <w:rtl/>
        </w:rPr>
        <w:t>(</w:t>
      </w:r>
      <w:r w:rsidRPr="00064619">
        <w:footnoteRef/>
      </w:r>
      <w:r w:rsidRPr="00064619">
        <w:t xml:space="preserve"> </w:t>
      </w:r>
      <w:r w:rsidRPr="00064619">
        <w:rPr>
          <w:rtl/>
        </w:rPr>
        <w:t xml:space="preserve">) المصدر نفسه،  1: الجلسة الأولى إلى الثامنة. </w:t>
      </w:r>
    </w:p>
  </w:footnote>
  <w:footnote w:id="423">
    <w:p w:rsidR="00F93F13" w:rsidRPr="00064619" w:rsidRDefault="00F93F13" w:rsidP="00064619">
      <w:pPr>
        <w:pStyle w:val="FootnoteText"/>
        <w:rPr>
          <w:rtl/>
        </w:rPr>
      </w:pPr>
      <w:r w:rsidRPr="00064619">
        <w:rPr>
          <w:rtl/>
        </w:rPr>
        <w:t>(</w:t>
      </w:r>
      <w:r w:rsidRPr="00064619">
        <w:footnoteRef/>
      </w:r>
      <w:r w:rsidRPr="00064619">
        <w:t xml:space="preserve"> </w:t>
      </w:r>
      <w:r w:rsidRPr="00064619">
        <w:rPr>
          <w:rtl/>
        </w:rPr>
        <w:t>) المصدر نفسه، 1: 382.</w:t>
      </w:r>
    </w:p>
  </w:footnote>
  <w:footnote w:id="424">
    <w:p w:rsidR="00F93F13" w:rsidRPr="00064619" w:rsidRDefault="00F93F13" w:rsidP="00064619">
      <w:pPr>
        <w:pStyle w:val="FootnoteText"/>
        <w:rPr>
          <w:rtl/>
        </w:rPr>
      </w:pPr>
      <w:r w:rsidRPr="00064619">
        <w:rPr>
          <w:rtl/>
        </w:rPr>
        <w:t>(</w:t>
      </w:r>
      <w:r w:rsidRPr="00064619">
        <w:footnoteRef/>
      </w:r>
      <w:r w:rsidRPr="00064619">
        <w:t xml:space="preserve"> </w:t>
      </w:r>
      <w:r w:rsidRPr="00064619">
        <w:rPr>
          <w:rtl/>
        </w:rPr>
        <w:t>)  المصدر نفسه 1: 384.</w:t>
      </w:r>
    </w:p>
  </w:footnote>
  <w:footnote w:id="425">
    <w:p w:rsidR="00F93F13" w:rsidRPr="00064619" w:rsidRDefault="00F93F13" w:rsidP="00064619">
      <w:pPr>
        <w:pStyle w:val="FootnoteText"/>
      </w:pPr>
      <w:r w:rsidRPr="00064619">
        <w:rPr>
          <w:rtl/>
        </w:rPr>
        <w:t>(</w:t>
      </w:r>
      <w:r w:rsidRPr="00064619">
        <w:rPr>
          <w:rtl/>
        </w:rPr>
        <w:footnoteRef/>
      </w:r>
      <w:r w:rsidRPr="00064619">
        <w:rPr>
          <w:rtl/>
        </w:rPr>
        <w:t>) المصدر نفسه: 376 ـ 381 (مع تلخيص).</w:t>
      </w:r>
    </w:p>
  </w:footnote>
  <w:footnote w:id="426">
    <w:p w:rsidR="00F93F13" w:rsidRPr="00064619" w:rsidRDefault="00F93F13" w:rsidP="00064619">
      <w:pPr>
        <w:pStyle w:val="FootnoteText"/>
      </w:pPr>
      <w:r w:rsidRPr="00064619">
        <w:rPr>
          <w:rtl/>
        </w:rPr>
        <w:t>(</w:t>
      </w:r>
      <w:r w:rsidRPr="00064619">
        <w:rPr>
          <w:rtl/>
        </w:rPr>
        <w:footnoteRef/>
      </w:r>
      <w:r w:rsidRPr="00064619">
        <w:rPr>
          <w:rtl/>
        </w:rPr>
        <w:t>) المصدر نفسه 1: 383، رأي عزت الله سحابي، ممثِّل مدينة طهران في مجلس خبراء الدستور، والعضو في شورى الثورة الإسلامية. وراجع أيضاً: رأي عضو آخر من مجلس الخبراء، وهو الشيخ محمد جواد حجتي كرماني، في صفحة 382 ـ 383.</w:t>
      </w:r>
    </w:p>
  </w:footnote>
  <w:footnote w:id="427">
    <w:p w:rsidR="00F93F13" w:rsidRPr="00064619" w:rsidRDefault="00F93F13" w:rsidP="00064619">
      <w:pPr>
        <w:pStyle w:val="FootnoteText"/>
      </w:pPr>
      <w:r w:rsidRPr="00064619">
        <w:rPr>
          <w:rtl/>
        </w:rPr>
        <w:t>(</w:t>
      </w:r>
      <w:r w:rsidRPr="00064619">
        <w:rPr>
          <w:rtl/>
        </w:rPr>
        <w:footnoteRef/>
      </w:r>
      <w:r w:rsidRPr="00064619">
        <w:rPr>
          <w:rtl/>
        </w:rPr>
        <w:t>) النقاشات حول الأصل الخامس من الدستور (ولاية الفقيه) دُوّنت من الصفحة 373 إلى الصفحة 384، أي في 11 صفحة فقط من المجلَّد الأول.</w:t>
      </w:r>
    </w:p>
  </w:footnote>
  <w:footnote w:id="428">
    <w:p w:rsidR="00F93F13" w:rsidRPr="00064619" w:rsidRDefault="00F93F13" w:rsidP="00064619">
      <w:pPr>
        <w:pStyle w:val="FootnoteText"/>
      </w:pPr>
      <w:r w:rsidRPr="00064619">
        <w:rPr>
          <w:rtl/>
        </w:rPr>
        <w:t>(</w:t>
      </w:r>
      <w:r w:rsidRPr="00064619">
        <w:rPr>
          <w:rtl/>
        </w:rPr>
        <w:footnoteRef/>
      </w:r>
      <w:r w:rsidRPr="00064619">
        <w:rPr>
          <w:rtl/>
        </w:rPr>
        <w:t>) راجع: مشروح مذاكرات قانون أساسي... 1: 510 ـ 544، الجلستان 20، و21.</w:t>
      </w:r>
    </w:p>
  </w:footnote>
  <w:footnote w:id="429">
    <w:p w:rsidR="00F93F13" w:rsidRPr="00064619" w:rsidRDefault="00F93F13" w:rsidP="00064619">
      <w:pPr>
        <w:pStyle w:val="FootnoteText"/>
      </w:pPr>
      <w:r w:rsidRPr="00064619">
        <w:rPr>
          <w:rtl/>
        </w:rPr>
        <w:t>(</w:t>
      </w:r>
      <w:r w:rsidRPr="00064619">
        <w:rPr>
          <w:rtl/>
        </w:rPr>
        <w:footnoteRef/>
      </w:r>
      <w:r w:rsidRPr="00064619">
        <w:rPr>
          <w:rtl/>
        </w:rPr>
        <w:t>) راجع: خطابات العلماء السادة: أبو الفضل موسوي تبريزي؛ كرمي؛ لطف الله صافي، في نفس الجلسة.</w:t>
      </w:r>
    </w:p>
  </w:footnote>
  <w:footnote w:id="430">
    <w:p w:rsidR="00F93F13" w:rsidRPr="00064619" w:rsidRDefault="00F93F13" w:rsidP="00064619">
      <w:pPr>
        <w:pStyle w:val="FootnoteText"/>
      </w:pPr>
      <w:r w:rsidRPr="00064619">
        <w:rPr>
          <w:rtl/>
        </w:rPr>
        <w:t>(</w:t>
      </w:r>
      <w:r w:rsidRPr="00064619">
        <w:rPr>
          <w:rtl/>
        </w:rPr>
        <w:footnoteRef/>
      </w:r>
      <w:r w:rsidRPr="00064619">
        <w:rPr>
          <w:rtl/>
        </w:rPr>
        <w:t>) المصدر نفسه: 522 ـ 524، رأي السيد بهشتي.</w:t>
      </w:r>
    </w:p>
  </w:footnote>
  <w:footnote w:id="431">
    <w:p w:rsidR="00F93F13" w:rsidRPr="00064619" w:rsidRDefault="00F93F13" w:rsidP="00064619">
      <w:pPr>
        <w:pStyle w:val="FootnoteText"/>
      </w:pPr>
      <w:r w:rsidRPr="00064619">
        <w:rPr>
          <w:rtl/>
        </w:rPr>
        <w:t>(</w:t>
      </w:r>
      <w:r w:rsidRPr="00064619">
        <w:rPr>
          <w:rtl/>
        </w:rPr>
        <w:footnoteRef/>
      </w:r>
      <w:r w:rsidRPr="00064619">
        <w:rPr>
          <w:rtl/>
        </w:rPr>
        <w:t>) المصدر نفسه: 539، رأي السيد أبو الفضل موسوي تبريزي.</w:t>
      </w:r>
    </w:p>
  </w:footnote>
  <w:footnote w:id="432">
    <w:p w:rsidR="00F93F13" w:rsidRPr="00064619" w:rsidRDefault="00F93F13" w:rsidP="00064619">
      <w:pPr>
        <w:pStyle w:val="FootnoteText"/>
        <w:rPr>
          <w:rtl/>
        </w:rPr>
      </w:pPr>
      <w:r w:rsidRPr="00064619">
        <w:rPr>
          <w:rtl/>
        </w:rPr>
        <w:t>(</w:t>
      </w:r>
      <w:r w:rsidRPr="00064619">
        <w:rPr>
          <w:rtl/>
        </w:rPr>
        <w:footnoteRef/>
      </w:r>
      <w:r w:rsidRPr="00064619">
        <w:rPr>
          <w:rtl/>
        </w:rPr>
        <w:t>) راجع: مشروح مذاكرات قانون أساسي... 1: 544، و4: 125.</w:t>
      </w:r>
    </w:p>
  </w:footnote>
  <w:footnote w:id="433">
    <w:p w:rsidR="00F93F13" w:rsidRPr="00064619" w:rsidRDefault="00F93F13" w:rsidP="00064619">
      <w:pPr>
        <w:pStyle w:val="FootnoteText"/>
      </w:pPr>
      <w:r w:rsidRPr="00064619">
        <w:rPr>
          <w:rtl/>
        </w:rPr>
        <w:t>(</w:t>
      </w:r>
      <w:r w:rsidRPr="00064619">
        <w:rPr>
          <w:rtl/>
        </w:rPr>
        <w:footnoteRef/>
      </w:r>
      <w:r w:rsidRPr="00064619">
        <w:rPr>
          <w:rtl/>
        </w:rPr>
        <w:t>) المصدر نفسه: 1130، رأي السيد بهشتي، نائب رئيس مجلس صياغة الدستور.</w:t>
      </w:r>
    </w:p>
  </w:footnote>
  <w:footnote w:id="434">
    <w:p w:rsidR="00F93F13" w:rsidRPr="00064619" w:rsidRDefault="00F93F13" w:rsidP="00064619">
      <w:pPr>
        <w:pStyle w:val="FootnoteText"/>
      </w:pPr>
      <w:r w:rsidRPr="00064619">
        <w:rPr>
          <w:rtl/>
        </w:rPr>
        <w:t>(</w:t>
      </w:r>
      <w:r w:rsidRPr="00064619">
        <w:rPr>
          <w:rtl/>
        </w:rPr>
        <w:footnoteRef/>
      </w:r>
      <w:r w:rsidRPr="00064619">
        <w:rPr>
          <w:rtl/>
        </w:rPr>
        <w:t>) المصدر نفسه: 1115 ـ 1116، رأي الشيخ ناصر مكارم الشيرازي، ممثِّل محافظة فارس في مجلس خبراء الدستور.</w:t>
      </w:r>
    </w:p>
  </w:footnote>
  <w:footnote w:id="435">
    <w:p w:rsidR="00F93F13" w:rsidRPr="00064619" w:rsidRDefault="00F93F13" w:rsidP="00064619">
      <w:pPr>
        <w:pStyle w:val="FootnoteText"/>
      </w:pPr>
      <w:r w:rsidRPr="00064619">
        <w:rPr>
          <w:rtl/>
        </w:rPr>
        <w:t>(</w:t>
      </w:r>
      <w:r w:rsidRPr="00064619">
        <w:rPr>
          <w:rtl/>
        </w:rPr>
        <w:footnoteRef/>
      </w:r>
      <w:r w:rsidRPr="00064619">
        <w:rPr>
          <w:rtl/>
        </w:rPr>
        <w:t>) التمديد الأول من 31 يوماً إلى 46 يوماً في تاريخ 27 شهريور 1358، مشروح مذاكرات مجلس بررسي نهايي قانون إسلامي: 531.</w:t>
      </w:r>
    </w:p>
  </w:footnote>
  <w:footnote w:id="436">
    <w:p w:rsidR="00F93F13" w:rsidRPr="00064619" w:rsidRDefault="00F93F13" w:rsidP="00064619">
      <w:pPr>
        <w:pStyle w:val="FootnoteText"/>
      </w:pPr>
      <w:r w:rsidRPr="00064619">
        <w:rPr>
          <w:rtl/>
        </w:rPr>
        <w:t>(</w:t>
      </w:r>
      <w:r w:rsidRPr="00064619">
        <w:rPr>
          <w:rtl/>
        </w:rPr>
        <w:footnoteRef/>
      </w:r>
      <w:r w:rsidRPr="00064619">
        <w:rPr>
          <w:rtl/>
        </w:rPr>
        <w:t>) المصدر نفسه 4: 307، التقرير الكامل عن أعمال مجلس الصياغة النهائيّة للدستور، والنتائج الناجمة عنه. والجدير بالذكر أن عدد المشاركين في الاستفتاء العام حول الجمهورية الإسلامية الذي أقيم في فروردين 1358 كان 20439908 شخصاً، والذين صوّتوا لصالح الجمهورية الإسلامية كانوا 20286353 شخصاً (راجع: انتخابات در جمهوري إسلامي إيران، نتايج همه پرسي ها، الصادر عن وزارت الداخلية، القسم السياسي والاجتماعي، مكتب الانتخابات، 1373.</w:t>
      </w:r>
    </w:p>
  </w:footnote>
  <w:footnote w:id="437">
    <w:p w:rsidR="00F93F13" w:rsidRPr="00064619" w:rsidRDefault="00F93F13" w:rsidP="008B4604">
      <w:pPr>
        <w:pStyle w:val="FootnoteText"/>
      </w:pPr>
      <w:r w:rsidRPr="00064619">
        <w:rPr>
          <w:rtl/>
        </w:rPr>
        <w:t>(</w:t>
      </w:r>
      <w:r w:rsidRPr="00064619">
        <w:rPr>
          <w:rtl/>
        </w:rPr>
        <w:footnoteRef/>
      </w:r>
      <w:r w:rsidRPr="00064619">
        <w:rPr>
          <w:rtl/>
        </w:rPr>
        <w:t>) صحيفه نور 5: 522، 28/6/1358هـ.ش / 1979 م.</w:t>
      </w:r>
    </w:p>
  </w:footnote>
  <w:footnote w:id="438">
    <w:p w:rsidR="00F93F13" w:rsidRPr="00064619" w:rsidRDefault="00F93F13" w:rsidP="00064619">
      <w:pPr>
        <w:pStyle w:val="FootnoteText"/>
      </w:pPr>
      <w:r w:rsidRPr="00064619">
        <w:rPr>
          <w:rtl/>
        </w:rPr>
        <w:t>(</w:t>
      </w:r>
      <w:r w:rsidRPr="00064619">
        <w:rPr>
          <w:rtl/>
        </w:rPr>
        <w:footnoteRef/>
      </w:r>
      <w:r w:rsidRPr="00064619">
        <w:rPr>
          <w:rtl/>
        </w:rPr>
        <w:t>) صحيفه نور 6: 95 ـ 98.</w:t>
      </w:r>
    </w:p>
  </w:footnote>
  <w:footnote w:id="439">
    <w:p w:rsidR="00F93F13" w:rsidRPr="00064619" w:rsidRDefault="00F93F13" w:rsidP="00064619">
      <w:pPr>
        <w:pStyle w:val="FootnoteText"/>
      </w:pPr>
      <w:r w:rsidRPr="00064619">
        <w:rPr>
          <w:rtl/>
        </w:rPr>
        <w:t>(</w:t>
      </w:r>
      <w:r w:rsidRPr="00064619">
        <w:rPr>
          <w:rtl/>
        </w:rPr>
        <w:footnoteRef/>
      </w:r>
      <w:r w:rsidRPr="00064619">
        <w:rPr>
          <w:rtl/>
        </w:rPr>
        <w:t>) المصدر نفسه: 118.</w:t>
      </w:r>
    </w:p>
  </w:footnote>
  <w:footnote w:id="440">
    <w:p w:rsidR="00F93F13" w:rsidRPr="00064619" w:rsidRDefault="00F93F13" w:rsidP="00064619">
      <w:pPr>
        <w:pStyle w:val="FootnoteText"/>
      </w:pPr>
      <w:r w:rsidRPr="00064619">
        <w:rPr>
          <w:rtl/>
        </w:rPr>
        <w:t>(</w:t>
      </w:r>
      <w:r w:rsidRPr="00064619">
        <w:rPr>
          <w:rtl/>
        </w:rPr>
        <w:footnoteRef/>
      </w:r>
      <w:r w:rsidRPr="00064619">
        <w:rPr>
          <w:rtl/>
        </w:rPr>
        <w:t>) المصدر نفسه: 161.</w:t>
      </w:r>
    </w:p>
  </w:footnote>
  <w:footnote w:id="441">
    <w:p w:rsidR="00F93F13" w:rsidRPr="00064619" w:rsidRDefault="00F93F13" w:rsidP="00064619">
      <w:pPr>
        <w:pStyle w:val="FootnoteText"/>
      </w:pPr>
      <w:r w:rsidRPr="00064619">
        <w:rPr>
          <w:rtl/>
        </w:rPr>
        <w:t>(</w:t>
      </w:r>
      <w:r w:rsidRPr="00064619">
        <w:rPr>
          <w:rtl/>
        </w:rPr>
        <w:footnoteRef/>
      </w:r>
      <w:r w:rsidRPr="00064619">
        <w:rPr>
          <w:rtl/>
        </w:rPr>
        <w:t>) المصدر نفسه: 34.</w:t>
      </w:r>
    </w:p>
  </w:footnote>
  <w:footnote w:id="442">
    <w:p w:rsidR="00F93F13" w:rsidRPr="00064619" w:rsidRDefault="00F93F13" w:rsidP="00064619">
      <w:pPr>
        <w:pStyle w:val="FootnoteText"/>
      </w:pPr>
      <w:r w:rsidRPr="00064619">
        <w:rPr>
          <w:rtl/>
        </w:rPr>
        <w:t>(</w:t>
      </w:r>
      <w:r w:rsidRPr="00064619">
        <w:rPr>
          <w:rtl/>
        </w:rPr>
        <w:footnoteRef/>
      </w:r>
      <w:r w:rsidRPr="00064619">
        <w:rPr>
          <w:rtl/>
        </w:rPr>
        <w:t>) المصدر نفسه: 118.</w:t>
      </w:r>
    </w:p>
  </w:footnote>
  <w:footnote w:id="443">
    <w:p w:rsidR="00F93F13" w:rsidRPr="00064619" w:rsidRDefault="00F93F13" w:rsidP="00064619">
      <w:pPr>
        <w:pStyle w:val="FootnoteText"/>
      </w:pPr>
      <w:r w:rsidRPr="00064619">
        <w:rPr>
          <w:rtl/>
        </w:rPr>
        <w:t>(</w:t>
      </w:r>
      <w:r w:rsidRPr="00064619">
        <w:rPr>
          <w:rtl/>
        </w:rPr>
        <w:footnoteRef/>
      </w:r>
      <w:r w:rsidRPr="00064619">
        <w:rPr>
          <w:rtl/>
        </w:rPr>
        <w:t>) المصدر نفسه: 118.</w:t>
      </w:r>
    </w:p>
  </w:footnote>
  <w:footnote w:id="444">
    <w:p w:rsidR="00F93F13" w:rsidRPr="00064619" w:rsidRDefault="00F93F13" w:rsidP="00064619">
      <w:pPr>
        <w:pStyle w:val="FootnoteText"/>
      </w:pPr>
      <w:r w:rsidRPr="00064619">
        <w:rPr>
          <w:rtl/>
        </w:rPr>
        <w:t>(</w:t>
      </w:r>
      <w:r w:rsidRPr="00064619">
        <w:rPr>
          <w:rtl/>
        </w:rPr>
        <w:footnoteRef/>
      </w:r>
      <w:r w:rsidRPr="00064619">
        <w:rPr>
          <w:rtl/>
        </w:rPr>
        <w:t>) المصدر نفسه 6: 34.</w:t>
      </w:r>
    </w:p>
  </w:footnote>
  <w:footnote w:id="445">
    <w:p w:rsidR="00F93F13" w:rsidRPr="00064619" w:rsidRDefault="00F93F13" w:rsidP="00064619">
      <w:pPr>
        <w:pStyle w:val="FootnoteText"/>
      </w:pPr>
      <w:r w:rsidRPr="00064619">
        <w:rPr>
          <w:rtl/>
        </w:rPr>
        <w:t>(</w:t>
      </w:r>
      <w:r w:rsidRPr="00064619">
        <w:rPr>
          <w:rtl/>
        </w:rPr>
        <w:footnoteRef/>
      </w:r>
      <w:r w:rsidRPr="00064619">
        <w:rPr>
          <w:rtl/>
        </w:rPr>
        <w:t>) المصدر نفسه 5: 522.</w:t>
      </w:r>
    </w:p>
  </w:footnote>
  <w:footnote w:id="446">
    <w:p w:rsidR="00F93F13" w:rsidRPr="00064619" w:rsidRDefault="00F93F13" w:rsidP="00064619">
      <w:pPr>
        <w:pStyle w:val="FootnoteText"/>
      </w:pPr>
      <w:r w:rsidRPr="00064619">
        <w:rPr>
          <w:rtl/>
        </w:rPr>
        <w:t>(</w:t>
      </w:r>
      <w:r w:rsidRPr="00064619">
        <w:rPr>
          <w:rtl/>
        </w:rPr>
        <w:footnoteRef/>
      </w:r>
      <w:r w:rsidRPr="00064619">
        <w:rPr>
          <w:rtl/>
        </w:rPr>
        <w:t>) المصدر نفسه 6: 34 ـ 36.</w:t>
      </w:r>
    </w:p>
  </w:footnote>
  <w:footnote w:id="447">
    <w:p w:rsidR="00F93F13" w:rsidRPr="00064619" w:rsidRDefault="00F93F13" w:rsidP="00064619">
      <w:pPr>
        <w:pStyle w:val="FootnoteText"/>
      </w:pPr>
      <w:r w:rsidRPr="00064619">
        <w:rPr>
          <w:rtl/>
        </w:rPr>
        <w:t>(</w:t>
      </w:r>
      <w:r w:rsidRPr="00064619">
        <w:rPr>
          <w:rtl/>
        </w:rPr>
        <w:footnoteRef/>
      </w:r>
      <w:r w:rsidRPr="00064619">
        <w:rPr>
          <w:rtl/>
        </w:rPr>
        <w:t>) المصدر نفسه 10: 15.</w:t>
      </w:r>
    </w:p>
  </w:footnote>
  <w:footnote w:id="448">
    <w:p w:rsidR="00F93F13" w:rsidRPr="00064619" w:rsidRDefault="00F93F13" w:rsidP="00064619">
      <w:pPr>
        <w:pStyle w:val="FootnoteText"/>
      </w:pPr>
      <w:r w:rsidRPr="00064619">
        <w:rPr>
          <w:rtl/>
        </w:rPr>
        <w:t>(</w:t>
      </w:r>
      <w:r w:rsidRPr="00064619">
        <w:rPr>
          <w:rtl/>
        </w:rPr>
        <w:footnoteRef/>
      </w:r>
      <w:r w:rsidRPr="00064619">
        <w:rPr>
          <w:rtl/>
        </w:rPr>
        <w:t>) المصدر نفسه 6: 96.</w:t>
      </w:r>
    </w:p>
  </w:footnote>
  <w:footnote w:id="449">
    <w:p w:rsidR="00F93F13" w:rsidRPr="00064619" w:rsidRDefault="00F93F13" w:rsidP="00064619">
      <w:pPr>
        <w:pStyle w:val="FootnoteText"/>
      </w:pPr>
      <w:r w:rsidRPr="00064619">
        <w:rPr>
          <w:rtl/>
        </w:rPr>
        <w:t>(</w:t>
      </w:r>
      <w:r w:rsidRPr="00064619">
        <w:rPr>
          <w:rtl/>
        </w:rPr>
        <w:footnoteRef/>
      </w:r>
      <w:r w:rsidRPr="00064619">
        <w:rPr>
          <w:rtl/>
        </w:rPr>
        <w:t>) المصدر نفسه 5: 522.</w:t>
      </w:r>
    </w:p>
  </w:footnote>
  <w:footnote w:id="450">
    <w:p w:rsidR="00F93F13" w:rsidRPr="00064619" w:rsidRDefault="00F93F13" w:rsidP="00064619">
      <w:pPr>
        <w:pStyle w:val="FootnoteText"/>
      </w:pPr>
      <w:r w:rsidRPr="00064619">
        <w:rPr>
          <w:rtl/>
        </w:rPr>
        <w:t>(</w:t>
      </w:r>
      <w:r w:rsidRPr="00064619">
        <w:rPr>
          <w:rtl/>
        </w:rPr>
        <w:footnoteRef/>
      </w:r>
      <w:r w:rsidRPr="00064619">
        <w:rPr>
          <w:rtl/>
        </w:rPr>
        <w:t>) المصدر نفسه 6: 97.</w:t>
      </w:r>
    </w:p>
  </w:footnote>
  <w:footnote w:id="451">
    <w:p w:rsidR="00F93F13" w:rsidRPr="00064619" w:rsidRDefault="00F93F13" w:rsidP="00064619">
      <w:pPr>
        <w:pStyle w:val="FootnoteText"/>
      </w:pPr>
      <w:r w:rsidRPr="00064619">
        <w:rPr>
          <w:rtl/>
        </w:rPr>
        <w:t>(</w:t>
      </w:r>
      <w:r w:rsidRPr="00064619">
        <w:rPr>
          <w:rtl/>
        </w:rPr>
        <w:footnoteRef/>
      </w:r>
      <w:r w:rsidRPr="00064619">
        <w:rPr>
          <w:rtl/>
        </w:rPr>
        <w:t>) المصدر نفسه 6: 234.</w:t>
      </w:r>
    </w:p>
  </w:footnote>
  <w:footnote w:id="452">
    <w:p w:rsidR="00F93F13" w:rsidRPr="00064619" w:rsidRDefault="00F93F13" w:rsidP="000E5EF9">
      <w:pPr>
        <w:pStyle w:val="FootnoteText"/>
        <w:spacing w:line="202" w:lineRule="auto"/>
      </w:pPr>
      <w:r w:rsidRPr="00064619">
        <w:rPr>
          <w:rtl/>
        </w:rPr>
        <w:t>(</w:t>
      </w:r>
      <w:r w:rsidRPr="00064619">
        <w:rPr>
          <w:rtl/>
        </w:rPr>
        <w:footnoteRef/>
      </w:r>
      <w:r w:rsidRPr="00064619">
        <w:rPr>
          <w:rtl/>
        </w:rPr>
        <w:t>) المصدر نفسه 6: 343.</w:t>
      </w:r>
    </w:p>
  </w:footnote>
  <w:footnote w:id="453">
    <w:p w:rsidR="00F93F13" w:rsidRPr="00064619" w:rsidRDefault="00F93F13" w:rsidP="000E5EF9">
      <w:pPr>
        <w:pStyle w:val="FootnoteText"/>
        <w:spacing w:line="202" w:lineRule="auto"/>
      </w:pPr>
      <w:r w:rsidRPr="00064619">
        <w:rPr>
          <w:rtl/>
        </w:rPr>
        <w:t>(</w:t>
      </w:r>
      <w:r w:rsidRPr="00064619">
        <w:rPr>
          <w:rtl/>
        </w:rPr>
        <w:footnoteRef/>
      </w:r>
      <w:r w:rsidRPr="00064619">
        <w:rPr>
          <w:rtl/>
        </w:rPr>
        <w:t>) المصدر نفسه 6: 161، 9/8/1358 / 1979 م.</w:t>
      </w:r>
    </w:p>
  </w:footnote>
  <w:footnote w:id="454">
    <w:p w:rsidR="00F93F13" w:rsidRPr="00064619" w:rsidRDefault="00F93F13" w:rsidP="000E5EF9">
      <w:pPr>
        <w:pStyle w:val="FootnoteText"/>
        <w:spacing w:line="202" w:lineRule="auto"/>
      </w:pPr>
      <w:r w:rsidRPr="00064619">
        <w:rPr>
          <w:rtl/>
        </w:rPr>
        <w:t>(</w:t>
      </w:r>
      <w:r w:rsidRPr="00064619">
        <w:rPr>
          <w:rtl/>
        </w:rPr>
        <w:footnoteRef/>
      </w:r>
      <w:r w:rsidRPr="00064619">
        <w:rPr>
          <w:rtl/>
        </w:rPr>
        <w:t>) المصدر نفسه 6: 217، 14/8/1358 / 1979 م.</w:t>
      </w:r>
    </w:p>
  </w:footnote>
  <w:footnote w:id="455">
    <w:p w:rsidR="00F93F13" w:rsidRPr="00064619" w:rsidRDefault="00F93F13" w:rsidP="000E5EF9">
      <w:pPr>
        <w:pStyle w:val="FootnoteText"/>
        <w:spacing w:line="202" w:lineRule="auto"/>
      </w:pPr>
      <w:r w:rsidRPr="00064619">
        <w:rPr>
          <w:rtl/>
        </w:rPr>
        <w:t>(</w:t>
      </w:r>
      <w:r w:rsidRPr="00064619">
        <w:rPr>
          <w:rtl/>
        </w:rPr>
        <w:footnoteRef/>
      </w:r>
      <w:r w:rsidRPr="00064619">
        <w:rPr>
          <w:rtl/>
        </w:rPr>
        <w:t>) المصدر نفسه 6: 519، مقابلة مع حامد الكار، 7/10/1358 / 1979 م.</w:t>
      </w:r>
    </w:p>
  </w:footnote>
  <w:footnote w:id="456">
    <w:p w:rsidR="00F93F13" w:rsidRPr="00064619" w:rsidRDefault="00F93F13" w:rsidP="00064619">
      <w:pPr>
        <w:pStyle w:val="FootnoteText"/>
      </w:pPr>
      <w:r w:rsidRPr="00064619">
        <w:rPr>
          <w:rtl/>
        </w:rPr>
        <w:t>(</w:t>
      </w:r>
      <w:r w:rsidRPr="00064619">
        <w:rPr>
          <w:rtl/>
        </w:rPr>
        <w:footnoteRef/>
      </w:r>
      <w:r w:rsidRPr="00064619">
        <w:rPr>
          <w:rtl/>
        </w:rPr>
        <w:t>) المصدر نفسه 6: 533، 30/6/1358 / 1979 م.</w:t>
      </w:r>
    </w:p>
  </w:footnote>
  <w:footnote w:id="457">
    <w:p w:rsidR="00F93F13" w:rsidRPr="00064619" w:rsidRDefault="00F93F13" w:rsidP="00064619">
      <w:pPr>
        <w:pStyle w:val="FootnoteText"/>
      </w:pPr>
      <w:r w:rsidRPr="00064619">
        <w:rPr>
          <w:rtl/>
        </w:rPr>
        <w:t>(</w:t>
      </w:r>
      <w:r w:rsidRPr="00064619">
        <w:rPr>
          <w:rtl/>
        </w:rPr>
        <w:footnoteRef/>
      </w:r>
      <w:r w:rsidRPr="00064619">
        <w:rPr>
          <w:rtl/>
        </w:rPr>
        <w:t>) المصدر نفسه 6: 97، 30/7/1358 / 1979 م.</w:t>
      </w:r>
    </w:p>
  </w:footnote>
  <w:footnote w:id="458">
    <w:p w:rsidR="00F93F13" w:rsidRPr="00064619" w:rsidRDefault="00F93F13" w:rsidP="00064619">
      <w:pPr>
        <w:pStyle w:val="FootnoteText"/>
      </w:pPr>
      <w:r w:rsidRPr="00064619">
        <w:rPr>
          <w:rtl/>
        </w:rPr>
        <w:t>(</w:t>
      </w:r>
      <w:r w:rsidRPr="00064619">
        <w:rPr>
          <w:rtl/>
        </w:rPr>
        <w:footnoteRef/>
      </w:r>
      <w:r w:rsidRPr="00064619">
        <w:rPr>
          <w:rtl/>
        </w:rPr>
        <w:t>) المصدر نفسه 6: 118، 3/8/1358 / 1979 م.</w:t>
      </w:r>
    </w:p>
  </w:footnote>
  <w:footnote w:id="459">
    <w:p w:rsidR="00F93F13" w:rsidRPr="00064619" w:rsidRDefault="00F93F13" w:rsidP="00064619">
      <w:pPr>
        <w:pStyle w:val="FootnoteText"/>
      </w:pPr>
      <w:r w:rsidRPr="00064619">
        <w:rPr>
          <w:rtl/>
        </w:rPr>
        <w:t>(</w:t>
      </w:r>
      <w:r w:rsidRPr="00064619">
        <w:rPr>
          <w:rtl/>
        </w:rPr>
        <w:footnoteRef/>
      </w:r>
      <w:r w:rsidRPr="00064619">
        <w:rPr>
          <w:rtl/>
        </w:rPr>
        <w:t>) المصدر نفسه 6: 97، 30/7/1358 / 1979 م.</w:t>
      </w:r>
    </w:p>
  </w:footnote>
  <w:footnote w:id="460">
    <w:p w:rsidR="00F93F13" w:rsidRPr="00064619" w:rsidRDefault="00F93F13" w:rsidP="00064619">
      <w:pPr>
        <w:pStyle w:val="FootnoteText"/>
      </w:pPr>
      <w:r w:rsidRPr="00064619">
        <w:rPr>
          <w:rtl/>
        </w:rPr>
        <w:t>(</w:t>
      </w:r>
      <w:r w:rsidRPr="00064619">
        <w:rPr>
          <w:rtl/>
        </w:rPr>
        <w:footnoteRef/>
      </w:r>
      <w:r w:rsidRPr="00064619">
        <w:rPr>
          <w:rtl/>
        </w:rPr>
        <w:t>) المصدر نفسه 6: 34 ـ 36.</w:t>
      </w:r>
    </w:p>
  </w:footnote>
  <w:footnote w:id="461">
    <w:p w:rsidR="00F93F13" w:rsidRPr="00064619" w:rsidRDefault="00F93F13" w:rsidP="00064619">
      <w:pPr>
        <w:pStyle w:val="FootnoteText"/>
      </w:pPr>
      <w:r w:rsidRPr="00064619">
        <w:rPr>
          <w:rtl/>
        </w:rPr>
        <w:t>(</w:t>
      </w:r>
      <w:r w:rsidRPr="00064619">
        <w:rPr>
          <w:rtl/>
        </w:rPr>
        <w:footnoteRef/>
      </w:r>
      <w:r w:rsidRPr="00064619">
        <w:rPr>
          <w:rtl/>
        </w:rPr>
        <w:t>) المصدر نفسه 6: 234.</w:t>
      </w:r>
    </w:p>
  </w:footnote>
  <w:footnote w:id="462">
    <w:p w:rsidR="00F93F13" w:rsidRPr="00064619" w:rsidRDefault="00F93F13" w:rsidP="00064619">
      <w:pPr>
        <w:pStyle w:val="FootnoteText"/>
      </w:pPr>
      <w:r w:rsidRPr="00064619">
        <w:rPr>
          <w:rtl/>
        </w:rPr>
        <w:t>(</w:t>
      </w:r>
      <w:r w:rsidRPr="00064619">
        <w:rPr>
          <w:rtl/>
        </w:rPr>
        <w:footnoteRef/>
      </w:r>
      <w:r w:rsidRPr="00064619">
        <w:rPr>
          <w:rtl/>
        </w:rPr>
        <w:t>) المصدر نفسه 6: 519، مقابلة مع حامد الكار، 7/10/1358 / 1979 م.</w:t>
      </w:r>
    </w:p>
  </w:footnote>
  <w:footnote w:id="463">
    <w:p w:rsidR="00F93F13" w:rsidRPr="00064619" w:rsidRDefault="00F93F13" w:rsidP="00064619">
      <w:pPr>
        <w:pStyle w:val="FootnoteText"/>
      </w:pPr>
      <w:r w:rsidRPr="00064619">
        <w:rPr>
          <w:rtl/>
        </w:rPr>
        <w:t>(</w:t>
      </w:r>
      <w:r w:rsidRPr="00064619">
        <w:rPr>
          <w:rtl/>
        </w:rPr>
        <w:footnoteRef/>
      </w:r>
      <w:r w:rsidRPr="00064619">
        <w:rPr>
          <w:rtl/>
        </w:rPr>
        <w:t>) وفي هذه الفترة كان يشير فقط إلى وظيفة الناس في الدفاع عن ولاية الفقيه ـ حتّى لو لم يطلب ولي الفقيه ذلك ـ (صحيفه نور 18: 127، 4/7/1362 / 1983 م).</w:t>
      </w:r>
    </w:p>
  </w:footnote>
  <w:footnote w:id="464">
    <w:p w:rsidR="00F93F13" w:rsidRPr="00064619" w:rsidRDefault="00F93F13" w:rsidP="00064619">
      <w:pPr>
        <w:pStyle w:val="FootnoteText"/>
      </w:pPr>
      <w:r w:rsidRPr="00064619">
        <w:rPr>
          <w:rtl/>
        </w:rPr>
        <w:t>(</w:t>
      </w:r>
      <w:r w:rsidRPr="00064619">
        <w:rPr>
          <w:rtl/>
        </w:rPr>
        <w:footnoteRef/>
      </w:r>
      <w:r w:rsidRPr="00064619">
        <w:rPr>
          <w:rtl/>
        </w:rPr>
        <w:t>) صحيفه نور 11: 237، 1/8/1364هـ.ش / 1985 م، (الطبعة الأولى).</w:t>
      </w:r>
    </w:p>
  </w:footnote>
  <w:footnote w:id="465">
    <w:p w:rsidR="00F93F13" w:rsidRPr="00064619" w:rsidRDefault="00F93F13" w:rsidP="00064619">
      <w:pPr>
        <w:pStyle w:val="FootnoteText"/>
      </w:pPr>
      <w:r w:rsidRPr="00064619">
        <w:rPr>
          <w:rtl/>
        </w:rPr>
        <w:t>(</w:t>
      </w:r>
      <w:r w:rsidRPr="00064619">
        <w:rPr>
          <w:rtl/>
        </w:rPr>
        <w:footnoteRef/>
      </w:r>
      <w:r w:rsidRPr="00064619">
        <w:rPr>
          <w:rtl/>
        </w:rPr>
        <w:t>) صحيفه نور 18: 245 ـ 246.</w:t>
      </w:r>
    </w:p>
  </w:footnote>
  <w:footnote w:id="466">
    <w:p w:rsidR="00F93F13" w:rsidRPr="00064619" w:rsidRDefault="00F93F13" w:rsidP="00064619">
      <w:pPr>
        <w:pStyle w:val="FootnoteText"/>
      </w:pPr>
      <w:r w:rsidRPr="00064619">
        <w:rPr>
          <w:rtl/>
        </w:rPr>
        <w:t>(</w:t>
      </w:r>
      <w:r w:rsidRPr="00064619">
        <w:rPr>
          <w:rtl/>
        </w:rPr>
        <w:footnoteRef/>
      </w:r>
      <w:r w:rsidRPr="00064619">
        <w:rPr>
          <w:rtl/>
        </w:rPr>
        <w:t>) المصدر نفسه 19: 206.</w:t>
      </w:r>
    </w:p>
  </w:footnote>
  <w:footnote w:id="467">
    <w:p w:rsidR="00F93F13" w:rsidRPr="00064619" w:rsidRDefault="00F93F13" w:rsidP="00064619">
      <w:pPr>
        <w:pStyle w:val="FootnoteText"/>
      </w:pPr>
      <w:r w:rsidRPr="00064619">
        <w:rPr>
          <w:rtl/>
        </w:rPr>
        <w:t>(</w:t>
      </w:r>
      <w:r w:rsidRPr="00064619">
        <w:rPr>
          <w:rtl/>
        </w:rPr>
        <w:footnoteRef/>
      </w:r>
      <w:r w:rsidRPr="00064619">
        <w:rPr>
          <w:rtl/>
        </w:rPr>
        <w:t>) المصدر نفسه 20: 194.</w:t>
      </w:r>
    </w:p>
  </w:footnote>
  <w:footnote w:id="468">
    <w:p w:rsidR="00F93F13" w:rsidRPr="00064619" w:rsidRDefault="00F93F13" w:rsidP="00064619">
      <w:pPr>
        <w:pStyle w:val="FootnoteText"/>
      </w:pPr>
      <w:r w:rsidRPr="00064619">
        <w:rPr>
          <w:rtl/>
        </w:rPr>
        <w:t>(</w:t>
      </w:r>
      <w:r w:rsidRPr="00064619">
        <w:rPr>
          <w:rtl/>
        </w:rPr>
        <w:footnoteRef/>
      </w:r>
      <w:r w:rsidRPr="00064619">
        <w:rPr>
          <w:rtl/>
        </w:rPr>
        <w:t>) صحيفة نور 2: 351، 3: 41 ـ 72 ـ 107، (الطبعة الثانية).</w:t>
      </w:r>
    </w:p>
  </w:footnote>
  <w:footnote w:id="469">
    <w:p w:rsidR="00F93F13" w:rsidRPr="00064619" w:rsidRDefault="00F93F13" w:rsidP="00064619">
      <w:pPr>
        <w:pStyle w:val="FootnoteText"/>
      </w:pPr>
      <w:r w:rsidRPr="00064619">
        <w:rPr>
          <w:rtl/>
        </w:rPr>
        <w:t>(</w:t>
      </w:r>
      <w:r w:rsidRPr="00064619">
        <w:rPr>
          <w:rtl/>
        </w:rPr>
        <w:footnoteRef/>
      </w:r>
      <w:r w:rsidRPr="00064619">
        <w:rPr>
          <w:rtl/>
        </w:rPr>
        <w:t>) راجع: د. أبو الفضل قاضي، حقوق أساس ونهاد هاى سياسي 1: 552 ـ 553، مباني وكليات. وراجع أيضاً: د. سيد محمد هاشمي، حقوق أساسي جمهوري إسلامي إيران 1: 53 ـ 54، أصول ومباني كلي نظام.</w:t>
      </w:r>
    </w:p>
  </w:footnote>
  <w:footnote w:id="470">
    <w:p w:rsidR="00F93F13" w:rsidRPr="00064619" w:rsidRDefault="00F93F13" w:rsidP="00064619">
      <w:pPr>
        <w:pStyle w:val="FootnoteText"/>
      </w:pPr>
      <w:r w:rsidRPr="00064619">
        <w:rPr>
          <w:rtl/>
        </w:rPr>
        <w:t>(</w:t>
      </w:r>
      <w:r w:rsidRPr="00064619">
        <w:rPr>
          <w:rtl/>
        </w:rPr>
        <w:footnoteRef/>
      </w:r>
      <w:r w:rsidRPr="00064619">
        <w:rPr>
          <w:rtl/>
        </w:rPr>
        <w:t>) راجع: د. مهدي حائري يزدي، حكمت وحكومت معماي لا ينحل جمهوري إسلامي وولاية فقيه: 205 ـ 220.</w:t>
      </w:r>
    </w:p>
  </w:footnote>
  <w:footnote w:id="471">
    <w:p w:rsidR="00F93F13" w:rsidRPr="00064619" w:rsidRDefault="00F93F13" w:rsidP="000E5EF9">
      <w:pPr>
        <w:pStyle w:val="FootnoteText"/>
        <w:spacing w:line="178" w:lineRule="auto"/>
      </w:pPr>
      <w:r w:rsidRPr="00064619">
        <w:rPr>
          <w:rtl/>
        </w:rPr>
        <w:t>(</w:t>
      </w:r>
      <w:r w:rsidRPr="00064619">
        <w:rPr>
          <w:rtl/>
        </w:rPr>
        <w:footnoteRef/>
      </w:r>
      <w:r w:rsidRPr="00064619">
        <w:rPr>
          <w:rtl/>
        </w:rPr>
        <w:t xml:space="preserve">) مطهري، مجموعه آثار (علل گرايش به ماديگري): 553 ـ 555؛ سيري در نهج البلاغة: 124 ـ 127؛ حول الثورة الإسلامية: 80 ـ 86؛ حول الجمهورية الإسلامية: 149 ـ 156؛ ولا سيّما مقابلته مع تلفزيون الجمهورية الإسلامية حول الاستفتاء على الجمهورية الإسلامية، في كتاب حول الثورة الإسلامية. </w:t>
      </w:r>
    </w:p>
  </w:footnote>
  <w:footnote w:id="472">
    <w:p w:rsidR="00F93F13" w:rsidRPr="00064619" w:rsidRDefault="00F93F13" w:rsidP="00064619">
      <w:pPr>
        <w:pStyle w:val="FootnoteText"/>
      </w:pPr>
      <w:r w:rsidRPr="00064619">
        <w:rPr>
          <w:rtl/>
        </w:rPr>
        <w:t>(</w:t>
      </w:r>
      <w:r w:rsidRPr="00064619">
        <w:rPr>
          <w:rtl/>
        </w:rPr>
        <w:footnoteRef/>
      </w:r>
      <w:r w:rsidRPr="00064619">
        <w:rPr>
          <w:rtl/>
        </w:rPr>
        <w:t>) راجع: صورت مشروح مذاكرات مجلس بررسي نهايي قانون أساسي، آخر الأصول 5، 56، 107، 112.</w:t>
      </w:r>
    </w:p>
  </w:footnote>
  <w:footnote w:id="473">
    <w:p w:rsidR="00F93F13" w:rsidRPr="00064619" w:rsidRDefault="00F93F13" w:rsidP="00064619">
      <w:pPr>
        <w:pStyle w:val="FootnoteText"/>
      </w:pPr>
      <w:r w:rsidRPr="00064619">
        <w:rPr>
          <w:rtl/>
        </w:rPr>
        <w:t>(</w:t>
      </w:r>
      <w:r w:rsidRPr="00064619">
        <w:rPr>
          <w:rtl/>
        </w:rPr>
        <w:footnoteRef/>
      </w:r>
      <w:r w:rsidRPr="00064619">
        <w:rPr>
          <w:rtl/>
        </w:rPr>
        <w:t>) من جملتهم: الشيخ جعفر سبحاني، في كتابه «معالم الحكومة الإسلامية» (مفاهيم القرآن 2: 223 ـ 267)، وكتاب حكومت إسلامى در چشم أنداز ما. وكذلك الشيخ نعمت الله صالحي النجف آبادي، ولايت فقيه حكومت صالحان: 50.</w:t>
      </w:r>
    </w:p>
  </w:footnote>
  <w:footnote w:id="474">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وفقه الدولة الإسلامية.</w:t>
      </w:r>
    </w:p>
  </w:footnote>
  <w:footnote w:id="475">
    <w:p w:rsidR="00F93F13" w:rsidRPr="00064619" w:rsidRDefault="00F93F13" w:rsidP="00064619">
      <w:pPr>
        <w:pStyle w:val="FootnoteText"/>
      </w:pPr>
      <w:r w:rsidRPr="00064619">
        <w:rPr>
          <w:rtl/>
        </w:rPr>
        <w:t>(</w:t>
      </w:r>
      <w:r w:rsidRPr="00064619">
        <w:rPr>
          <w:rtl/>
        </w:rPr>
        <w:footnoteRef/>
      </w:r>
      <w:r w:rsidRPr="00064619">
        <w:rPr>
          <w:rtl/>
        </w:rPr>
        <w:t>) ويمكن الرجوع إلى آرائه الفقهية وبياناته في أرديبهشت سنة 1372هـ.ش / 1993 م، آبان 1376هـ.ش / 1997 م وتير 1377هـ.ش / 1998 م.</w:t>
      </w:r>
    </w:p>
  </w:footnote>
  <w:footnote w:id="476">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171 ـ 179، مقالة الإمامة والولاية.</w:t>
      </w:r>
    </w:p>
  </w:footnote>
  <w:footnote w:id="477">
    <w:p w:rsidR="00F93F13" w:rsidRPr="00064619" w:rsidRDefault="00F93F13" w:rsidP="00064619">
      <w:pPr>
        <w:pStyle w:val="FootnoteText"/>
      </w:pPr>
      <w:r w:rsidRPr="00064619">
        <w:rPr>
          <w:rtl/>
        </w:rPr>
        <w:t>(</w:t>
      </w:r>
      <w:r w:rsidRPr="00064619">
        <w:rPr>
          <w:rtl/>
        </w:rPr>
        <w:footnoteRef/>
      </w:r>
      <w:r w:rsidRPr="00064619">
        <w:rPr>
          <w:rtl/>
        </w:rPr>
        <w:t>) المصدر السابق.</w:t>
      </w:r>
    </w:p>
  </w:footnote>
  <w:footnote w:id="478">
    <w:p w:rsidR="00F93F13" w:rsidRPr="00064619" w:rsidRDefault="00F93F13" w:rsidP="00064619">
      <w:pPr>
        <w:pStyle w:val="FootnoteText"/>
      </w:pPr>
      <w:r w:rsidRPr="00064619">
        <w:rPr>
          <w:rtl/>
        </w:rPr>
        <w:t>(</w:t>
      </w:r>
      <w:r w:rsidRPr="00064619">
        <w:rPr>
          <w:rtl/>
        </w:rPr>
        <w:footnoteRef/>
      </w:r>
      <w:r w:rsidRPr="00064619">
        <w:rPr>
          <w:rtl/>
        </w:rPr>
        <w:t>) راجع: فصلية «حكومت إسلامي»، مقالة مباني نظري ولايت فقيه، للشيخ جوادي الآملي، العدد الأول، خريف 1375. وقد ترجمت هذه المقالة في مجلة «قضايا إسلامية معاصرة»، العدد الأول: 13، والعدد الثاني: 243، 1997 ـ 1998.</w:t>
      </w:r>
    </w:p>
  </w:footnote>
  <w:footnote w:id="479">
    <w:p w:rsidR="00F93F13" w:rsidRPr="00064619" w:rsidRDefault="00F93F13" w:rsidP="00064619">
      <w:pPr>
        <w:pStyle w:val="FootnoteText"/>
      </w:pPr>
      <w:r w:rsidRPr="00064619">
        <w:rPr>
          <w:rtl/>
        </w:rPr>
        <w:t>(</w:t>
      </w:r>
      <w:r w:rsidRPr="00064619">
        <w:rPr>
          <w:rtl/>
        </w:rPr>
        <w:footnoteRef/>
      </w:r>
      <w:r w:rsidRPr="00064619">
        <w:rPr>
          <w:rtl/>
        </w:rPr>
        <w:t>) راجع: الشيخ محمد تقي مصباح اليزدي، پرسشها وپاسخها 1: 30، ولايت فقيه وخبرگان، قم، 1378.</w:t>
      </w:r>
    </w:p>
  </w:footnote>
  <w:footnote w:id="480">
    <w:p w:rsidR="00F93F13" w:rsidRPr="00064619" w:rsidRDefault="00F93F13" w:rsidP="00064619">
      <w:pPr>
        <w:pStyle w:val="FootnoteText"/>
      </w:pPr>
      <w:r w:rsidRPr="00064619">
        <w:rPr>
          <w:rtl/>
        </w:rPr>
        <w:t>(</w:t>
      </w:r>
      <w:r w:rsidRPr="00064619">
        <w:rPr>
          <w:rtl/>
        </w:rPr>
        <w:footnoteRef/>
      </w:r>
      <w:r w:rsidRPr="00064619">
        <w:rPr>
          <w:rtl/>
        </w:rPr>
        <w:t xml:space="preserve">) نقل مضمون هذه الجملة شاهدان عدلان عن السيد الخميني في باريس. وبغضّ النظر عن هذا النقل ـ الذي لم يذكر في المؤلَّفات الكاملة للسيد الخميني ـ فإن مضمون هذه الجملة قد ورد في أسبوعية «شما»، التي تصدر عن «جمعيت مؤتلفه إسلامي»، العدد السابع، 21 فررودين 1376 / 1997 م، على الشكل التالي: «نقترح على مجمع تشخيص مصلحة النظام، بعد طلب إجازة القائد، فإذا أجاز، قام المجمع بدراسة الموضوعات الآتية، ويقدّم آراءه ووجهات نظره الاستشارية إلى ولي أمر المسلمين...، كيفية وصول نظام الجمهورية الإسلاميّة إلى نظام الحكومة الإسلامية العادلة». </w:t>
      </w:r>
    </w:p>
  </w:footnote>
  <w:footnote w:id="481">
    <w:p w:rsidR="00F93F13" w:rsidRPr="00064619" w:rsidRDefault="00F93F13" w:rsidP="008B4604">
      <w:pPr>
        <w:pStyle w:val="FootnoteText"/>
      </w:pPr>
      <w:r w:rsidRPr="00064619">
        <w:rPr>
          <w:rtl/>
        </w:rPr>
        <w:t>(</w:t>
      </w:r>
      <w:r w:rsidRPr="00064619">
        <w:rPr>
          <w:rtl/>
        </w:rPr>
        <w:footnoteRef/>
      </w:r>
      <w:r w:rsidRPr="00064619">
        <w:rPr>
          <w:rtl/>
        </w:rPr>
        <w:t>) «لقد ضلَّل الإمام الخميني الولايات المتحدة بالحوارات التي أجراها في باريس، والآن نرى أن أحد المتلبِّسين بلباس رجل الدين موجود في إيران يقول: لا، ولاية الفقيه هي الولاية التي أطلقها الإمام هناك ـ أي في باريس ـ. تلك الولاية التي أطلقها الإمام لتضليل أمريكا...، فإن الإمام أطلق حكومة الشعب والديمقراطية مراعاة لأفكارهم. نعم، هناك الكثير من الأعمال التي يجب إخفاؤها عن العدو قبل القيام بها. والآن يقول هؤلاء: إن معنى الجمهورية وأصل ولاية الفقيه هو عين ما أطلقه الإمام في باريس» (جلال الدين فارسي، في حوار مع صحيفة أبرار، 22/تير/1379هـ.</w:t>
      </w:r>
      <w:r>
        <w:rPr>
          <w:rtl/>
        </w:rPr>
        <w:t>ش / 2000 م</w:t>
      </w:r>
      <w:r w:rsidRPr="00064619">
        <w:rPr>
          <w:rtl/>
        </w:rPr>
        <w:t>).</w:t>
      </w:r>
    </w:p>
  </w:footnote>
  <w:footnote w:id="482">
    <w:p w:rsidR="00F93F13" w:rsidRPr="00064619" w:rsidRDefault="00F93F13" w:rsidP="008B4604">
      <w:pPr>
        <w:pStyle w:val="FootnoteText"/>
      </w:pPr>
      <w:r w:rsidRPr="00064619">
        <w:rPr>
          <w:rtl/>
        </w:rPr>
        <w:t>(</w:t>
      </w:r>
      <w:r w:rsidRPr="00064619">
        <w:rPr>
          <w:rtl/>
        </w:rPr>
        <w:footnoteRef/>
      </w:r>
      <w:r w:rsidRPr="00064619">
        <w:rPr>
          <w:rtl/>
        </w:rPr>
        <w:t>) «لقد قبل الإمام الخميني في أوائل الثورة بجمهوريّة النظام اضطراراً، وإلاّ فإنّ رأي الإمام الخميني في هذا المجال كان الحكومة الإسلامية، لا الجمهورية الإسلامية، وهناك فرق كبير بين الاثنين» (الشيخ محسن غرويان، من تلاميذ الشيخ مصباح اليزدي، صحيفة نوروز،</w:t>
      </w:r>
      <w:r>
        <w:rPr>
          <w:rtl/>
        </w:rPr>
        <w:t xml:space="preserve"> 20/أرديبهشت/1380هـ.ش / 2001 م</w:t>
      </w:r>
      <w:r w:rsidRPr="00064619">
        <w:rPr>
          <w:rtl/>
        </w:rPr>
        <w:t>).</w:t>
      </w:r>
    </w:p>
  </w:footnote>
  <w:footnote w:id="483">
    <w:p w:rsidR="00F93F13" w:rsidRPr="00064619" w:rsidRDefault="00F93F13" w:rsidP="00064619">
      <w:pPr>
        <w:pStyle w:val="FootnoteText"/>
        <w:rPr>
          <w:rtl/>
        </w:rPr>
      </w:pPr>
      <w:r w:rsidRPr="00064619">
        <w:rPr>
          <w:rtl/>
        </w:rPr>
        <w:t>(</w:t>
      </w:r>
      <w:r w:rsidRPr="00064619">
        <w:rPr>
          <w:rtl/>
        </w:rPr>
        <w:footnoteRef/>
      </w:r>
      <w:r w:rsidRPr="00064619">
        <w:rPr>
          <w:rtl/>
        </w:rPr>
        <w:t>) «هل ذكر القرآن أن الحكومة يجب أن تكون جمهورية؟... ليس لدينا هكذا تعبير. إذاً لماذا اختار الإمام الجمهورية؟ هل هو لأجل مصلحة رآها؟ أم أنه كان يعتقد بهذا النظام البرلماني؟ وهذا لا يعني أنه لا يوجد أفضل من هذا النظام. ربما تحدث ظروف تجعلنا نغيّر هذا النظام البرلمانيّ من أصله... وكذلك فإن القائد يستطيع أن يغيّر الدستور في أيّ وقت يرى فيه مصلحة لذلك» (الشيخ محمد تقي مصباح اليزدي، صحيفة قدس، 22/أرديبهشت/1380هـ.ش / 2001 م).</w:t>
      </w:r>
    </w:p>
    <w:p w:rsidR="00F93F13" w:rsidRPr="00064619" w:rsidRDefault="00F93F13" w:rsidP="00064619">
      <w:pPr>
        <w:pStyle w:val="FootnoteText"/>
      </w:pPr>
      <w:r w:rsidRPr="00064619">
        <w:rPr>
          <w:rtl/>
        </w:rPr>
        <w:t>وللتعرّف أكثر على أبعاد طرحه للحكومة الإسلامية البديلة عن الجمهورية الإسلامية راجع: حقوق وسياست در قرآن «معارف قرآن 9»، دروس الأستاذ محمد تقي مصباح اليزدي، بقلم الشهيد محمد شهرابي، ص 246 ـ 266، طرح جديد حول تعيين الحاكم والمسؤولين.</w:t>
      </w:r>
    </w:p>
  </w:footnote>
  <w:footnote w:id="484">
    <w:p w:rsidR="00F93F13" w:rsidRPr="00064619" w:rsidRDefault="00F93F13" w:rsidP="008B4604">
      <w:pPr>
        <w:pStyle w:val="FootnoteText"/>
      </w:pPr>
      <w:r w:rsidRPr="00064619">
        <w:rPr>
          <w:rtl/>
        </w:rPr>
        <w:t>(</w:t>
      </w:r>
      <w:r w:rsidRPr="00064619">
        <w:rPr>
          <w:rtl/>
        </w:rPr>
        <w:footnoteRef/>
      </w:r>
      <w:r w:rsidRPr="00064619">
        <w:rPr>
          <w:rtl/>
        </w:rPr>
        <w:t>) الشيخ مصباح اليزدي، ص</w:t>
      </w:r>
      <w:r>
        <w:rPr>
          <w:rtl/>
        </w:rPr>
        <w:t>حيفة إيران، 8/آذر/1379 / 2000 م</w:t>
      </w:r>
      <w:r w:rsidRPr="00064619">
        <w:rPr>
          <w:rtl/>
        </w:rPr>
        <w:t>.</w:t>
      </w:r>
    </w:p>
  </w:footnote>
  <w:footnote w:id="485">
    <w:p w:rsidR="00F93F13" w:rsidRPr="00064619" w:rsidRDefault="00F93F13" w:rsidP="008B4604">
      <w:pPr>
        <w:pStyle w:val="FootnoteText"/>
        <w:rPr>
          <w:rtl/>
        </w:rPr>
      </w:pPr>
      <w:r w:rsidRPr="00064619">
        <w:rPr>
          <w:rtl/>
        </w:rPr>
        <w:t>(</w:t>
      </w:r>
      <w:r w:rsidRPr="00064619">
        <w:rPr>
          <w:rtl/>
        </w:rPr>
        <w:footnoteRef/>
      </w:r>
      <w:r w:rsidRPr="00064619">
        <w:rPr>
          <w:rtl/>
        </w:rPr>
        <w:t>) في ما يخص بحث التعيين راجع: مقالات «حكومت انتصابي»، للشيخ محسن كديور،</w:t>
      </w:r>
      <w:r>
        <w:rPr>
          <w:rtl/>
        </w:rPr>
        <w:t xml:space="preserve"> في دورية «آفتاب»، سن</w:t>
      </w:r>
      <w:r>
        <w:rPr>
          <w:rFonts w:hint="cs"/>
          <w:rtl/>
        </w:rPr>
        <w:t>ة</w:t>
      </w:r>
      <w:r>
        <w:rPr>
          <w:rtl/>
        </w:rPr>
        <w:t xml:space="preserve"> 1379 </w:t>
      </w:r>
      <w:r>
        <w:rPr>
          <w:rFonts w:hint="cs"/>
          <w:rtl/>
        </w:rPr>
        <w:t>/2000م.</w:t>
      </w:r>
    </w:p>
    <w:p w:rsidR="00F93F13" w:rsidRPr="00064619" w:rsidRDefault="00F93F13" w:rsidP="00FD18AE">
      <w:pPr>
        <w:pStyle w:val="FootnoteText"/>
        <w:ind w:firstLine="0"/>
        <w:rPr>
          <w:rtl/>
        </w:rPr>
      </w:pPr>
      <w:r w:rsidRPr="00064619">
        <w:rPr>
          <w:rtl/>
        </w:rPr>
        <w:t xml:space="preserve">وفي ما يخصّ بحث إطلاق الولاية راجع: مقالة «قلم وحكومت ديني أز ديدگاه إمام خميني»، في كتاب «دغدغة هاي حكومت ديني»، للشيخ محسن كديور: 111 ـ 134. </w:t>
      </w:r>
    </w:p>
    <w:p w:rsidR="00F93F13" w:rsidRPr="00064619" w:rsidRDefault="00F93F13" w:rsidP="00FD18AE">
      <w:pPr>
        <w:pStyle w:val="FootnoteText"/>
        <w:ind w:firstLine="0"/>
      </w:pPr>
      <w:r w:rsidRPr="00064619">
        <w:rPr>
          <w:rtl/>
        </w:rPr>
        <w:t>وسوف ينشر البحث المفصَّل حول الأركان الثلاثة: التعيين، الإطلاق، الفقاهة، في الأجزاء اللاحقة من هذا الكتاب، إنْ شاء الله تعالى.</w:t>
      </w:r>
    </w:p>
  </w:footnote>
  <w:footnote w:id="486">
    <w:p w:rsidR="00F93F13" w:rsidRPr="00064619" w:rsidRDefault="00F93F13" w:rsidP="00064619">
      <w:pPr>
        <w:pStyle w:val="FootnoteText"/>
      </w:pPr>
      <w:r w:rsidRPr="00064619">
        <w:rPr>
          <w:rtl/>
        </w:rPr>
        <w:t>(</w:t>
      </w:r>
      <w:r w:rsidRPr="00064619">
        <w:rPr>
          <w:rtl/>
        </w:rPr>
        <w:footnoteRef/>
      </w:r>
      <w:r w:rsidRPr="00064619">
        <w:rPr>
          <w:rtl/>
        </w:rPr>
        <w:t>) صحيفة نور 21: 46، 10/8/1367 / 1988 م.</w:t>
      </w:r>
    </w:p>
  </w:footnote>
  <w:footnote w:id="487">
    <w:p w:rsidR="00F93F13" w:rsidRPr="00064619" w:rsidRDefault="00F93F13" w:rsidP="00064619">
      <w:pPr>
        <w:pStyle w:val="FootnoteText"/>
      </w:pPr>
      <w:r w:rsidRPr="00064619">
        <w:rPr>
          <w:rtl/>
        </w:rPr>
        <w:t>(</w:t>
      </w:r>
      <w:r w:rsidRPr="00064619">
        <w:rPr>
          <w:rtl/>
        </w:rPr>
        <w:footnoteRef/>
      </w:r>
      <w:r w:rsidRPr="00064619">
        <w:rPr>
          <w:rtl/>
        </w:rPr>
        <w:t>) راجع: العلاّمة الحلي، الجوهر النضيد في شرح منطق التجريد، الفصل الخامس في البرهان والحدّ: 193، 199 ـ 202.</w:t>
      </w:r>
    </w:p>
  </w:footnote>
  <w:footnote w:id="488">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467.</w:t>
      </w:r>
    </w:p>
  </w:footnote>
  <w:footnote w:id="489">
    <w:p w:rsidR="00F93F13" w:rsidRPr="00064619" w:rsidRDefault="00F93F13" w:rsidP="00064619">
      <w:pPr>
        <w:pStyle w:val="FootnoteText"/>
      </w:pPr>
      <w:r w:rsidRPr="00064619">
        <w:rPr>
          <w:rtl/>
        </w:rPr>
        <w:t>(</w:t>
      </w:r>
      <w:r w:rsidRPr="00064619">
        <w:rPr>
          <w:rtl/>
        </w:rPr>
        <w:footnoteRef/>
      </w:r>
      <w:r w:rsidRPr="00064619">
        <w:rPr>
          <w:rtl/>
        </w:rPr>
        <w:t>) المصدر نفسه.</w:t>
      </w:r>
    </w:p>
  </w:footnote>
  <w:footnote w:id="490">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الحكومة الإسلامية: 17.</w:t>
      </w:r>
    </w:p>
  </w:footnote>
  <w:footnote w:id="491">
    <w:p w:rsidR="00F93F13" w:rsidRPr="00064619" w:rsidRDefault="00F93F13" w:rsidP="00064619">
      <w:pPr>
        <w:pStyle w:val="FootnoteText"/>
      </w:pPr>
      <w:r w:rsidRPr="00064619">
        <w:rPr>
          <w:rtl/>
        </w:rPr>
        <w:t>(</w:t>
      </w:r>
      <w:r w:rsidRPr="00064619">
        <w:rPr>
          <w:rtl/>
        </w:rPr>
        <w:footnoteRef/>
      </w:r>
      <w:r w:rsidRPr="00064619">
        <w:rPr>
          <w:rtl/>
        </w:rPr>
        <w:t>) للاطلاع أكثر على الأبعاد المختلفة لضروري الدين راجع مثلاً: كشف الغطاء عن مبهمات الشريعة الغراء: 173، الطبعة الحجرية.</w:t>
      </w:r>
    </w:p>
  </w:footnote>
  <w:footnote w:id="492">
    <w:p w:rsidR="00F93F13" w:rsidRPr="00064619" w:rsidRDefault="00F93F13" w:rsidP="00064619">
      <w:pPr>
        <w:pStyle w:val="FootnoteText"/>
      </w:pPr>
      <w:r w:rsidRPr="00064619">
        <w:rPr>
          <w:rtl/>
        </w:rPr>
        <w:t>(</w:t>
      </w:r>
      <w:r w:rsidRPr="00064619">
        <w:rPr>
          <w:rtl/>
        </w:rPr>
        <w:footnoteRef/>
      </w:r>
      <w:r w:rsidRPr="00064619">
        <w:rPr>
          <w:rtl/>
        </w:rPr>
        <w:t>) اللاهيجي، گوهر مراد: 399 ـ 400، المقالة 3، باب 2، فصل 14. في معنى ضروري الدين.</w:t>
      </w:r>
    </w:p>
  </w:footnote>
  <w:footnote w:id="493">
    <w:p w:rsidR="00F93F13" w:rsidRPr="00064619" w:rsidRDefault="00F93F13" w:rsidP="00064619">
      <w:pPr>
        <w:pStyle w:val="FootnoteText"/>
      </w:pPr>
      <w:r w:rsidRPr="00064619">
        <w:rPr>
          <w:rtl/>
        </w:rPr>
        <w:t>(</w:t>
      </w:r>
      <w:r w:rsidRPr="00064619">
        <w:rPr>
          <w:rtl/>
        </w:rPr>
        <w:footnoteRef/>
      </w:r>
      <w:r w:rsidRPr="00064619">
        <w:rPr>
          <w:rtl/>
        </w:rPr>
        <w:t>) راجع: اليزدي، العروة الوثقى 1: 67، فصل في النجاسات: «الثامن: الكافر بأقسامه حتّى المرتد بقسميه... والمراد بالكافر من كان منكراً للألوهية، أو التوحيد والرسالة، أو ضرورياً من ضروريات الدين مع الالتفات إلى كونه ضرورياً، بحيث يرجع إنكاره إلى إنكار الرسالة، والأحوط الاجتناب عن منكر الضروري مطلقاً، وإن لم يكن ملتفتاً إلى كونه ضروريّاً».</w:t>
      </w:r>
    </w:p>
  </w:footnote>
  <w:footnote w:id="494">
    <w:p w:rsidR="00F93F13" w:rsidRPr="00064619" w:rsidRDefault="00F93F13" w:rsidP="00887CCF">
      <w:pPr>
        <w:pStyle w:val="FootnoteText"/>
        <w:spacing w:line="180" w:lineRule="auto"/>
      </w:pPr>
      <w:r w:rsidRPr="00064619">
        <w:rPr>
          <w:rtl/>
        </w:rPr>
        <w:t>(</w:t>
      </w:r>
      <w:r w:rsidRPr="00064619">
        <w:rPr>
          <w:rtl/>
        </w:rPr>
        <w:footnoteRef/>
      </w:r>
      <w:r w:rsidRPr="00064619">
        <w:rPr>
          <w:rtl/>
        </w:rPr>
        <w:t>) راجع: الخوئي، التنقيح في شرح العروة الوثقى (تقرير أبحاثه بقلم: الميرزا الغروي التبريزي) 1: 58 ـ 64، كتاب الطهارة.</w:t>
      </w:r>
    </w:p>
  </w:footnote>
  <w:footnote w:id="495">
    <w:p w:rsidR="00F93F13" w:rsidRPr="00064619" w:rsidRDefault="00F93F13" w:rsidP="00887CCF">
      <w:pPr>
        <w:pStyle w:val="FootnoteText"/>
        <w:spacing w:line="180" w:lineRule="auto"/>
      </w:pPr>
      <w:r w:rsidRPr="00064619">
        <w:rPr>
          <w:rtl/>
        </w:rPr>
        <w:t>(</w:t>
      </w:r>
      <w:r w:rsidRPr="00064619">
        <w:rPr>
          <w:rtl/>
        </w:rPr>
        <w:footnoteRef/>
      </w:r>
      <w:r w:rsidRPr="00064619">
        <w:rPr>
          <w:rtl/>
        </w:rPr>
        <w:t>) اليزدي، العروة الوثقى، فصل في التقليد، المسألة 6: «في الضروريات لا حاجة إلى التقليد، كوجوب الصلاة والصوم ونحوهما».</w:t>
      </w:r>
    </w:p>
  </w:footnote>
  <w:footnote w:id="496">
    <w:p w:rsidR="00F93F13" w:rsidRPr="00064619" w:rsidRDefault="00F93F13" w:rsidP="00064619">
      <w:pPr>
        <w:pStyle w:val="FootnoteText"/>
      </w:pPr>
      <w:r w:rsidRPr="00064619">
        <w:rPr>
          <w:rtl/>
        </w:rPr>
        <w:t>(</w:t>
      </w:r>
      <w:r w:rsidRPr="00064619">
        <w:rPr>
          <w:rtl/>
        </w:rPr>
        <w:footnoteRef/>
      </w:r>
      <w:r w:rsidRPr="00064619">
        <w:rPr>
          <w:rtl/>
        </w:rPr>
        <w:t>) للتعرف أكثر على ضروريات المذهب يمكن الرجوع إلى: جواهر الكلام في شرح شرائع الإسلام 41: 602.</w:t>
      </w:r>
    </w:p>
  </w:footnote>
  <w:footnote w:id="497">
    <w:p w:rsidR="00F93F13" w:rsidRPr="00064619" w:rsidRDefault="00F93F13" w:rsidP="00064619">
      <w:pPr>
        <w:pStyle w:val="FootnoteText"/>
      </w:pPr>
      <w:r w:rsidRPr="00064619">
        <w:rPr>
          <w:rtl/>
        </w:rPr>
        <w:t>(</w:t>
      </w:r>
      <w:r w:rsidRPr="00064619">
        <w:rPr>
          <w:rtl/>
        </w:rPr>
        <w:footnoteRef/>
      </w:r>
      <w:r w:rsidRPr="00064619">
        <w:rPr>
          <w:rtl/>
        </w:rPr>
        <w:t>) «لم يقم أحد بحصر ضروريات الدين... وهذا العمل لا يخلو من مشقة» (اللاهيجي، گوهر مراد: 399 ـ 400.</w:t>
      </w:r>
    </w:p>
  </w:footnote>
  <w:footnote w:id="498">
    <w:p w:rsidR="00F93F13" w:rsidRPr="00064619" w:rsidRDefault="00F93F13" w:rsidP="00064619">
      <w:pPr>
        <w:pStyle w:val="FootnoteText"/>
        <w:rPr>
          <w:rtl/>
        </w:rPr>
      </w:pPr>
      <w:r w:rsidRPr="00064619">
        <w:rPr>
          <w:rtl/>
        </w:rPr>
        <w:t>(</w:t>
      </w:r>
      <w:r w:rsidRPr="00064619">
        <w:rPr>
          <w:rtl/>
        </w:rPr>
        <w:footnoteRef/>
      </w:r>
      <w:r w:rsidRPr="00064619">
        <w:rPr>
          <w:rtl/>
        </w:rPr>
        <w:t xml:space="preserve">) إنّ أوّل من استعمل اصطلاح ضروريات الدين هو المحقق الحلّي في كتابه «شرائع الإسلام» 1: 53، في تعداده لموجبات الكفر والارتداد. </w:t>
      </w:r>
    </w:p>
    <w:p w:rsidR="00F93F13" w:rsidRPr="00064619" w:rsidRDefault="00F93F13" w:rsidP="00064619">
      <w:pPr>
        <w:pStyle w:val="FootnoteText"/>
      </w:pPr>
      <w:r w:rsidRPr="00064619">
        <w:rPr>
          <w:rtl/>
        </w:rPr>
        <w:t>راجع: بحث إنكار ضروريات الدين في كتاب «احكام مرتد أز ديدگاه إسلام وحقوق بشر»: 286 ـ 309، تحقيق سيف الله صرّامى.</w:t>
      </w:r>
    </w:p>
  </w:footnote>
  <w:footnote w:id="499">
    <w:p w:rsidR="00F93F13" w:rsidRPr="00064619" w:rsidRDefault="00F93F13" w:rsidP="00064619">
      <w:pPr>
        <w:pStyle w:val="FootnoteText"/>
      </w:pPr>
      <w:r w:rsidRPr="00064619">
        <w:rPr>
          <w:rtl/>
        </w:rPr>
        <w:t>(</w:t>
      </w:r>
      <w:r w:rsidRPr="00064619">
        <w:rPr>
          <w:rtl/>
        </w:rPr>
        <w:footnoteRef/>
      </w:r>
      <w:r w:rsidRPr="00064619">
        <w:rPr>
          <w:rtl/>
        </w:rPr>
        <w:t>) الحكومة الإسلامية: 17.</w:t>
      </w:r>
    </w:p>
  </w:footnote>
  <w:footnote w:id="500">
    <w:p w:rsidR="00F93F13" w:rsidRPr="00064619" w:rsidRDefault="00F93F13" w:rsidP="00A06401">
      <w:pPr>
        <w:pStyle w:val="FootnoteText"/>
      </w:pPr>
      <w:r w:rsidRPr="00064619">
        <w:rPr>
          <w:rtl/>
        </w:rPr>
        <w:t>(</w:t>
      </w:r>
      <w:r w:rsidRPr="00064619">
        <w:rPr>
          <w:rtl/>
        </w:rPr>
        <w:footnoteRef/>
      </w:r>
      <w:r w:rsidRPr="00064619">
        <w:rPr>
          <w:rtl/>
        </w:rPr>
        <w:t xml:space="preserve">) من استفتاءات السيد الخامنئي (توضيح المسائل </w:t>
      </w:r>
      <w:r>
        <w:rPr>
          <w:rFonts w:ascii="Mosawi" w:hAnsi="Mosawi"/>
          <w:rtl/>
        </w:rPr>
        <w:t>«</w:t>
      </w:r>
      <w:r w:rsidRPr="00064619">
        <w:rPr>
          <w:rtl/>
        </w:rPr>
        <w:t>بالفارسية</w:t>
      </w:r>
      <w:r>
        <w:rPr>
          <w:rFonts w:ascii="Mosawi" w:hAnsi="Mosawi"/>
          <w:rtl/>
        </w:rPr>
        <w:t>»</w:t>
      </w:r>
      <w:r w:rsidRPr="00064619">
        <w:rPr>
          <w:rtl/>
        </w:rPr>
        <w:t xml:space="preserve"> 1: 38، سؤال 65).</w:t>
      </w:r>
    </w:p>
  </w:footnote>
  <w:footnote w:id="501">
    <w:p w:rsidR="00F93F13" w:rsidRPr="00064619" w:rsidRDefault="00F93F13" w:rsidP="00064619">
      <w:pPr>
        <w:pStyle w:val="FootnoteText"/>
      </w:pPr>
      <w:r w:rsidRPr="00064619">
        <w:rPr>
          <w:rtl/>
        </w:rPr>
        <w:t>(</w:t>
      </w:r>
      <w:r w:rsidRPr="00064619">
        <w:rPr>
          <w:rtl/>
        </w:rPr>
        <w:footnoteRef/>
      </w:r>
      <w:r w:rsidRPr="00064619">
        <w:rPr>
          <w:rtl/>
        </w:rPr>
        <w:t>) جواهر الكلام في شرح شرائع الإسلام 21: 397، كتاب الأمر بالمعروف والنهي عن المنكر.</w:t>
      </w:r>
    </w:p>
  </w:footnote>
  <w:footnote w:id="502">
    <w:p w:rsidR="00F93F13" w:rsidRPr="00064619" w:rsidRDefault="00F93F13" w:rsidP="00064619">
      <w:pPr>
        <w:pStyle w:val="FootnoteText"/>
        <w:rPr>
          <w:rtl/>
        </w:rPr>
      </w:pPr>
      <w:r w:rsidRPr="00064619">
        <w:rPr>
          <w:rtl/>
        </w:rPr>
        <w:t>(</w:t>
      </w:r>
      <w:r w:rsidRPr="00064619">
        <w:rPr>
          <w:rtl/>
        </w:rPr>
        <w:footnoteRef/>
      </w:r>
      <w:r w:rsidRPr="00064619">
        <w:rPr>
          <w:rtl/>
        </w:rPr>
        <w:t xml:space="preserve">) الأنصاري، المكاسب: 154، الطبعة الحجرية: «وبالجملة فإقامة الدليل على وجوب طاعة الفقيه كالإمام×، إلاّ ما خرج بالدليل، دونه خرط القتاد». </w:t>
      </w:r>
    </w:p>
    <w:p w:rsidR="00F93F13" w:rsidRPr="00064619" w:rsidRDefault="00F93F13" w:rsidP="00064619">
      <w:pPr>
        <w:pStyle w:val="FootnoteText"/>
      </w:pPr>
      <w:r w:rsidRPr="00064619">
        <w:rPr>
          <w:rtl/>
        </w:rPr>
        <w:t>ولابدّ من الإشارة إلى أنه في مؤتمر الشيخ الأنصاري سعى بعض المعاصرين إلى التوفيق بين كلمات الشيخ الأنصاري في كتاب المكاسب وكلماته في كتاب القضاء، بما ينسجم مع القول بالولاية العامة للفقيه (راجع: مقالات ولاية الفقيه في المؤتمر المذكور).</w:t>
      </w:r>
    </w:p>
  </w:footnote>
  <w:footnote w:id="503">
    <w:p w:rsidR="00F93F13" w:rsidRPr="00064619" w:rsidRDefault="00F93F13" w:rsidP="00064619">
      <w:pPr>
        <w:pStyle w:val="FootnoteText"/>
      </w:pPr>
      <w:r w:rsidRPr="00064619">
        <w:rPr>
          <w:rtl/>
        </w:rPr>
        <w:t>(</w:t>
      </w:r>
      <w:r w:rsidRPr="00064619">
        <w:rPr>
          <w:rtl/>
        </w:rPr>
        <w:footnoteRef/>
      </w:r>
      <w:r w:rsidRPr="00064619">
        <w:rPr>
          <w:rtl/>
        </w:rPr>
        <w:t>) كشف الأسرار: 185.</w:t>
      </w:r>
    </w:p>
  </w:footnote>
  <w:footnote w:id="504">
    <w:p w:rsidR="00F93F13" w:rsidRPr="00064619" w:rsidRDefault="00F93F13" w:rsidP="00A06401">
      <w:pPr>
        <w:pStyle w:val="FootnoteText"/>
        <w:rPr>
          <w:rtl/>
        </w:rPr>
      </w:pPr>
      <w:r w:rsidRPr="00064619">
        <w:rPr>
          <w:rtl/>
        </w:rPr>
        <w:t>(</w:t>
      </w:r>
      <w:r w:rsidRPr="00064619">
        <w:rPr>
          <w:rtl/>
        </w:rPr>
        <w:footnoteRef/>
      </w:r>
      <w:r w:rsidRPr="00064619">
        <w:rPr>
          <w:rtl/>
        </w:rPr>
        <w:t xml:space="preserve">) راجع: حول الوحي والقيادة، مقالة «الولاية والإمامة». وكذلك مقالة «سيري در مباني ولاية فقيه»، للآملي، في فصلية «حكومت إسلامي»، خريف 1375 / 1996 م، العدد 1: 60 ـ 61، وقد ترجمت هذه المقالة في مجلة «قضايا إسلامية معاصرة»، العدد الأول: 13، </w:t>
      </w:r>
      <w:r>
        <w:rPr>
          <w:rtl/>
        </w:rPr>
        <w:t>والعدد الثاني: 243، 1997 ـ 1998</w:t>
      </w:r>
      <w:r>
        <w:rPr>
          <w:rFonts w:hint="cs"/>
          <w:rtl/>
        </w:rPr>
        <w:t>.</w:t>
      </w:r>
    </w:p>
  </w:footnote>
  <w:footnote w:id="505">
    <w:p w:rsidR="00F93F13" w:rsidRPr="00064619" w:rsidRDefault="00F93F13" w:rsidP="009D41F1">
      <w:pPr>
        <w:pStyle w:val="FootnoteText"/>
        <w:rPr>
          <w:rtl/>
        </w:rPr>
      </w:pPr>
      <w:r w:rsidRPr="00064619">
        <w:rPr>
          <w:rtl/>
        </w:rPr>
        <w:t>(</w:t>
      </w:r>
      <w:r w:rsidRPr="00064619">
        <w:rPr>
          <w:rtl/>
        </w:rPr>
        <w:footnoteRef/>
      </w:r>
      <w:r w:rsidRPr="00064619">
        <w:rPr>
          <w:rtl/>
        </w:rPr>
        <w:t xml:space="preserve">) «السؤال 64: كيف نتعامل مع الأشخاص الذين لا يعتقدون بولاية الفقيه سوى في الأمور الحسبية، مع العلم أن أتباعهم يروِّجون لهذه الفكرة؟ الجواب: إن ولاية الفقيه في قيادة المجتمع الإسلامي وإدارة المسائل الاجتماعية في كلّ عصر وزمان تعدّ من أركان المذهب الاثني عشري الحق، ولها جذور ترجع إلى أصل الإمامة. والأشخاص الذين لا يعتقدون بها بناءً على الدليل معذورون، ولكن يحرم عليهم الترويج للخلاف والتفرقة بين المسلمين» (من استفتاءات </w:t>
      </w:r>
      <w:r>
        <w:rPr>
          <w:rFonts w:hint="cs"/>
          <w:rtl/>
        </w:rPr>
        <w:t>السيد الخامنئي</w:t>
      </w:r>
      <w:r w:rsidRPr="00064619">
        <w:rPr>
          <w:rtl/>
        </w:rPr>
        <w:t xml:space="preserve"> في كتاب توضيح المسائل</w:t>
      </w:r>
      <w:r>
        <w:rPr>
          <w:rFonts w:hint="cs"/>
          <w:rtl/>
        </w:rPr>
        <w:t xml:space="preserve"> مراجع</w:t>
      </w:r>
      <w:r w:rsidRPr="00064619">
        <w:rPr>
          <w:rtl/>
        </w:rPr>
        <w:t xml:space="preserve"> (فارسي) 1: 37 ـ 38).</w:t>
      </w:r>
    </w:p>
  </w:footnote>
  <w:footnote w:id="506">
    <w:p w:rsidR="00F93F13" w:rsidRPr="00064619" w:rsidRDefault="00F93F13" w:rsidP="009D41F1">
      <w:pPr>
        <w:pStyle w:val="FootnoteText"/>
        <w:rPr>
          <w:rtl/>
        </w:rPr>
      </w:pPr>
      <w:r w:rsidRPr="00064619">
        <w:rPr>
          <w:rtl/>
        </w:rPr>
        <w:t>(</w:t>
      </w:r>
      <w:r w:rsidRPr="00064619">
        <w:rPr>
          <w:rtl/>
        </w:rPr>
        <w:footnoteRef/>
      </w:r>
      <w:r w:rsidRPr="00064619">
        <w:rPr>
          <w:rtl/>
        </w:rPr>
        <w:t>) «السؤال 70: هل مسألة ولاية الفقيه مسألة تقليدية أم اعتقادية؟ وما حكم الشخص الذي لا يعتقد بها؟ الجواب: إن ولاية الفقيه هي من شؤون الولاية والإمامة ومن أصول المذهب، والأحكام المتعلقة بالولاية تستنبط كسائر الأحكام الشرعية، والشخص الذي يتوصَّل إلى عدم الاعتقاد بولاية الفقيه من خلال الدل</w:t>
      </w:r>
      <w:r>
        <w:rPr>
          <w:rtl/>
        </w:rPr>
        <w:t>يل يعدّ معذوراً» (</w:t>
      </w:r>
      <w:r w:rsidRPr="009D41F1">
        <w:rPr>
          <w:rtl/>
        </w:rPr>
        <w:t xml:space="preserve">من استفتاءات </w:t>
      </w:r>
      <w:r w:rsidRPr="009D41F1">
        <w:rPr>
          <w:rFonts w:hint="cs"/>
          <w:rtl/>
        </w:rPr>
        <w:t>السيد الخامنئي</w:t>
      </w:r>
      <w:r w:rsidRPr="009D41F1">
        <w:rPr>
          <w:rtl/>
        </w:rPr>
        <w:t xml:space="preserve"> في كتاب توضيح المسائل</w:t>
      </w:r>
      <w:r w:rsidRPr="009D41F1">
        <w:rPr>
          <w:rFonts w:hint="cs"/>
          <w:rtl/>
        </w:rPr>
        <w:t xml:space="preserve"> مراجع</w:t>
      </w:r>
      <w:r w:rsidRPr="009D41F1">
        <w:rPr>
          <w:rtl/>
        </w:rPr>
        <w:t xml:space="preserve"> (فارسي) </w:t>
      </w:r>
      <w:r>
        <w:rPr>
          <w:rFonts w:hint="cs"/>
          <w:rtl/>
        </w:rPr>
        <w:t xml:space="preserve"> </w:t>
      </w:r>
      <w:r w:rsidRPr="00064619">
        <w:rPr>
          <w:rtl/>
        </w:rPr>
        <w:t>1: 39).</w:t>
      </w:r>
    </w:p>
  </w:footnote>
  <w:footnote w:id="507">
    <w:p w:rsidR="00F93F13" w:rsidRPr="00064619" w:rsidRDefault="00F93F13" w:rsidP="00064619">
      <w:pPr>
        <w:pStyle w:val="FootnoteText"/>
        <w:rPr>
          <w:rtl/>
        </w:rPr>
      </w:pPr>
      <w:r w:rsidRPr="00064619">
        <w:rPr>
          <w:rtl/>
        </w:rPr>
        <w:t>(</w:t>
      </w:r>
      <w:r w:rsidRPr="00064619">
        <w:rPr>
          <w:rtl/>
        </w:rPr>
        <w:footnoteRef/>
      </w:r>
      <w:r w:rsidRPr="00064619">
        <w:rPr>
          <w:rtl/>
        </w:rPr>
        <w:t>) الفصل السابع، البند السادس، الولاية الشرعية للفقيه.</w:t>
      </w:r>
    </w:p>
  </w:footnote>
  <w:footnote w:id="508">
    <w:p w:rsidR="00F93F13" w:rsidRPr="00064619" w:rsidRDefault="00F93F13" w:rsidP="00064619">
      <w:pPr>
        <w:pStyle w:val="FootnoteText"/>
        <w:rPr>
          <w:rtl/>
        </w:rPr>
      </w:pPr>
      <w:r w:rsidRPr="00064619">
        <w:rPr>
          <w:rtl/>
        </w:rPr>
        <w:t>(</w:t>
      </w:r>
      <w:r w:rsidRPr="00064619">
        <w:rPr>
          <w:rtl/>
        </w:rPr>
        <w:footnoteRef/>
      </w:r>
      <w:r w:rsidRPr="00064619">
        <w:rPr>
          <w:rtl/>
        </w:rPr>
        <w:t>) «البرهان قياس مؤلَّف من يقينات تنتج يقيناً بالذات اضطراراً» (راجع: توضيحات الشيخ الرئيس ابن سينا في برهان الشفاء، المقالة الثانية).</w:t>
      </w:r>
    </w:p>
  </w:footnote>
  <w:footnote w:id="509">
    <w:p w:rsidR="00F93F13" w:rsidRPr="00064619" w:rsidRDefault="00F93F13" w:rsidP="00325C35">
      <w:pPr>
        <w:pStyle w:val="FootnoteText"/>
        <w:rPr>
          <w:rtl/>
        </w:rPr>
      </w:pPr>
      <w:r w:rsidRPr="00064619">
        <w:rPr>
          <w:rtl/>
        </w:rPr>
        <w:t>(</w:t>
      </w:r>
      <w:r w:rsidRPr="00064619">
        <w:rPr>
          <w:rtl/>
        </w:rPr>
        <w:footnoteRef/>
      </w:r>
      <w:r w:rsidRPr="00064619">
        <w:rPr>
          <w:rtl/>
        </w:rPr>
        <w:t xml:space="preserve">) «سؤال 59: هل يعدّ الاعتقاد بولاية الفقيه من ناحية المفهوم والمصداق أمراً عقلياً أم شرعياً؟ الجواب: إن ولاية الفقيه ـ والتي هي عبارة عن حاكمية الفقيه العادل والعلم بأمور الدين ـ حكم شرعيّ تعبديّ يؤيّده العقل». </w:t>
      </w:r>
      <w:r>
        <w:rPr>
          <w:rFonts w:hint="cs"/>
          <w:rtl/>
        </w:rPr>
        <w:t>(</w:t>
      </w:r>
      <w:r w:rsidRPr="00325C35">
        <w:rPr>
          <w:rtl/>
        </w:rPr>
        <w:t xml:space="preserve">من استفتاءات </w:t>
      </w:r>
      <w:r w:rsidRPr="00325C35">
        <w:rPr>
          <w:rFonts w:hint="cs"/>
          <w:rtl/>
        </w:rPr>
        <w:t>السيد الخامنئي</w:t>
      </w:r>
      <w:r w:rsidRPr="00325C35">
        <w:rPr>
          <w:rtl/>
        </w:rPr>
        <w:t xml:space="preserve"> في كتاب توضيح المسائل</w:t>
      </w:r>
      <w:r w:rsidRPr="00325C35">
        <w:rPr>
          <w:rFonts w:hint="cs"/>
          <w:rtl/>
        </w:rPr>
        <w:t xml:space="preserve"> مراجع</w:t>
      </w:r>
      <w:r w:rsidRPr="00325C35">
        <w:rPr>
          <w:rtl/>
        </w:rPr>
        <w:t xml:space="preserve"> (فارسي) </w:t>
      </w:r>
      <w:r>
        <w:rPr>
          <w:rFonts w:hint="cs"/>
          <w:rtl/>
        </w:rPr>
        <w:t>1: 37).</w:t>
      </w:r>
    </w:p>
  </w:footnote>
  <w:footnote w:id="510">
    <w:p w:rsidR="00F93F13" w:rsidRPr="00064619" w:rsidRDefault="00F93F13" w:rsidP="00064619">
      <w:pPr>
        <w:pStyle w:val="FootnoteText"/>
        <w:rPr>
          <w:rtl/>
        </w:rPr>
      </w:pPr>
      <w:r w:rsidRPr="00064619">
        <w:rPr>
          <w:rtl/>
        </w:rPr>
        <w:t>(</w:t>
      </w:r>
      <w:r w:rsidRPr="00064619">
        <w:rPr>
          <w:rtl/>
        </w:rPr>
        <w:footnoteRef/>
      </w:r>
      <w:r w:rsidRPr="00064619">
        <w:rPr>
          <w:rtl/>
        </w:rPr>
        <w:t>) راجع رأي الشيخ الصدوق في مسألة سهو النبيّ في كتاب من لا يحضره الفقيه 1: 359 ـ 360، كتاب الصلاة، أحكام السهو والشك، آخر الحديث 1031.</w:t>
      </w:r>
    </w:p>
  </w:footnote>
  <w:footnote w:id="511">
    <w:p w:rsidR="00F93F13" w:rsidRPr="00064619" w:rsidRDefault="00F93F13" w:rsidP="00064619">
      <w:pPr>
        <w:pStyle w:val="FootnoteText"/>
        <w:rPr>
          <w:rtl/>
        </w:rPr>
      </w:pPr>
      <w:r w:rsidRPr="00064619">
        <w:rPr>
          <w:rtl/>
        </w:rPr>
        <w:t>(</w:t>
      </w:r>
      <w:r w:rsidRPr="00064619">
        <w:rPr>
          <w:rtl/>
        </w:rPr>
        <w:footnoteRef/>
      </w:r>
      <w:r w:rsidRPr="00064619">
        <w:rPr>
          <w:rtl/>
        </w:rPr>
        <w:t>) راجع: المفيد، مصنفات الشيخ المفيد (تصحيح الاعتقاد) 5: 98 ـ 99، فصل في مسألة القبر.</w:t>
      </w:r>
    </w:p>
  </w:footnote>
  <w:footnote w:id="512">
    <w:p w:rsidR="00F93F13" w:rsidRPr="00064619" w:rsidRDefault="00F93F13" w:rsidP="00064619">
      <w:pPr>
        <w:pStyle w:val="FootnoteText"/>
        <w:rPr>
          <w:rtl/>
        </w:rPr>
      </w:pPr>
      <w:r w:rsidRPr="00064619">
        <w:rPr>
          <w:rtl/>
        </w:rPr>
        <w:t>(</w:t>
      </w:r>
      <w:r w:rsidRPr="00064619">
        <w:rPr>
          <w:rtl/>
        </w:rPr>
        <w:footnoteRef/>
      </w:r>
      <w:r w:rsidRPr="00064619">
        <w:rPr>
          <w:rtl/>
        </w:rPr>
        <w:t>) راجع: مسائل وردود السيد الخوئي: «معظم فقهاء الإمامية لا يقولون بالولاية المطلقة للفقيه». وأيضاً راجع: «صراط النجاة في أجوبة الاستفتاءات».</w:t>
      </w:r>
    </w:p>
  </w:footnote>
  <w:footnote w:id="513">
    <w:p w:rsidR="00F93F13" w:rsidRPr="00064619" w:rsidRDefault="00F93F13" w:rsidP="00064619">
      <w:pPr>
        <w:pStyle w:val="FootnoteText"/>
        <w:rPr>
          <w:rtl/>
        </w:rPr>
      </w:pPr>
      <w:r w:rsidRPr="00064619">
        <w:rPr>
          <w:rtl/>
        </w:rPr>
        <w:t>(</w:t>
      </w:r>
      <w:r w:rsidRPr="00064619">
        <w:rPr>
          <w:rtl/>
        </w:rPr>
        <w:footnoteRef/>
      </w:r>
      <w:r w:rsidRPr="00064619">
        <w:rPr>
          <w:rtl/>
        </w:rPr>
        <w:t>) سوف نعرض أدلة هذا الادعاء ضمن بحث الإجماع (راجع: كشف الأسرار للسيد الخميني).</w:t>
      </w:r>
    </w:p>
  </w:footnote>
  <w:footnote w:id="514">
    <w:p w:rsidR="00F93F13" w:rsidRPr="00064619" w:rsidRDefault="00F93F13" w:rsidP="007A340E">
      <w:pPr>
        <w:pStyle w:val="FootnoteText"/>
        <w:rPr>
          <w:rtl/>
        </w:rPr>
      </w:pPr>
      <w:r w:rsidRPr="00064619">
        <w:rPr>
          <w:rtl/>
        </w:rPr>
        <w:t>(</w:t>
      </w:r>
      <w:r w:rsidRPr="00064619">
        <w:footnoteRef/>
      </w:r>
      <w:r w:rsidRPr="00064619">
        <w:t xml:space="preserve"> </w:t>
      </w:r>
      <w:r w:rsidRPr="00064619">
        <w:rPr>
          <w:rtl/>
        </w:rPr>
        <w:t xml:space="preserve">) أولياء الميت؛ ولاية الولد الذكر الأكبر في قضاء فوائت والده، ولاية الأب والجد من الأب على الأولاد الصغار، السفيه والمجنون، ولي الدم، الوصايا والقيمومية، ولي الوقف، ولاية الحاكم الشرعي في الأمور الحسبية. وقد تعرضنا مفصلاً لهذه الموارد السبعة في الفصل الرابع </w:t>
      </w:r>
      <w:r>
        <w:rPr>
          <w:rFonts w:hint="cs"/>
          <w:rtl/>
        </w:rPr>
        <w:t>«</w:t>
      </w:r>
      <w:r w:rsidRPr="00064619">
        <w:rPr>
          <w:rtl/>
        </w:rPr>
        <w:t>الولاية الفقهية</w:t>
      </w:r>
      <w:r>
        <w:rPr>
          <w:rFonts w:hint="cs"/>
          <w:rtl/>
        </w:rPr>
        <w:t>»</w:t>
      </w:r>
      <w:r w:rsidRPr="00064619">
        <w:rPr>
          <w:rtl/>
        </w:rPr>
        <w:t>.</w:t>
      </w:r>
    </w:p>
  </w:footnote>
  <w:footnote w:id="515">
    <w:p w:rsidR="00F93F13" w:rsidRPr="00064619" w:rsidRDefault="00F93F13" w:rsidP="00064619">
      <w:pPr>
        <w:pStyle w:val="FootnoteText"/>
      </w:pPr>
      <w:r w:rsidRPr="00064619">
        <w:rPr>
          <w:rtl/>
        </w:rPr>
        <w:t>(</w:t>
      </w:r>
      <w:r w:rsidRPr="00064619">
        <w:rPr>
          <w:rtl/>
        </w:rPr>
        <w:footnoteRef/>
      </w:r>
      <w:r w:rsidRPr="00064619">
        <w:rPr>
          <w:rtl/>
        </w:rPr>
        <w:t>) الفصل الرابع «الولاية الفقهية».</w:t>
      </w:r>
    </w:p>
  </w:footnote>
  <w:footnote w:id="516">
    <w:p w:rsidR="00F93F13" w:rsidRPr="00064619" w:rsidRDefault="00F93F13" w:rsidP="00064619">
      <w:pPr>
        <w:pStyle w:val="FootnoteText"/>
      </w:pPr>
      <w:r w:rsidRPr="00064619">
        <w:rPr>
          <w:rtl/>
        </w:rPr>
        <w:t>(</w:t>
      </w:r>
      <w:r w:rsidRPr="00064619">
        <w:rPr>
          <w:rtl/>
        </w:rPr>
        <w:footnoteRef/>
      </w:r>
      <w:r w:rsidRPr="00064619">
        <w:rPr>
          <w:rtl/>
        </w:rPr>
        <w:t>) كشف الغطاء عن مبهمات الشريعة الغراء.</w:t>
      </w:r>
    </w:p>
  </w:footnote>
  <w:footnote w:id="517">
    <w:p w:rsidR="00F93F13" w:rsidRPr="00064619" w:rsidRDefault="00F93F13" w:rsidP="00064619">
      <w:pPr>
        <w:pStyle w:val="FootnoteText"/>
      </w:pPr>
      <w:r w:rsidRPr="00064619">
        <w:rPr>
          <w:rtl/>
        </w:rPr>
        <w:t>(</w:t>
      </w:r>
      <w:r w:rsidRPr="00064619">
        <w:rPr>
          <w:rtl/>
        </w:rPr>
        <w:footnoteRef/>
      </w:r>
      <w:r w:rsidRPr="00064619">
        <w:rPr>
          <w:rtl/>
        </w:rPr>
        <w:t>) الأنصاري، المكاسب: 45، طبعة بيروت 3 مجلَّدات، وكافة الشروح والحواشي وتعليقات الفقهاء على هذا الكتاب.</w:t>
      </w:r>
    </w:p>
  </w:footnote>
  <w:footnote w:id="518">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الرسائل: 100 ـ 101، رسالة في الاجتهاد والتقليد؛ الشيخ جعفر سبحاني، تهذيب الأصول (تقرير أبحاث السيد الخميني) 3: 143 ـ 145، رسالة في الاجتهاد والتقليد.</w:t>
      </w:r>
    </w:p>
  </w:footnote>
  <w:footnote w:id="519">
    <w:p w:rsidR="00F93F13" w:rsidRPr="00064619" w:rsidRDefault="00F93F13" w:rsidP="00064619">
      <w:pPr>
        <w:pStyle w:val="FootnoteText"/>
      </w:pPr>
      <w:r w:rsidRPr="00064619">
        <w:rPr>
          <w:rtl/>
        </w:rPr>
        <w:t>(</w:t>
      </w:r>
      <w:r w:rsidRPr="00064619">
        <w:rPr>
          <w:rtl/>
        </w:rPr>
        <w:footnoteRef/>
      </w:r>
      <w:r w:rsidRPr="00064619">
        <w:rPr>
          <w:rtl/>
        </w:rPr>
        <w:t>) عوائد الأيام: 531 ـ 536، عائدة 54 في بيان ولاية الحاكم وما فيه الولاية.</w:t>
      </w:r>
    </w:p>
  </w:footnote>
  <w:footnote w:id="520">
    <w:p w:rsidR="00F93F13" w:rsidRPr="00064619" w:rsidRDefault="00F93F13" w:rsidP="00064619">
      <w:pPr>
        <w:pStyle w:val="FootnoteText"/>
      </w:pPr>
      <w:r w:rsidRPr="00064619">
        <w:rPr>
          <w:rtl/>
        </w:rPr>
        <w:t>(</w:t>
      </w:r>
      <w:r w:rsidRPr="00064619">
        <w:rPr>
          <w:rtl/>
        </w:rPr>
        <w:footnoteRef/>
      </w:r>
      <w:r w:rsidRPr="00064619">
        <w:rPr>
          <w:rtl/>
        </w:rPr>
        <w:t>) الأنصاري، المكاسب 2: 47 ـ 51.</w:t>
      </w:r>
    </w:p>
  </w:footnote>
  <w:footnote w:id="521">
    <w:p w:rsidR="00F93F13" w:rsidRPr="00064619" w:rsidRDefault="00F93F13" w:rsidP="00064619">
      <w:pPr>
        <w:pStyle w:val="FootnoteText"/>
      </w:pPr>
      <w:r w:rsidRPr="00064619">
        <w:rPr>
          <w:rtl/>
        </w:rPr>
        <w:t>(</w:t>
      </w:r>
      <w:r w:rsidRPr="00064619">
        <w:rPr>
          <w:rtl/>
        </w:rPr>
        <w:footnoteRef/>
      </w:r>
      <w:r w:rsidRPr="00064619">
        <w:rPr>
          <w:rtl/>
        </w:rPr>
        <w:t>) عوائد الأيام: 534.</w:t>
      </w:r>
    </w:p>
  </w:footnote>
  <w:footnote w:id="522">
    <w:p w:rsidR="00F93F13" w:rsidRPr="00064619" w:rsidRDefault="00F93F13" w:rsidP="00064619">
      <w:pPr>
        <w:pStyle w:val="FootnoteText"/>
      </w:pPr>
      <w:r w:rsidRPr="00064619">
        <w:rPr>
          <w:rtl/>
        </w:rPr>
        <w:t>(</w:t>
      </w:r>
      <w:r w:rsidRPr="00064619">
        <w:rPr>
          <w:rtl/>
        </w:rPr>
        <w:footnoteRef/>
      </w:r>
      <w:r w:rsidRPr="00064619">
        <w:rPr>
          <w:rtl/>
        </w:rPr>
        <w:t>) العلامة الحلي، تذكرة الفقهاء (الطبعة الحجرية) 2: 592؛ الشهيد الثاني، مسالك الإفهام 7: 146 ـ 147؛ البحراني، الحدائق الناضرة 23: 239؛ السيد علي الطباطبائي، رياض المسائل 11: 100؛ النجفي، جواهر الكلام 22: 188.</w:t>
      </w:r>
    </w:p>
  </w:footnote>
  <w:footnote w:id="523">
    <w:p w:rsidR="00F93F13" w:rsidRPr="00064619" w:rsidRDefault="00F93F13" w:rsidP="00064619">
      <w:pPr>
        <w:pStyle w:val="FootnoteText"/>
      </w:pPr>
      <w:r w:rsidRPr="00064619">
        <w:rPr>
          <w:rtl/>
        </w:rPr>
        <w:t>(</w:t>
      </w:r>
      <w:r w:rsidRPr="00064619">
        <w:rPr>
          <w:rtl/>
        </w:rPr>
        <w:footnoteRef/>
      </w:r>
      <w:r w:rsidRPr="00064619">
        <w:rPr>
          <w:rtl/>
        </w:rPr>
        <w:t>) عوائد الأيام: 534، الرواية 17.</w:t>
      </w:r>
    </w:p>
  </w:footnote>
  <w:footnote w:id="524">
    <w:p w:rsidR="00F93F13" w:rsidRPr="00064619" w:rsidRDefault="00F93F13" w:rsidP="00064619">
      <w:pPr>
        <w:pStyle w:val="FootnoteText"/>
      </w:pPr>
      <w:r w:rsidRPr="00064619">
        <w:rPr>
          <w:rtl/>
        </w:rPr>
        <w:t>(</w:t>
      </w:r>
      <w:r w:rsidRPr="00064619">
        <w:rPr>
          <w:rtl/>
        </w:rPr>
        <w:footnoteRef/>
      </w:r>
      <w:r w:rsidRPr="00064619">
        <w:rPr>
          <w:rtl/>
        </w:rPr>
        <w:t>) «وأمّا الأخبار المذكورة لإثبات الولاية العامة للفقيه... والعمدة المقبولة والتوقيع وما اشتهر به من أن السلطان وليّ من لا وليّ له» (الخوانساري، جامع المدارك 3: 100، كتاب التجارة).</w:t>
      </w:r>
    </w:p>
  </w:footnote>
  <w:footnote w:id="525">
    <w:p w:rsidR="00F93F13" w:rsidRPr="00064619" w:rsidRDefault="00F93F13" w:rsidP="00064619">
      <w:pPr>
        <w:pStyle w:val="FootnoteText"/>
      </w:pPr>
      <w:r w:rsidRPr="00064619">
        <w:rPr>
          <w:rtl/>
        </w:rPr>
        <w:t>(</w:t>
      </w:r>
      <w:r w:rsidRPr="00064619">
        <w:rPr>
          <w:rtl/>
        </w:rPr>
        <w:footnoteRef/>
      </w:r>
      <w:r w:rsidRPr="00064619">
        <w:rPr>
          <w:rtl/>
        </w:rPr>
        <w:t>) الأنصاري، المكاسب 2: 51.</w:t>
      </w:r>
    </w:p>
  </w:footnote>
  <w:footnote w:id="526">
    <w:p w:rsidR="00F93F13" w:rsidRPr="00064619" w:rsidRDefault="00F93F13" w:rsidP="00887CCF">
      <w:pPr>
        <w:pStyle w:val="FootnoteText"/>
        <w:spacing w:line="175" w:lineRule="auto"/>
      </w:pPr>
      <w:r w:rsidRPr="00064619">
        <w:rPr>
          <w:rtl/>
        </w:rPr>
        <w:t>(</w:t>
      </w:r>
      <w:r w:rsidRPr="00064619">
        <w:rPr>
          <w:rtl/>
        </w:rPr>
        <w:footnoteRef/>
      </w:r>
      <w:r w:rsidRPr="00064619">
        <w:rPr>
          <w:rtl/>
        </w:rPr>
        <w:t>) ومن هؤلاء: الشيخ الأنصاري، المحقق الإيرواني، الميرزا النائيني، السيد محسن الحكيم، السيد الخوانساري، الشيخ مرتضى الحائري اليزدي.</w:t>
      </w:r>
    </w:p>
  </w:footnote>
  <w:footnote w:id="527">
    <w:p w:rsidR="00F93F13" w:rsidRPr="00064619" w:rsidRDefault="00F93F13" w:rsidP="00887CCF">
      <w:pPr>
        <w:pStyle w:val="FootnoteText"/>
        <w:spacing w:line="175" w:lineRule="auto"/>
      </w:pPr>
      <w:r w:rsidRPr="00064619">
        <w:rPr>
          <w:rtl/>
        </w:rPr>
        <w:t>(</w:t>
      </w:r>
      <w:r w:rsidRPr="00064619">
        <w:rPr>
          <w:rtl/>
        </w:rPr>
        <w:footnoteRef/>
      </w:r>
      <w:r w:rsidRPr="00064619">
        <w:rPr>
          <w:rtl/>
        </w:rPr>
        <w:t>) ومن هؤلاء: السيد الخميني، السيد الخوئي، الشيخ المنتظري، و...</w:t>
      </w:r>
    </w:p>
  </w:footnote>
  <w:footnote w:id="528">
    <w:p w:rsidR="00F93F13" w:rsidRPr="00064619" w:rsidRDefault="00F93F13" w:rsidP="00064619">
      <w:pPr>
        <w:pStyle w:val="FootnoteText"/>
      </w:pPr>
      <w:r w:rsidRPr="00064619">
        <w:rPr>
          <w:rtl/>
        </w:rPr>
        <w:t>(</w:t>
      </w:r>
      <w:r w:rsidRPr="00064619">
        <w:rPr>
          <w:rtl/>
        </w:rPr>
        <w:footnoteRef/>
      </w:r>
      <w:r w:rsidRPr="00064619">
        <w:rPr>
          <w:rtl/>
        </w:rPr>
        <w:t>) سنن ابن داوود 2: 566، الحديث 2083؛ سنن الترمذي 2: 280، الحديث 1108؛ سنن ابن ماجة 1: 605، الحديثان 1879 و1880؛ سنن البيهقي 7: 105.</w:t>
      </w:r>
    </w:p>
  </w:footnote>
  <w:footnote w:id="529">
    <w:p w:rsidR="00F93F13" w:rsidRPr="00064619" w:rsidRDefault="00F93F13" w:rsidP="00A06401">
      <w:pPr>
        <w:pStyle w:val="FootnoteText"/>
      </w:pPr>
      <w:r w:rsidRPr="00064619">
        <w:rPr>
          <w:rtl/>
        </w:rPr>
        <w:t>(</w:t>
      </w:r>
      <w:r w:rsidRPr="00064619">
        <w:rPr>
          <w:rtl/>
        </w:rPr>
        <w:footnoteRef/>
      </w:r>
      <w:r w:rsidRPr="00064619">
        <w:rPr>
          <w:rtl/>
        </w:rPr>
        <w:t>) «فإنه لم يثبت كونه رواية، كما في جواب السيد الفقيه المتتبِّع البروجردي الطباطبائي</w:t>
      </w:r>
      <w:r>
        <w:rPr>
          <w:rFonts w:hint="cs"/>
          <w:rtl/>
        </w:rPr>
        <w:t>+</w:t>
      </w:r>
      <w:r w:rsidRPr="00064619">
        <w:rPr>
          <w:rtl/>
        </w:rPr>
        <w:t xml:space="preserve"> في ما كتبه في مقام إثبات ولاية الفقيه، بل استظهر</w:t>
      </w:r>
      <w:r>
        <w:rPr>
          <w:rFonts w:hint="cs"/>
          <w:rtl/>
        </w:rPr>
        <w:t>+</w:t>
      </w:r>
      <w:r w:rsidRPr="00064619">
        <w:rPr>
          <w:rtl/>
        </w:rPr>
        <w:t xml:space="preserve"> كونه من عبارات الفقهاء، والقواعد المستفادة من الأدلة، نظير قولهم</w:t>
      </w:r>
      <w:r>
        <w:rPr>
          <w:rFonts w:hint="cs"/>
          <w:rtl/>
        </w:rPr>
        <w:t xml:space="preserve"> </w:t>
      </w:r>
      <w:r w:rsidRPr="00064619">
        <w:rPr>
          <w:rtl/>
        </w:rPr>
        <w:t>كل عقد يضمن بصحيحه يضمن بفاسده» (الشيخ الحائري، ابتغاء الفضيلة 2: 231).</w:t>
      </w:r>
    </w:p>
  </w:footnote>
  <w:footnote w:id="530">
    <w:p w:rsidR="00F93F13" w:rsidRPr="00064619" w:rsidRDefault="00F93F13" w:rsidP="00064619">
      <w:pPr>
        <w:pStyle w:val="FootnoteText"/>
      </w:pPr>
      <w:r w:rsidRPr="00064619">
        <w:rPr>
          <w:rtl/>
        </w:rPr>
        <w:t>(</w:t>
      </w:r>
      <w:r w:rsidRPr="00064619">
        <w:rPr>
          <w:rtl/>
        </w:rPr>
        <w:footnoteRef/>
      </w:r>
      <w:r w:rsidRPr="00064619">
        <w:rPr>
          <w:rtl/>
        </w:rPr>
        <w:t>) المصدر نفسه 2: 230 ـ 231.</w:t>
      </w:r>
    </w:p>
  </w:footnote>
  <w:footnote w:id="531">
    <w:p w:rsidR="00F93F13" w:rsidRPr="00064619" w:rsidRDefault="00F93F13" w:rsidP="00064619">
      <w:pPr>
        <w:pStyle w:val="FootnoteText"/>
      </w:pPr>
      <w:r w:rsidRPr="00064619">
        <w:rPr>
          <w:rtl/>
        </w:rPr>
        <w:t>(</w:t>
      </w:r>
      <w:r w:rsidRPr="00064619">
        <w:rPr>
          <w:rtl/>
        </w:rPr>
        <w:footnoteRef/>
      </w:r>
      <w:r w:rsidRPr="00064619">
        <w:rPr>
          <w:rtl/>
        </w:rPr>
        <w:t>) الشيخ ناصر مكارم الشيرازي، أنوار الفقاهة 1: 510، كتاب البيع.</w:t>
      </w:r>
    </w:p>
  </w:footnote>
  <w:footnote w:id="532">
    <w:p w:rsidR="00F93F13" w:rsidRPr="00064619" w:rsidRDefault="00F93F13" w:rsidP="00064619">
      <w:pPr>
        <w:pStyle w:val="FootnoteText"/>
      </w:pPr>
      <w:r w:rsidRPr="00064619">
        <w:rPr>
          <w:rtl/>
        </w:rPr>
        <w:t>(</w:t>
      </w:r>
      <w:r w:rsidRPr="00064619">
        <w:rPr>
          <w:rtl/>
        </w:rPr>
        <w:footnoteRef/>
      </w:r>
      <w:r w:rsidRPr="00064619">
        <w:rPr>
          <w:rtl/>
        </w:rPr>
        <w:t>) وفي ما يخصّ عدم حجية الشهرة العملية يمكن الرجوع إلى مصباح الأصول للسيد الخوئي، ج 2، ص 143.</w:t>
      </w:r>
    </w:p>
  </w:footnote>
  <w:footnote w:id="533">
    <w:p w:rsidR="00F93F13" w:rsidRPr="00064619" w:rsidRDefault="00F93F13" w:rsidP="00064619">
      <w:pPr>
        <w:pStyle w:val="FootnoteText"/>
      </w:pPr>
      <w:r w:rsidRPr="00064619">
        <w:rPr>
          <w:rtl/>
        </w:rPr>
        <w:t>(</w:t>
      </w:r>
      <w:r w:rsidRPr="00064619">
        <w:rPr>
          <w:rtl/>
        </w:rPr>
        <w:footnoteRef/>
      </w:r>
      <w:r w:rsidRPr="00064619">
        <w:rPr>
          <w:rtl/>
        </w:rPr>
        <w:t>) الأنصاري، المكاسب 2: 50؛ الخوانساري، جامع المدارك 3: 100.</w:t>
      </w:r>
    </w:p>
  </w:footnote>
  <w:footnote w:id="534">
    <w:p w:rsidR="00F93F13" w:rsidRPr="00064619" w:rsidRDefault="00F93F13" w:rsidP="00064619">
      <w:pPr>
        <w:pStyle w:val="FootnoteText"/>
      </w:pPr>
      <w:r w:rsidRPr="00064619">
        <w:rPr>
          <w:rtl/>
        </w:rPr>
        <w:t>(</w:t>
      </w:r>
      <w:r w:rsidRPr="00064619">
        <w:rPr>
          <w:rtl/>
        </w:rPr>
        <w:footnoteRef/>
      </w:r>
      <w:r w:rsidRPr="00064619">
        <w:rPr>
          <w:rtl/>
        </w:rPr>
        <w:t>) جامع المدارك 3: 100: «وأما ما اشتهر من أن السلطان وليّ من لا ولي له فلعل المراد من السلطان المنسوب بالخصوص من قبل المعصوم صلوات الله عليه».</w:t>
      </w:r>
    </w:p>
  </w:footnote>
  <w:footnote w:id="535">
    <w:p w:rsidR="00F93F13" w:rsidRPr="00064619" w:rsidRDefault="00F93F13" w:rsidP="00064619">
      <w:pPr>
        <w:pStyle w:val="FootnoteText"/>
      </w:pPr>
      <w:r w:rsidRPr="00064619">
        <w:rPr>
          <w:rtl/>
        </w:rPr>
        <w:t>(</w:t>
      </w:r>
      <w:r w:rsidRPr="00064619">
        <w:rPr>
          <w:rtl/>
        </w:rPr>
        <w:footnoteRef/>
      </w:r>
      <w:r w:rsidRPr="00064619">
        <w:rPr>
          <w:rtl/>
        </w:rPr>
        <w:t>) الإيرواني، حاشية المكاسب (الطبعة الحجرية): 157.</w:t>
      </w:r>
    </w:p>
  </w:footnote>
  <w:footnote w:id="536">
    <w:p w:rsidR="00F93F13" w:rsidRPr="00064619" w:rsidRDefault="00F93F13" w:rsidP="00064619">
      <w:pPr>
        <w:pStyle w:val="FootnoteText"/>
      </w:pPr>
      <w:r w:rsidRPr="00064619">
        <w:rPr>
          <w:rtl/>
        </w:rPr>
        <w:t>(</w:t>
      </w:r>
      <w:r w:rsidRPr="00064619">
        <w:rPr>
          <w:rtl/>
        </w:rPr>
        <w:footnoteRef/>
      </w:r>
      <w:r w:rsidRPr="00064619">
        <w:rPr>
          <w:rtl/>
        </w:rPr>
        <w:t>) الشيخ موسى النجفي الخوانساري، منية الطالب (تقرير الميرزا النائيني) 2: 237؛ وراجع: أنوار الفقاهة 1: 510، كتاب البيع.</w:t>
      </w:r>
    </w:p>
  </w:footnote>
  <w:footnote w:id="537">
    <w:p w:rsidR="00F93F13" w:rsidRPr="00064619" w:rsidRDefault="00F93F13" w:rsidP="00064619">
      <w:pPr>
        <w:pStyle w:val="FootnoteText"/>
      </w:pPr>
      <w:r w:rsidRPr="00064619">
        <w:rPr>
          <w:rtl/>
        </w:rPr>
        <w:t>(</w:t>
      </w:r>
      <w:r w:rsidRPr="00064619">
        <w:rPr>
          <w:rtl/>
        </w:rPr>
        <w:footnoteRef/>
      </w:r>
      <w:r w:rsidRPr="00064619">
        <w:rPr>
          <w:rtl/>
        </w:rPr>
        <w:t>) الأنصاري، المكاسب 2: 50 ـ 51.</w:t>
      </w:r>
    </w:p>
  </w:footnote>
  <w:footnote w:id="538">
    <w:p w:rsidR="00F93F13" w:rsidRPr="00064619" w:rsidRDefault="00F93F13" w:rsidP="00064619">
      <w:pPr>
        <w:pStyle w:val="FootnoteText"/>
      </w:pPr>
      <w:r w:rsidRPr="00064619">
        <w:rPr>
          <w:rtl/>
        </w:rPr>
        <w:t>(</w:t>
      </w:r>
      <w:r w:rsidRPr="00064619">
        <w:rPr>
          <w:rtl/>
        </w:rPr>
        <w:footnoteRef/>
      </w:r>
      <w:r w:rsidRPr="00064619">
        <w:rPr>
          <w:rtl/>
        </w:rPr>
        <w:t>) منية الطالب 2: 237؛ السيد الحكيم، نهج الفقاهة: 303.</w:t>
      </w:r>
    </w:p>
  </w:footnote>
  <w:footnote w:id="539">
    <w:p w:rsidR="00F93F13" w:rsidRPr="00064619" w:rsidRDefault="00F93F13" w:rsidP="00064619">
      <w:pPr>
        <w:pStyle w:val="FootnoteText"/>
      </w:pPr>
      <w:r w:rsidRPr="00064619">
        <w:rPr>
          <w:rtl/>
        </w:rPr>
        <w:t>(</w:t>
      </w:r>
      <w:r w:rsidRPr="00064619">
        <w:rPr>
          <w:rtl/>
        </w:rPr>
        <w:footnoteRef/>
      </w:r>
      <w:r w:rsidRPr="00064619">
        <w:rPr>
          <w:rtl/>
        </w:rPr>
        <w:t>) أنوار الفقاهة 1: 510 ـ 511، كتاب البيع.</w:t>
      </w:r>
    </w:p>
  </w:footnote>
  <w:footnote w:id="540">
    <w:p w:rsidR="00F93F13" w:rsidRPr="00064619" w:rsidRDefault="00F93F13" w:rsidP="00064619">
      <w:pPr>
        <w:pStyle w:val="FootnoteText"/>
      </w:pPr>
      <w:r w:rsidRPr="00064619">
        <w:rPr>
          <w:rtl/>
        </w:rPr>
        <w:t>(</w:t>
      </w:r>
      <w:r w:rsidRPr="00064619">
        <w:rPr>
          <w:rtl/>
        </w:rPr>
        <w:footnoteRef/>
      </w:r>
      <w:r w:rsidRPr="00064619">
        <w:rPr>
          <w:rtl/>
        </w:rPr>
        <w:t>) من لا يحضره الفقيه 4: 420، باب النوادر، الحديث 5919.</w:t>
      </w:r>
    </w:p>
  </w:footnote>
  <w:footnote w:id="541">
    <w:p w:rsidR="00F93F13" w:rsidRPr="00064619" w:rsidRDefault="00F93F13" w:rsidP="00064619">
      <w:pPr>
        <w:pStyle w:val="FootnoteText"/>
      </w:pPr>
      <w:r w:rsidRPr="00064619">
        <w:rPr>
          <w:rtl/>
        </w:rPr>
        <w:t>(</w:t>
      </w:r>
      <w:r w:rsidRPr="00064619">
        <w:rPr>
          <w:rtl/>
        </w:rPr>
        <w:footnoteRef/>
      </w:r>
      <w:r w:rsidRPr="00064619">
        <w:rPr>
          <w:rtl/>
        </w:rPr>
        <w:t>) الصدوق، عيون أخبار الرضا 2: 37، باب 31، الحديث 94.</w:t>
      </w:r>
    </w:p>
  </w:footnote>
  <w:footnote w:id="542">
    <w:p w:rsidR="00F93F13" w:rsidRPr="00064619" w:rsidRDefault="00F93F13" w:rsidP="00064619">
      <w:pPr>
        <w:pStyle w:val="FootnoteText"/>
      </w:pPr>
      <w:r w:rsidRPr="00064619">
        <w:rPr>
          <w:rtl/>
        </w:rPr>
        <w:t>(</w:t>
      </w:r>
      <w:r w:rsidRPr="00064619">
        <w:rPr>
          <w:rtl/>
        </w:rPr>
        <w:footnoteRef/>
      </w:r>
      <w:r w:rsidRPr="00064619">
        <w:rPr>
          <w:rtl/>
        </w:rPr>
        <w:t>) الصدوق، معاني الأخبار 2: 374، باب 423 (باب معنى قول النبيّ: اللهم ارحم خلفائي ثلاثاً).</w:t>
      </w:r>
    </w:p>
  </w:footnote>
  <w:footnote w:id="543">
    <w:p w:rsidR="00F93F13" w:rsidRPr="00064619" w:rsidRDefault="00F93F13" w:rsidP="00064619">
      <w:pPr>
        <w:pStyle w:val="FootnoteText"/>
      </w:pPr>
      <w:r w:rsidRPr="00064619">
        <w:rPr>
          <w:rtl/>
        </w:rPr>
        <w:t>(</w:t>
      </w:r>
      <w:r w:rsidRPr="00064619">
        <w:rPr>
          <w:rtl/>
        </w:rPr>
        <w:footnoteRef/>
      </w:r>
      <w:r w:rsidRPr="00064619">
        <w:rPr>
          <w:rtl/>
        </w:rPr>
        <w:t>) الصدوق، الأمالي: 247، المجلس 34، الحديث 4.</w:t>
      </w:r>
    </w:p>
  </w:footnote>
  <w:footnote w:id="544">
    <w:p w:rsidR="00F93F13" w:rsidRPr="00064619" w:rsidRDefault="00F93F13" w:rsidP="00064619">
      <w:pPr>
        <w:pStyle w:val="FootnoteText"/>
      </w:pPr>
      <w:r w:rsidRPr="00064619">
        <w:rPr>
          <w:rtl/>
        </w:rPr>
        <w:t>(</w:t>
      </w:r>
      <w:r w:rsidRPr="00064619">
        <w:rPr>
          <w:rtl/>
        </w:rPr>
        <w:footnoteRef/>
      </w:r>
      <w:r w:rsidRPr="00064619">
        <w:rPr>
          <w:rtl/>
        </w:rPr>
        <w:t>) صحيفة الإمام الرضا: 56، الحديث 73.</w:t>
      </w:r>
    </w:p>
  </w:footnote>
  <w:footnote w:id="545">
    <w:p w:rsidR="00F93F13" w:rsidRPr="00064619" w:rsidRDefault="00F93F13" w:rsidP="00064619">
      <w:pPr>
        <w:pStyle w:val="FootnoteText"/>
      </w:pPr>
      <w:r w:rsidRPr="00064619">
        <w:rPr>
          <w:rtl/>
        </w:rPr>
        <w:t>(</w:t>
      </w:r>
      <w:r w:rsidRPr="00064619">
        <w:rPr>
          <w:rtl/>
        </w:rPr>
        <w:footnoteRef/>
      </w:r>
      <w:r w:rsidRPr="00064619">
        <w:rPr>
          <w:rtl/>
        </w:rPr>
        <w:t>) ابن أبي جمهور الأحسائي، عوالي اللآلي.</w:t>
      </w:r>
    </w:p>
  </w:footnote>
  <w:footnote w:id="546">
    <w:p w:rsidR="00F93F13" w:rsidRPr="00064619" w:rsidRDefault="00F93F13" w:rsidP="00064619">
      <w:pPr>
        <w:pStyle w:val="FootnoteText"/>
      </w:pPr>
      <w:r w:rsidRPr="00064619">
        <w:rPr>
          <w:rtl/>
        </w:rPr>
        <w:t>(</w:t>
      </w:r>
      <w:r w:rsidRPr="00064619">
        <w:rPr>
          <w:rtl/>
        </w:rPr>
        <w:footnoteRef/>
      </w:r>
      <w:r w:rsidRPr="00064619">
        <w:rPr>
          <w:rtl/>
        </w:rPr>
        <w:t>) مستدرك الوسائل، باب 8 من أبواب صفات القاضي، الحديث 52.</w:t>
      </w:r>
    </w:p>
  </w:footnote>
  <w:footnote w:id="547">
    <w:p w:rsidR="00F93F13" w:rsidRPr="00064619" w:rsidRDefault="00F93F13" w:rsidP="00064619">
      <w:pPr>
        <w:pStyle w:val="FootnoteText"/>
      </w:pPr>
      <w:r w:rsidRPr="00064619">
        <w:rPr>
          <w:rtl/>
        </w:rPr>
        <w:t>(</w:t>
      </w:r>
      <w:r w:rsidRPr="00064619">
        <w:rPr>
          <w:rtl/>
        </w:rPr>
        <w:footnoteRef/>
      </w:r>
      <w:r w:rsidRPr="00064619">
        <w:rPr>
          <w:rtl/>
        </w:rPr>
        <w:t>) الشهيد الثاني، منية المريد: 101، 370.</w:t>
      </w:r>
    </w:p>
  </w:footnote>
  <w:footnote w:id="548">
    <w:p w:rsidR="00F93F13" w:rsidRPr="00064619" w:rsidRDefault="00F93F13" w:rsidP="00064619">
      <w:pPr>
        <w:pStyle w:val="FootnoteText"/>
      </w:pPr>
      <w:r w:rsidRPr="00064619">
        <w:rPr>
          <w:rtl/>
        </w:rPr>
        <w:t>(</w:t>
      </w:r>
      <w:r w:rsidRPr="00064619">
        <w:rPr>
          <w:rtl/>
        </w:rPr>
        <w:footnoteRef/>
      </w:r>
      <w:r w:rsidRPr="00064619">
        <w:rPr>
          <w:rtl/>
        </w:rPr>
        <w:t>) الترغيب والترهيب 1: 110؛ المحدث الفاضل: 163؛ شرف أصحاب الحديث: 31؛ جامع بيان العلم وفضله 1: 55؛ كنز العمال 10: 229، الحديثان 29208 و29209، 10: 221، الحديث 29167؛ مجمع الزوائد 1: 126.</w:t>
      </w:r>
    </w:p>
  </w:footnote>
  <w:footnote w:id="549">
    <w:p w:rsidR="00F93F13" w:rsidRPr="00064619" w:rsidRDefault="00F93F13" w:rsidP="00064619">
      <w:pPr>
        <w:pStyle w:val="FootnoteText"/>
      </w:pPr>
      <w:r w:rsidRPr="00064619">
        <w:rPr>
          <w:rtl/>
        </w:rPr>
        <w:t>(</w:t>
      </w:r>
      <w:r w:rsidRPr="00064619">
        <w:rPr>
          <w:rtl/>
        </w:rPr>
        <w:footnoteRef/>
      </w:r>
      <w:r w:rsidRPr="00064619">
        <w:rPr>
          <w:rtl/>
        </w:rPr>
        <w:t>) عوائد الأيام: 531؛ المراغي، العناوين 2: 564 ـ 565؛ جواهر الكلام 21: 395؛ المامقاني، هداية الأنام في حكم أموال الإمام×: 142 (الطبعة الحجرية)؛ الگلپايگاني، الهداية إلى مَنْ له الولاية (تقرير أبحاثه بقلم: الميرزا أحمد صابري): 34.</w:t>
      </w:r>
    </w:p>
  </w:footnote>
  <w:footnote w:id="550">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467، 470؛ الحكومة الإسلامية: 91 ـ 101.</w:t>
      </w:r>
    </w:p>
  </w:footnote>
  <w:footnote w:id="551">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w:t>
      </w:r>
      <w:r w:rsidRPr="00064619">
        <w:rPr>
          <w:rtl/>
        </w:rPr>
        <w:t xml:space="preserve"> الخميني، كتاب البيع 2: 468.</w:t>
      </w:r>
    </w:p>
  </w:footnote>
  <w:footnote w:id="552">
    <w:p w:rsidR="00F93F13" w:rsidRPr="00064619" w:rsidRDefault="00F93F13" w:rsidP="00064619">
      <w:pPr>
        <w:pStyle w:val="FootnoteText"/>
      </w:pPr>
      <w:r w:rsidRPr="00064619">
        <w:rPr>
          <w:rtl/>
        </w:rPr>
        <w:t>(</w:t>
      </w:r>
      <w:r w:rsidRPr="00064619">
        <w:rPr>
          <w:rtl/>
        </w:rPr>
        <w:footnoteRef/>
      </w:r>
      <w:r w:rsidRPr="00064619">
        <w:rPr>
          <w:rtl/>
        </w:rPr>
        <w:t>) المصدر نفسه 2: 469.</w:t>
      </w:r>
    </w:p>
  </w:footnote>
  <w:footnote w:id="553">
    <w:p w:rsidR="00F93F13" w:rsidRPr="00064619" w:rsidRDefault="00F93F13" w:rsidP="00064619">
      <w:pPr>
        <w:pStyle w:val="FootnoteText"/>
      </w:pPr>
      <w:r w:rsidRPr="00064619">
        <w:rPr>
          <w:rtl/>
        </w:rPr>
        <w:t>(</w:t>
      </w:r>
      <w:r w:rsidRPr="00064619">
        <w:rPr>
          <w:rtl/>
        </w:rPr>
        <w:footnoteRef/>
      </w:r>
      <w:r w:rsidRPr="00064619">
        <w:rPr>
          <w:rtl/>
        </w:rPr>
        <w:t>) المصدر نفسه 2: 469 ـ 470؛ ولاية الفقيه: 91 ـ 106.</w:t>
      </w:r>
    </w:p>
  </w:footnote>
  <w:footnote w:id="554">
    <w:p w:rsidR="00F93F13" w:rsidRPr="00064619" w:rsidRDefault="00F93F13" w:rsidP="00064619">
      <w:pPr>
        <w:pStyle w:val="FootnoteText"/>
      </w:pPr>
      <w:r w:rsidRPr="00064619">
        <w:rPr>
          <w:rtl/>
        </w:rPr>
        <w:t>(</w:t>
      </w:r>
      <w:r w:rsidRPr="00064619">
        <w:rPr>
          <w:rtl/>
        </w:rPr>
        <w:footnoteRef/>
      </w:r>
      <w:r w:rsidRPr="00064619">
        <w:rPr>
          <w:rtl/>
        </w:rPr>
        <w:t>) الشيخ منتظري، دراسات في ولاية الفقيه 1: 463.</w:t>
      </w:r>
    </w:p>
  </w:footnote>
  <w:footnote w:id="555">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468.</w:t>
      </w:r>
    </w:p>
  </w:footnote>
  <w:footnote w:id="556">
    <w:p w:rsidR="00F93F13" w:rsidRPr="00064619" w:rsidRDefault="00F93F13" w:rsidP="00064619">
      <w:pPr>
        <w:pStyle w:val="FootnoteText"/>
      </w:pPr>
      <w:r w:rsidRPr="00064619">
        <w:rPr>
          <w:rtl/>
        </w:rPr>
        <w:t>(</w:t>
      </w:r>
      <w:r w:rsidRPr="00064619">
        <w:rPr>
          <w:rtl/>
        </w:rPr>
        <w:footnoteRef/>
      </w:r>
      <w:r w:rsidRPr="00064619">
        <w:rPr>
          <w:rtl/>
        </w:rPr>
        <w:t>) المصدر نفسه: 469.</w:t>
      </w:r>
    </w:p>
  </w:footnote>
  <w:footnote w:id="557">
    <w:p w:rsidR="00F93F13" w:rsidRPr="00064619" w:rsidRDefault="00F93F13" w:rsidP="00064619">
      <w:pPr>
        <w:pStyle w:val="FootnoteText"/>
      </w:pPr>
      <w:r w:rsidRPr="00064619">
        <w:rPr>
          <w:rtl/>
        </w:rPr>
        <w:t>(</w:t>
      </w:r>
      <w:r w:rsidRPr="00064619">
        <w:rPr>
          <w:rtl/>
        </w:rPr>
        <w:footnoteRef/>
      </w:r>
      <w:r w:rsidRPr="00064619">
        <w:rPr>
          <w:rtl/>
        </w:rPr>
        <w:t>) «هذه الرواية وإنْ كانت على نقل العيون ومعاني الأخبار مسندة، إلاّ أنه في سندها ضعف؛ لأن سند العيون هو إسناد إسباغ الوضوء، وسند معاني الأخبار فيه عيسى بن عبد الله العلوي، عن أبيه، مع أنه لم يعلم أن اليعقوبي هو داوود بن علي الهاشمي، والمنقولات في المستند مرسلات» (الشيخ جواد التبريزي، إرشاد الطالب 3: 27).</w:t>
      </w:r>
    </w:p>
  </w:footnote>
  <w:footnote w:id="558">
    <w:p w:rsidR="00F93F13" w:rsidRPr="00064619" w:rsidRDefault="00F93F13" w:rsidP="00064619">
      <w:pPr>
        <w:pStyle w:val="FootnoteText"/>
      </w:pPr>
      <w:r w:rsidRPr="00064619">
        <w:rPr>
          <w:rtl/>
        </w:rPr>
        <w:t>(</w:t>
      </w:r>
      <w:r w:rsidRPr="00064619">
        <w:rPr>
          <w:rtl/>
        </w:rPr>
        <w:footnoteRef/>
      </w:r>
      <w:r w:rsidRPr="00064619">
        <w:rPr>
          <w:rtl/>
        </w:rPr>
        <w:t>) راجع: معجم رجال الحديث 1: 93 ـ 94؛ إرشاد الطالب 3: 27.</w:t>
      </w:r>
    </w:p>
  </w:footnote>
  <w:footnote w:id="559">
    <w:p w:rsidR="00F93F13" w:rsidRPr="00064619" w:rsidRDefault="00F93F13" w:rsidP="00064619">
      <w:pPr>
        <w:pStyle w:val="FootnoteText"/>
      </w:pPr>
      <w:r w:rsidRPr="00064619">
        <w:rPr>
          <w:rtl/>
        </w:rPr>
        <w:t>(</w:t>
      </w:r>
      <w:r w:rsidRPr="00064619">
        <w:rPr>
          <w:rtl/>
        </w:rPr>
        <w:footnoteRef/>
      </w:r>
      <w:r w:rsidRPr="00064619">
        <w:rPr>
          <w:rtl/>
        </w:rPr>
        <w:t>) السيد محمد هادي الميلاني، محاضرات في فقه الإمامية: 270، كتاب الخمس.</w:t>
      </w:r>
    </w:p>
  </w:footnote>
  <w:footnote w:id="560">
    <w:p w:rsidR="00F93F13" w:rsidRPr="00064619" w:rsidRDefault="00F93F13" w:rsidP="00064619">
      <w:pPr>
        <w:pStyle w:val="FootnoteText"/>
      </w:pPr>
      <w:r w:rsidRPr="00064619">
        <w:rPr>
          <w:rtl/>
        </w:rPr>
        <w:t>(</w:t>
      </w:r>
      <w:r w:rsidRPr="00064619">
        <w:rPr>
          <w:rtl/>
        </w:rPr>
        <w:footnoteRef/>
      </w:r>
      <w:r w:rsidRPr="00064619">
        <w:rPr>
          <w:rtl/>
        </w:rPr>
        <w:t>) الشيخ مرتضى الحائري اليزدي، ابتغاء الفضيلة 2: 219.</w:t>
      </w:r>
    </w:p>
  </w:footnote>
  <w:footnote w:id="561">
    <w:p w:rsidR="00F93F13" w:rsidRPr="00064619" w:rsidRDefault="00F93F13" w:rsidP="00064619">
      <w:pPr>
        <w:pStyle w:val="FootnoteText"/>
      </w:pPr>
      <w:r w:rsidRPr="00064619">
        <w:rPr>
          <w:rtl/>
        </w:rPr>
        <w:t>(</w:t>
      </w:r>
      <w:r w:rsidRPr="00064619">
        <w:rPr>
          <w:rtl/>
        </w:rPr>
        <w:footnoteRef/>
      </w:r>
      <w:r w:rsidRPr="00064619">
        <w:rPr>
          <w:rtl/>
        </w:rPr>
        <w:t>) بحر العلوم، بلغة الفقيه 3: 228؛ الآخوند الخراساني، حاشية المكاسب: 94؛ النائيني، المكاسب والبيع ( تقرير أبحاثه بقلم: محمد تقي الآملي): 335؛ العراقي، شرح التبصرة 5: 41؛ الميلاني، محاضرات في فقه الإمامية: 270، كتاب الخمس؛ الخوئي، مصباح الفقاهة (تقرير أبحاثه بقلم: محمد علي توحيدي) 5: 44؛ منتظري، دراسات في ولاية الفقيه وفقه الدولة الإسلامية 1: 466؛ التبريزي، إرشاد الطالب 3: 27؛ السيد كاظم الحائري، أساس الحكومة الإسلامية: 143؛ الشيخ ناصر مكارم الشيرازي، أنوار الفقاهة 1: 508 ـ 509، كتاب البيع.</w:t>
      </w:r>
    </w:p>
  </w:footnote>
  <w:footnote w:id="562">
    <w:p w:rsidR="00F93F13" w:rsidRPr="00064619" w:rsidRDefault="00F93F13" w:rsidP="00064619">
      <w:pPr>
        <w:pStyle w:val="FootnoteText"/>
      </w:pPr>
      <w:r w:rsidRPr="00064619">
        <w:rPr>
          <w:rtl/>
        </w:rPr>
        <w:t>(</w:t>
      </w:r>
      <w:r w:rsidRPr="00064619">
        <w:rPr>
          <w:rtl/>
        </w:rPr>
        <w:footnoteRef/>
      </w:r>
      <w:r w:rsidRPr="00064619">
        <w:rPr>
          <w:rtl/>
        </w:rPr>
        <w:t>) أنوار الفقاهة 1: 509، كتاب البيع.</w:t>
      </w:r>
    </w:p>
  </w:footnote>
  <w:footnote w:id="563">
    <w:p w:rsidR="00F93F13" w:rsidRPr="00064619" w:rsidRDefault="00F93F13" w:rsidP="00064619">
      <w:pPr>
        <w:pStyle w:val="FootnoteText"/>
      </w:pPr>
      <w:r w:rsidRPr="00064619">
        <w:rPr>
          <w:rtl/>
        </w:rPr>
        <w:t>(</w:t>
      </w:r>
      <w:r w:rsidRPr="00064619">
        <w:rPr>
          <w:rtl/>
        </w:rPr>
        <w:footnoteRef/>
      </w:r>
      <w:r w:rsidRPr="00064619">
        <w:rPr>
          <w:rtl/>
        </w:rPr>
        <w:t>) المصدر نفسه 1: 508.</w:t>
      </w:r>
    </w:p>
  </w:footnote>
  <w:footnote w:id="564">
    <w:p w:rsidR="00F93F13" w:rsidRPr="00064619" w:rsidRDefault="00F93F13" w:rsidP="00064619">
      <w:pPr>
        <w:pStyle w:val="FootnoteText"/>
      </w:pPr>
      <w:r w:rsidRPr="00064619">
        <w:rPr>
          <w:rtl/>
        </w:rPr>
        <w:t>(</w:t>
      </w:r>
      <w:r w:rsidRPr="00064619">
        <w:rPr>
          <w:rtl/>
        </w:rPr>
        <w:footnoteRef/>
      </w:r>
      <w:r w:rsidRPr="00064619">
        <w:rPr>
          <w:rtl/>
        </w:rPr>
        <w:t>) الكافي 1: 46، كتاب فضل العلم، باب المستأكل بعلمه، الحديث 5: «عن علي بن ابراهيم، عن أبيه، عن النوفلي، عن السكوني، عن أبي عبد الله×». وفي مستدرك وسائل الشيعة، للنوري، ينقل هذه الرواية أيضاً عن دعائم الإسلام ونوادر الراوندي (مستدرك وسائل الشيعة، باب 11 من أبواب صفات القاضي، الحديث 5، وباب 35 من أبواب ما يكتسب به، الحديث 8). وأيضاً: كنز العمال 10: 183، الحديث 28953.</w:t>
      </w:r>
    </w:p>
  </w:footnote>
  <w:footnote w:id="565">
    <w:p w:rsidR="00F93F13" w:rsidRPr="00064619" w:rsidRDefault="00F93F13" w:rsidP="00064619">
      <w:pPr>
        <w:pStyle w:val="FootnoteText"/>
      </w:pPr>
      <w:r w:rsidRPr="00064619">
        <w:rPr>
          <w:rtl/>
        </w:rPr>
        <w:t>(</w:t>
      </w:r>
      <w:r w:rsidRPr="00064619">
        <w:rPr>
          <w:rtl/>
        </w:rPr>
        <w:footnoteRef/>
      </w:r>
      <w:r w:rsidRPr="00064619">
        <w:rPr>
          <w:rtl/>
        </w:rPr>
        <w:t>) الحديث الآخر هو: «الفقهاء حصون الإسلام».</w:t>
      </w:r>
    </w:p>
  </w:footnote>
  <w:footnote w:id="566">
    <w:p w:rsidR="00F93F13" w:rsidRPr="00064619" w:rsidRDefault="00F93F13" w:rsidP="00064619">
      <w:pPr>
        <w:pStyle w:val="FootnoteText"/>
      </w:pPr>
      <w:r w:rsidRPr="00064619">
        <w:rPr>
          <w:rtl/>
        </w:rPr>
        <w:t>(</w:t>
      </w:r>
      <w:r w:rsidRPr="00064619">
        <w:rPr>
          <w:rtl/>
        </w:rPr>
        <w:footnoteRef/>
      </w:r>
      <w:r w:rsidRPr="00064619">
        <w:rPr>
          <w:rtl/>
        </w:rPr>
        <w:t>) إن كلمة السلاطين في هذا الحديث مطلقة، وتقييدها يحتاج إلى دليل. مع أن الغالب في استعمال كلمة السلاطين ينصرف إلى سلاطين الجور، يعني أنه يجب الحذر من الفقهاء التابعين للسلطة الجائرة.</w:t>
      </w:r>
    </w:p>
  </w:footnote>
  <w:footnote w:id="567">
    <w:p w:rsidR="00F93F13" w:rsidRPr="00064619" w:rsidRDefault="00F93F13" w:rsidP="00064619">
      <w:pPr>
        <w:pStyle w:val="FootnoteText"/>
      </w:pPr>
      <w:r w:rsidRPr="00064619">
        <w:rPr>
          <w:rtl/>
        </w:rPr>
        <w:t>(</w:t>
      </w:r>
      <w:r w:rsidRPr="00064619">
        <w:rPr>
          <w:rtl/>
        </w:rPr>
        <w:footnoteRef/>
      </w:r>
      <w:r w:rsidRPr="00064619">
        <w:rPr>
          <w:rtl/>
        </w:rPr>
        <w:t>) عوائد الأيام: 531.</w:t>
      </w:r>
    </w:p>
  </w:footnote>
  <w:footnote w:id="568">
    <w:p w:rsidR="00F93F13" w:rsidRPr="00064619" w:rsidRDefault="00F93F13" w:rsidP="00064619">
      <w:pPr>
        <w:pStyle w:val="FootnoteText"/>
      </w:pPr>
      <w:r w:rsidRPr="00064619">
        <w:rPr>
          <w:rtl/>
        </w:rPr>
        <w:t>(</w:t>
      </w:r>
      <w:r w:rsidRPr="00064619">
        <w:rPr>
          <w:rtl/>
        </w:rPr>
        <w:footnoteRef/>
      </w:r>
      <w:r w:rsidRPr="00064619">
        <w:rPr>
          <w:rtl/>
        </w:rPr>
        <w:t xml:space="preserve">) المراغي، العناوين 2: 566؛ النجفي، رسالة في ولاية الحاكم الفقيه: 244؛ المامقاني، هداية الأنام في أموال الإمام: 142؛ الگلپايگاني، الهداية إلى من له الولاية 2: 35؛ </w:t>
      </w:r>
      <w:r>
        <w:rPr>
          <w:rFonts w:hint="cs"/>
          <w:rtl/>
        </w:rPr>
        <w:t xml:space="preserve">السيد </w:t>
      </w:r>
      <w:r w:rsidRPr="00064619">
        <w:rPr>
          <w:rtl/>
        </w:rPr>
        <w:t>الخميني، كتاب البيع: 472؛ الحكومة الإسلامية: 170 ـ 176.</w:t>
      </w:r>
    </w:p>
  </w:footnote>
  <w:footnote w:id="569">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473.</w:t>
      </w:r>
    </w:p>
  </w:footnote>
  <w:footnote w:id="570">
    <w:p w:rsidR="00F93F13" w:rsidRPr="00064619" w:rsidRDefault="00F93F13" w:rsidP="00064619">
      <w:pPr>
        <w:pStyle w:val="FootnoteText"/>
        <w:rPr>
          <w:rtl/>
        </w:rPr>
      </w:pPr>
      <w:r w:rsidRPr="00064619">
        <w:rPr>
          <w:rtl/>
        </w:rPr>
        <w:t>(</w:t>
      </w:r>
      <w:r w:rsidRPr="00064619">
        <w:rPr>
          <w:rtl/>
        </w:rPr>
        <w:footnoteRef/>
      </w:r>
      <w:r w:rsidRPr="00064619">
        <w:rPr>
          <w:rtl/>
        </w:rPr>
        <w:t xml:space="preserve">) حول الحسين بن يزيد النوفلي يمكن مراجعة: معجم رجال الحديث 6: 113 ـ 115. </w:t>
      </w:r>
    </w:p>
    <w:p w:rsidR="00F93F13" w:rsidRPr="00064619" w:rsidRDefault="00F93F13" w:rsidP="00064619">
      <w:pPr>
        <w:pStyle w:val="FootnoteText"/>
        <w:rPr>
          <w:rtl/>
        </w:rPr>
      </w:pPr>
      <w:r w:rsidRPr="00064619">
        <w:rPr>
          <w:rtl/>
        </w:rPr>
        <w:t xml:space="preserve">وحول اسماعيل بن أبي زياد السكوني راجع: المصدر نفسه 3: 105 ـ 108. </w:t>
      </w:r>
    </w:p>
    <w:p w:rsidR="00F93F13" w:rsidRPr="00064619" w:rsidRDefault="00F93F13" w:rsidP="00064619">
      <w:pPr>
        <w:pStyle w:val="FootnoteText"/>
        <w:rPr>
          <w:rtl/>
        </w:rPr>
      </w:pPr>
      <w:r w:rsidRPr="00064619">
        <w:rPr>
          <w:rtl/>
        </w:rPr>
        <w:t xml:space="preserve">ومحل الإشكال في النوفلي هو عدم التوثيق والرمي بالغلو. </w:t>
      </w:r>
    </w:p>
    <w:p w:rsidR="00F93F13" w:rsidRPr="00064619" w:rsidRDefault="00F93F13" w:rsidP="00064619">
      <w:pPr>
        <w:pStyle w:val="FootnoteText"/>
      </w:pPr>
      <w:r w:rsidRPr="00064619">
        <w:rPr>
          <w:rtl/>
        </w:rPr>
        <w:t>أمّا محل الإشكال في السكوني فهو كونه من العامة، وضَعَّفه ابن الغضائري.</w:t>
      </w:r>
    </w:p>
  </w:footnote>
  <w:footnote w:id="571">
    <w:p w:rsidR="00F93F13" w:rsidRPr="00064619" w:rsidRDefault="00F93F13" w:rsidP="00064619">
      <w:pPr>
        <w:pStyle w:val="FootnoteText"/>
      </w:pPr>
      <w:r w:rsidRPr="00064619">
        <w:rPr>
          <w:rtl/>
        </w:rPr>
        <w:t>(</w:t>
      </w:r>
      <w:r w:rsidRPr="00064619">
        <w:rPr>
          <w:rtl/>
        </w:rPr>
        <w:footnoteRef/>
      </w:r>
      <w:r w:rsidRPr="00064619">
        <w:rPr>
          <w:rtl/>
        </w:rPr>
        <w:t>) أنوار الفقاهة 1: 505، كتاب البيع: «وفي سند هذا الحديث النوفلي والسكوني، وفيهما كلام معروف، فالركون إليه لا يخلو عن إشكال، وإنْ قبله جماعة».</w:t>
      </w:r>
    </w:p>
  </w:footnote>
  <w:footnote w:id="572">
    <w:p w:rsidR="00F93F13" w:rsidRPr="00064619" w:rsidRDefault="00F93F13" w:rsidP="00064619">
      <w:pPr>
        <w:pStyle w:val="FootnoteText"/>
        <w:rPr>
          <w:rtl/>
        </w:rPr>
      </w:pPr>
      <w:r w:rsidRPr="00064619">
        <w:rPr>
          <w:rtl/>
        </w:rPr>
        <w:t>(</w:t>
      </w:r>
      <w:r w:rsidRPr="00064619">
        <w:rPr>
          <w:rtl/>
        </w:rPr>
        <w:footnoteRef/>
      </w:r>
      <w:r w:rsidRPr="00064619">
        <w:rPr>
          <w:rtl/>
        </w:rPr>
        <w:t>) النوفلي ثقة على الأظهر؛ لأنه يقع في طريق جعفر بن محمد بن قولويه في «كامل الزيارات» (معجم رجال الحديث 3: 107).</w:t>
      </w:r>
    </w:p>
    <w:p w:rsidR="00F93F13" w:rsidRPr="00064619" w:rsidRDefault="00F93F13" w:rsidP="00887CCF">
      <w:pPr>
        <w:pStyle w:val="FootnoteText"/>
        <w:ind w:firstLine="0"/>
        <w:rPr>
          <w:rtl/>
        </w:rPr>
      </w:pPr>
      <w:r w:rsidRPr="00064619">
        <w:rPr>
          <w:rtl/>
        </w:rPr>
        <w:t>والسكوني ثقة قطعاً. وقد عمل الأصحاب برواياته. وتضعيف ابن الغضائري له لا يوجب توقّفاً في روايته.</w:t>
      </w:r>
    </w:p>
    <w:p w:rsidR="00F93F13" w:rsidRPr="00064619" w:rsidRDefault="00F93F13" w:rsidP="00887CCF">
      <w:pPr>
        <w:pStyle w:val="FootnoteText"/>
        <w:ind w:firstLine="0"/>
      </w:pPr>
      <w:r w:rsidRPr="00064619">
        <w:rPr>
          <w:rtl/>
        </w:rPr>
        <w:t>«وسند الكليني موثوق، وقد اعتمد فقهاؤنا على هذا السند في الأبواب المختلفة من الفقه» (الشيخ منتظري، دراسات في ولاية الفقيه وفقه الدولة الإسلامية 1: 475).</w:t>
      </w:r>
    </w:p>
  </w:footnote>
  <w:footnote w:id="573">
    <w:p w:rsidR="00F93F13" w:rsidRPr="00064619" w:rsidRDefault="00F93F13" w:rsidP="00064619">
      <w:pPr>
        <w:pStyle w:val="FootnoteText"/>
      </w:pPr>
      <w:r w:rsidRPr="00064619">
        <w:rPr>
          <w:rtl/>
        </w:rPr>
        <w:t>(</w:t>
      </w:r>
      <w:r w:rsidRPr="00064619">
        <w:rPr>
          <w:rtl/>
        </w:rPr>
        <w:footnoteRef/>
      </w:r>
      <w:r w:rsidRPr="00064619">
        <w:rPr>
          <w:rtl/>
        </w:rPr>
        <w:t>) راجع الفصل الخامس من هذا الكتاب، «الولاية في القرآن».</w:t>
      </w:r>
    </w:p>
  </w:footnote>
  <w:footnote w:id="574">
    <w:p w:rsidR="00F93F13" w:rsidRPr="00064619" w:rsidRDefault="00F93F13" w:rsidP="00A06401">
      <w:pPr>
        <w:pStyle w:val="FootnoteText"/>
        <w:rPr>
          <w:rtl/>
        </w:rPr>
      </w:pPr>
      <w:r w:rsidRPr="00064619">
        <w:rPr>
          <w:rtl/>
        </w:rPr>
        <w:t>(</w:t>
      </w:r>
      <w:r w:rsidRPr="00064619">
        <w:rPr>
          <w:rtl/>
        </w:rPr>
        <w:footnoteRef/>
      </w:r>
      <w:r w:rsidRPr="00064619">
        <w:rPr>
          <w:rtl/>
        </w:rPr>
        <w:t xml:space="preserve">) الشيخ الطوسي، الرسائل العشر: 112، «رسالة في الفرق بين النبيّ والإمام»: «فلا يجب في كلّ نبي أن يكون القيّم بتدبير الخلق ومحاربة الأعداء والدفاع عن أمر الله بالدفاع عنه من المؤمنين، لأنه </w:t>
      </w:r>
      <w:r>
        <w:rPr>
          <w:rFonts w:hint="cs"/>
          <w:rtl/>
        </w:rPr>
        <w:t>لا يمتنع انْ</w:t>
      </w:r>
      <w:r w:rsidRPr="00064619">
        <w:rPr>
          <w:rtl/>
        </w:rPr>
        <w:t xml:space="preserve"> تقتضي المصلحة بعثة نبيّ وتكليفه إبلاغ الخلق ما فيه مصلحتهم ولطفهم في الواجبات العقلية، وإنْ لم يكلّف تأديب أحدٍ ولا محاربة أحد ولا تولية غيره. ومن أوجب هذا في النبي من حيث كان نبياً فقد أبعد، وقال ما لا حجة له عليه». ثم ذكر الشيخ الطوسي أمثلة قرآنية حول طالوت، وهارون، وأنبياء بني إسرائيل، وإبراهيم× قبل إمامته. </w:t>
      </w:r>
    </w:p>
    <w:p w:rsidR="00F93F13" w:rsidRPr="00064619" w:rsidRDefault="00F93F13" w:rsidP="00887CCF">
      <w:pPr>
        <w:pStyle w:val="FootnoteText"/>
        <w:ind w:firstLine="0"/>
        <w:rPr>
          <w:rtl/>
        </w:rPr>
      </w:pPr>
      <w:r w:rsidRPr="00064619">
        <w:rPr>
          <w:rtl/>
        </w:rPr>
        <w:t xml:space="preserve">وقد نفى الشيخ الطبرسي التلازم بين الرسالة والزعامة السياسيّة في تفسيره «مجمع البيان»، تفسير الآية 124 من سورة البقرة. </w:t>
      </w:r>
    </w:p>
    <w:p w:rsidR="00F93F13" w:rsidRPr="00064619" w:rsidRDefault="00F93F13" w:rsidP="00887CCF">
      <w:pPr>
        <w:pStyle w:val="FootnoteText"/>
        <w:ind w:firstLine="0"/>
        <w:rPr>
          <w:rtl/>
        </w:rPr>
      </w:pPr>
      <w:r w:rsidRPr="00064619">
        <w:rPr>
          <w:rtl/>
        </w:rPr>
        <w:t xml:space="preserve">وراجع أيضاً: النائيني، «المكاسب» و«البيع» (تقرير أبحاثه بقلم: الشيخ محمد تقي الآملي) 2: 335. </w:t>
      </w:r>
    </w:p>
    <w:p w:rsidR="00F93F13" w:rsidRPr="00064619" w:rsidRDefault="00F93F13" w:rsidP="00887CCF">
      <w:pPr>
        <w:pStyle w:val="FootnoteText"/>
        <w:ind w:firstLine="0"/>
      </w:pPr>
      <w:r w:rsidRPr="00064619">
        <w:rPr>
          <w:rtl/>
        </w:rPr>
        <w:t>وكذلك: التبريزي، إرشاد الطالب 3: 29.</w:t>
      </w:r>
    </w:p>
  </w:footnote>
  <w:footnote w:id="575">
    <w:p w:rsidR="00F93F13" w:rsidRPr="00064619" w:rsidRDefault="00F93F13" w:rsidP="00064619">
      <w:pPr>
        <w:pStyle w:val="FootnoteText"/>
      </w:pPr>
      <w:r w:rsidRPr="00064619">
        <w:rPr>
          <w:rtl/>
        </w:rPr>
        <w:t>(</w:t>
      </w:r>
      <w:r w:rsidRPr="00064619">
        <w:rPr>
          <w:rtl/>
        </w:rPr>
        <w:footnoteRef/>
      </w:r>
      <w:r w:rsidRPr="00064619">
        <w:rPr>
          <w:rtl/>
        </w:rPr>
        <w:t>) البقرة: 247.</w:t>
      </w:r>
    </w:p>
  </w:footnote>
  <w:footnote w:id="576">
    <w:p w:rsidR="00F93F13" w:rsidRPr="00064619" w:rsidRDefault="00F93F13" w:rsidP="00064619">
      <w:pPr>
        <w:pStyle w:val="FootnoteText"/>
      </w:pPr>
      <w:r w:rsidRPr="00064619">
        <w:rPr>
          <w:rtl/>
        </w:rPr>
        <w:t>(</w:t>
      </w:r>
      <w:r w:rsidRPr="00064619">
        <w:rPr>
          <w:rtl/>
        </w:rPr>
        <w:footnoteRef/>
      </w:r>
      <w:r w:rsidRPr="00064619">
        <w:rPr>
          <w:rtl/>
        </w:rPr>
        <w:t>) بلغة الفقيه 2: 227؛ النائيني، المكاسب والبيع (تقرير أبحاثه بقلم: الآملي) 2: 335؛ الميلاني، محاضرات في فقه الإمامية: 274، كتاب الخمس؛ السيد عبد الله الشيرازي، كتاب القضاء: 32؛ الحائري، ابتغاء الفضيلة 2: 228؛ منتظري، دراسات في ولاية الفقيه وفقه الدولة الإسلامية 1: 477؛ التبريزي، إرشاد الطالب 3: 29؛ الحائري، أساس الحكومة الإسلامية: 145؛ أنوار الفقاهة 1: 505، كتاب البيع.</w:t>
      </w:r>
    </w:p>
  </w:footnote>
  <w:footnote w:id="577">
    <w:p w:rsidR="00F93F13" w:rsidRPr="00064619" w:rsidRDefault="00F93F13" w:rsidP="00064619">
      <w:pPr>
        <w:pStyle w:val="FootnoteText"/>
      </w:pPr>
      <w:r w:rsidRPr="00064619">
        <w:rPr>
          <w:rtl/>
        </w:rPr>
        <w:t>(</w:t>
      </w:r>
      <w:r w:rsidRPr="00064619">
        <w:rPr>
          <w:rtl/>
        </w:rPr>
        <w:footnoteRef/>
      </w:r>
      <w:r w:rsidRPr="00064619">
        <w:rPr>
          <w:rtl/>
        </w:rPr>
        <w:t>) التبريزي، إرشاد الطالب 3: 30.</w:t>
      </w:r>
    </w:p>
  </w:footnote>
  <w:footnote w:id="578">
    <w:p w:rsidR="00F93F13" w:rsidRPr="00064619" w:rsidRDefault="00F93F13" w:rsidP="00064619">
      <w:pPr>
        <w:pStyle w:val="FootnoteText"/>
      </w:pPr>
      <w:r w:rsidRPr="00064619">
        <w:rPr>
          <w:rtl/>
        </w:rPr>
        <w:t>(</w:t>
      </w:r>
      <w:r w:rsidRPr="00064619">
        <w:rPr>
          <w:rtl/>
        </w:rPr>
        <w:footnoteRef/>
      </w:r>
      <w:r w:rsidRPr="00064619">
        <w:rPr>
          <w:rtl/>
        </w:rPr>
        <w:t>) منتظري، دراسات في ولاية الفقيه وفقه الدولة الإسلامية 1: 477.</w:t>
      </w:r>
    </w:p>
  </w:footnote>
  <w:footnote w:id="579">
    <w:p w:rsidR="00F93F13" w:rsidRPr="00064619" w:rsidRDefault="00F93F13" w:rsidP="00064619">
      <w:pPr>
        <w:pStyle w:val="FootnoteText"/>
      </w:pPr>
      <w:r w:rsidRPr="00064619">
        <w:rPr>
          <w:rtl/>
        </w:rPr>
        <w:t>(</w:t>
      </w:r>
      <w:r w:rsidRPr="00064619">
        <w:rPr>
          <w:rtl/>
        </w:rPr>
        <w:footnoteRef/>
      </w:r>
      <w:r w:rsidRPr="00064619">
        <w:rPr>
          <w:rtl/>
        </w:rPr>
        <w:t>) أصول الكافي 1: 34، كتاب فضل العلم، باب ثواب العالم والمتعلم، الحديث 1.</w:t>
      </w:r>
    </w:p>
  </w:footnote>
  <w:footnote w:id="580">
    <w:p w:rsidR="00F93F13" w:rsidRPr="00064619" w:rsidRDefault="00F93F13" w:rsidP="00064619">
      <w:pPr>
        <w:pStyle w:val="FootnoteText"/>
      </w:pPr>
      <w:r w:rsidRPr="00064619">
        <w:rPr>
          <w:rtl/>
        </w:rPr>
        <w:t>(</w:t>
      </w:r>
      <w:r w:rsidRPr="00064619">
        <w:rPr>
          <w:rtl/>
        </w:rPr>
        <w:footnoteRef/>
      </w:r>
      <w:r w:rsidRPr="00064619">
        <w:rPr>
          <w:rtl/>
        </w:rPr>
        <w:t>) الصدوق الأمالي: 116، المجلس الرابع عشر، الحديث 9: الحسين بن إبراهيم، عن علي بن إبراهيم، عن أبيه إبراهيم بن هاشم، عن عبد الله بن ميمون، عن الصادق×.</w:t>
      </w:r>
    </w:p>
  </w:footnote>
  <w:footnote w:id="581">
    <w:p w:rsidR="00F93F13" w:rsidRPr="00064619" w:rsidRDefault="00F93F13" w:rsidP="00064619">
      <w:pPr>
        <w:pStyle w:val="FootnoteText"/>
      </w:pPr>
      <w:r w:rsidRPr="00064619">
        <w:rPr>
          <w:rtl/>
        </w:rPr>
        <w:t>(</w:t>
      </w:r>
      <w:r w:rsidRPr="00064619">
        <w:rPr>
          <w:rtl/>
        </w:rPr>
        <w:footnoteRef/>
      </w:r>
      <w:r w:rsidRPr="00064619">
        <w:rPr>
          <w:rtl/>
        </w:rPr>
        <w:t>) الصدوق، ثواب الأعمال وعقاب الأعمال: 131: علي بن الحسين بن موسى بن بابويه، عن علي بن إبراهيم، عن أبيه، عن عبد الله بن ميمون القدّاح، عن الصادق×.</w:t>
      </w:r>
    </w:p>
  </w:footnote>
  <w:footnote w:id="582">
    <w:p w:rsidR="00F93F13" w:rsidRPr="00064619" w:rsidRDefault="00F93F13" w:rsidP="00A06401">
      <w:pPr>
        <w:pStyle w:val="FootnoteText"/>
      </w:pPr>
      <w:r w:rsidRPr="00064619">
        <w:rPr>
          <w:rtl/>
        </w:rPr>
        <w:t>(</w:t>
      </w:r>
      <w:r w:rsidRPr="00064619">
        <w:rPr>
          <w:rtl/>
        </w:rPr>
        <w:footnoteRef/>
      </w:r>
      <w:r w:rsidRPr="00064619">
        <w:rPr>
          <w:rtl/>
        </w:rPr>
        <w:t>) أبو جعفر محمد بن الحسن الفروّخ الصفار، بصائر الدرجات في فضائل آل محمد</w:t>
      </w:r>
      <w:r>
        <w:rPr>
          <w:rFonts w:hint="cs"/>
          <w:rtl/>
        </w:rPr>
        <w:t>^</w:t>
      </w:r>
      <w:r w:rsidRPr="00064619">
        <w:rPr>
          <w:rtl/>
        </w:rPr>
        <w:t xml:space="preserve"> 1: 23، الباب الثاني، الحديث 2: أحمد بن محمد، عن الحسين بن سعيد، عن حماد بن عيسى، عن عبد الله بن ميمون القدّاح، عن أبي عبد الله×.</w:t>
      </w:r>
    </w:p>
  </w:footnote>
  <w:footnote w:id="583">
    <w:p w:rsidR="00F93F13" w:rsidRPr="00064619" w:rsidRDefault="00F93F13" w:rsidP="00064619">
      <w:pPr>
        <w:pStyle w:val="FootnoteText"/>
      </w:pPr>
      <w:r w:rsidRPr="00064619">
        <w:rPr>
          <w:rtl/>
        </w:rPr>
        <w:t>(</w:t>
      </w:r>
      <w:r w:rsidRPr="00064619">
        <w:rPr>
          <w:rtl/>
        </w:rPr>
        <w:footnoteRef/>
      </w:r>
      <w:r w:rsidRPr="00064619">
        <w:rPr>
          <w:rtl/>
        </w:rPr>
        <w:t>) سنن ابن ماجة 1: 81، المقدمة، باب 17، الحديث 223؛ سنن ابن داوود 3: 317 (مع اختلاف يسير لا يضرّ بالمعنى): عن أبي الدرداء، عن رسول الله</w:t>
      </w:r>
      <w:r w:rsidRPr="00064619">
        <w:rPr>
          <w:rtl/>
        </w:rPr>
        <w:sym w:font="Roumouz" w:char="F02D"/>
      </w:r>
      <w:r w:rsidRPr="00064619">
        <w:rPr>
          <w:rtl/>
        </w:rPr>
        <w:t>.</w:t>
      </w:r>
    </w:p>
  </w:footnote>
  <w:footnote w:id="584">
    <w:p w:rsidR="00F93F13" w:rsidRPr="00064619" w:rsidRDefault="00F93F13" w:rsidP="00064619">
      <w:pPr>
        <w:pStyle w:val="FootnoteText"/>
      </w:pPr>
      <w:r w:rsidRPr="00064619">
        <w:rPr>
          <w:rtl/>
        </w:rPr>
        <w:t>(</w:t>
      </w:r>
      <w:r w:rsidRPr="00064619">
        <w:rPr>
          <w:rtl/>
        </w:rPr>
        <w:footnoteRef/>
      </w:r>
      <w:r w:rsidRPr="00064619">
        <w:rPr>
          <w:rtl/>
        </w:rPr>
        <w:t>) أصول الكافي 1: 32، كتاب فضل العلم، باب صفة العلم وفضله وفضل العلماء، الحديث 2.</w:t>
      </w:r>
    </w:p>
  </w:footnote>
  <w:footnote w:id="585">
    <w:p w:rsidR="00F93F13" w:rsidRPr="00064619" w:rsidRDefault="00F93F13" w:rsidP="00064619">
      <w:pPr>
        <w:pStyle w:val="FootnoteText"/>
        <w:rPr>
          <w:rtl/>
        </w:rPr>
      </w:pPr>
      <w:r w:rsidRPr="00064619">
        <w:rPr>
          <w:rtl/>
        </w:rPr>
        <w:t>(</w:t>
      </w:r>
      <w:r w:rsidRPr="00064619">
        <w:rPr>
          <w:rtl/>
        </w:rPr>
        <w:footnoteRef/>
      </w:r>
      <w:r w:rsidRPr="00064619">
        <w:rPr>
          <w:rtl/>
        </w:rPr>
        <w:t>) الصفّار، بصائر الدرجات 1: 30 ـ 31، الباب السادس، نادر من الباب، وهو منه أن العلماء هم آل محمد</w:t>
      </w:r>
      <w:r w:rsidRPr="00064619">
        <w:rPr>
          <w:rtl/>
        </w:rPr>
        <w:sym w:font="Roumouz" w:char="F02D"/>
      </w:r>
      <w:r w:rsidRPr="00064619">
        <w:rPr>
          <w:rtl/>
        </w:rPr>
        <w:t xml:space="preserve">، الحديثان 1 و3. </w:t>
      </w:r>
    </w:p>
    <w:p w:rsidR="00F93F13" w:rsidRPr="00064619" w:rsidRDefault="00F93F13" w:rsidP="00064619">
      <w:pPr>
        <w:pStyle w:val="FootnoteText"/>
        <w:rPr>
          <w:rtl/>
        </w:rPr>
      </w:pPr>
      <w:r w:rsidRPr="00064619">
        <w:rPr>
          <w:rtl/>
        </w:rPr>
        <w:t xml:space="preserve">وسند الحديث الأول: حدثني أحمد بن محمّد بن خالد، عن أبي البختري وسندي بن محمد، عن أبي البختري، عن أبي عبد الله×. </w:t>
      </w:r>
    </w:p>
    <w:p w:rsidR="00F93F13" w:rsidRPr="00064619" w:rsidRDefault="00F93F13" w:rsidP="00064619">
      <w:pPr>
        <w:pStyle w:val="FootnoteText"/>
        <w:rPr>
          <w:rtl/>
        </w:rPr>
      </w:pPr>
      <w:r w:rsidRPr="00064619">
        <w:rPr>
          <w:rtl/>
        </w:rPr>
        <w:t xml:space="preserve">وأما سند الحديث الثاني فهو: حدثنا أحمد بن محمّد، عن الحسن بن علي بن فضال يرفعه إلى أبي عبد الله. </w:t>
      </w:r>
    </w:p>
    <w:p w:rsidR="00F93F13" w:rsidRPr="00064619" w:rsidRDefault="00F93F13" w:rsidP="00064619">
      <w:pPr>
        <w:pStyle w:val="FootnoteText"/>
      </w:pPr>
      <w:r w:rsidRPr="00064619">
        <w:rPr>
          <w:rtl/>
        </w:rPr>
        <w:t>المفيد، الاختصاص: 4: وعنه، عن محمد بن الحسن بن أحمد، عن محمد بن الحسن الصفّار، عن السندي بن محمّد، عن أبي البختري، عن أبي عبد الله×.</w:t>
      </w:r>
    </w:p>
  </w:footnote>
  <w:footnote w:id="586">
    <w:p w:rsidR="00F93F13" w:rsidRPr="00064619" w:rsidRDefault="00F93F13" w:rsidP="00064619">
      <w:pPr>
        <w:pStyle w:val="FootnoteText"/>
      </w:pPr>
      <w:r w:rsidRPr="00064619">
        <w:rPr>
          <w:rtl/>
        </w:rPr>
        <w:t>(</w:t>
      </w:r>
      <w:r w:rsidRPr="00064619">
        <w:rPr>
          <w:rtl/>
        </w:rPr>
        <w:footnoteRef/>
      </w:r>
      <w:r w:rsidRPr="00064619">
        <w:rPr>
          <w:rtl/>
        </w:rPr>
        <w:t>) نهج البلاغة: 484، الحكمة 96.</w:t>
      </w:r>
    </w:p>
  </w:footnote>
  <w:footnote w:id="587">
    <w:p w:rsidR="00F93F13" w:rsidRPr="00064619" w:rsidRDefault="00F93F13" w:rsidP="00064619">
      <w:pPr>
        <w:pStyle w:val="FootnoteText"/>
      </w:pPr>
      <w:r w:rsidRPr="00064619">
        <w:rPr>
          <w:rtl/>
        </w:rPr>
        <w:t>(</w:t>
      </w:r>
      <w:r w:rsidRPr="00064619">
        <w:rPr>
          <w:rtl/>
        </w:rPr>
        <w:footnoteRef/>
      </w:r>
      <w:r w:rsidRPr="00064619">
        <w:rPr>
          <w:rtl/>
        </w:rPr>
        <w:t>) عبد الواحد بن محمد التميمي الآمدي، غرر الحكم ودُرَرُ الكلم 2: 409، 505، الرقم 3056، 3456.</w:t>
      </w:r>
    </w:p>
  </w:footnote>
  <w:footnote w:id="588">
    <w:p w:rsidR="00F93F13" w:rsidRPr="00064619" w:rsidRDefault="00F93F13" w:rsidP="00064619">
      <w:pPr>
        <w:pStyle w:val="FootnoteText"/>
      </w:pPr>
      <w:r w:rsidRPr="00064619">
        <w:rPr>
          <w:rtl/>
        </w:rPr>
        <w:t>(</w:t>
      </w:r>
      <w:r w:rsidRPr="00064619">
        <w:rPr>
          <w:rtl/>
        </w:rPr>
        <w:footnoteRef/>
      </w:r>
      <w:r w:rsidRPr="00064619">
        <w:rPr>
          <w:rtl/>
        </w:rPr>
        <w:t>) مجمع البيان للطبرسي 1ـ2: 458، تفسير الآية 68 من آل عمران: ﴿إِنَّ أَوْلَى النَّاسِ بِإِبْرَاهِيمَ لَلَّذِينَ اتَّبَعُوهُ وَهَذَا النَّبِيُّ وَالَّذِينَ آمَنُوا وَاللهُ وَلِيُّ الْمُؤْمِنِينَ﴾.</w:t>
      </w:r>
    </w:p>
  </w:footnote>
  <w:footnote w:id="589">
    <w:p w:rsidR="00F93F13" w:rsidRPr="00064619" w:rsidRDefault="00F93F13" w:rsidP="00064619">
      <w:pPr>
        <w:pStyle w:val="FootnoteText"/>
      </w:pPr>
      <w:r w:rsidRPr="00064619">
        <w:rPr>
          <w:rtl/>
        </w:rPr>
        <w:t>(</w:t>
      </w:r>
      <w:r w:rsidRPr="00064619">
        <w:rPr>
          <w:rtl/>
        </w:rPr>
        <w:footnoteRef/>
      </w:r>
      <w:r w:rsidRPr="00064619">
        <w:rPr>
          <w:rtl/>
        </w:rPr>
        <w:t>) أبو الحسين ورّام بن أبي فراس المالكي الأشتري، تنبيه الخواطر ونزهة النواظر: 17.</w:t>
      </w:r>
    </w:p>
  </w:footnote>
  <w:footnote w:id="590">
    <w:p w:rsidR="00F93F13" w:rsidRPr="00064619" w:rsidRDefault="00F93F13" w:rsidP="00064619">
      <w:pPr>
        <w:pStyle w:val="FootnoteText"/>
      </w:pPr>
      <w:r w:rsidRPr="00064619">
        <w:rPr>
          <w:rtl/>
        </w:rPr>
        <w:t>(</w:t>
      </w:r>
      <w:r w:rsidRPr="00064619">
        <w:rPr>
          <w:rtl/>
        </w:rPr>
        <w:footnoteRef/>
      </w:r>
      <w:r w:rsidRPr="00064619">
        <w:rPr>
          <w:rtl/>
        </w:rPr>
        <w:t>) الزمخشري، ربيع الأبرار، باب التفاضل والتفاوت.</w:t>
      </w:r>
    </w:p>
  </w:footnote>
  <w:footnote w:id="591">
    <w:p w:rsidR="00F93F13" w:rsidRPr="00064619" w:rsidRDefault="00F93F13" w:rsidP="00064619">
      <w:pPr>
        <w:pStyle w:val="FootnoteText"/>
      </w:pPr>
      <w:r w:rsidRPr="00064619">
        <w:rPr>
          <w:rtl/>
        </w:rPr>
        <w:t>(</w:t>
      </w:r>
      <w:r w:rsidRPr="00064619">
        <w:rPr>
          <w:rtl/>
        </w:rPr>
        <w:footnoteRef/>
      </w:r>
      <w:r w:rsidRPr="00064619">
        <w:rPr>
          <w:rtl/>
        </w:rPr>
        <w:t>) فقه الرضا: 338، آخر الديات، باب حق النفوس.</w:t>
      </w:r>
    </w:p>
  </w:footnote>
  <w:footnote w:id="592">
    <w:p w:rsidR="00F93F13" w:rsidRPr="00064619" w:rsidRDefault="00F93F13" w:rsidP="00064619">
      <w:pPr>
        <w:pStyle w:val="FootnoteText"/>
      </w:pPr>
      <w:r w:rsidRPr="00064619">
        <w:rPr>
          <w:rtl/>
        </w:rPr>
        <w:t>(</w:t>
      </w:r>
      <w:r w:rsidRPr="00064619">
        <w:rPr>
          <w:rtl/>
        </w:rPr>
        <w:footnoteRef/>
      </w:r>
      <w:r w:rsidRPr="00064619">
        <w:rPr>
          <w:rtl/>
        </w:rPr>
        <w:t>) ابن أبي جمهور الأحسائي، عوالي اللآلي؛ وبحار الأنوار 2: 22، كتاب العلم، باب 8، الحديث 67.</w:t>
      </w:r>
    </w:p>
  </w:footnote>
  <w:footnote w:id="593">
    <w:p w:rsidR="00F93F13" w:rsidRPr="00064619" w:rsidRDefault="00F93F13" w:rsidP="00064619">
      <w:pPr>
        <w:pStyle w:val="FootnoteText"/>
      </w:pPr>
      <w:r w:rsidRPr="00064619">
        <w:rPr>
          <w:rtl/>
        </w:rPr>
        <w:t>(</w:t>
      </w:r>
      <w:r w:rsidRPr="00064619">
        <w:rPr>
          <w:rtl/>
        </w:rPr>
        <w:footnoteRef/>
      </w:r>
      <w:r w:rsidRPr="00064619">
        <w:rPr>
          <w:rtl/>
        </w:rPr>
        <w:t>) تاج الدين محمد بن محمد الشعيري، جامع الأخبار: 38، الفصل العشرون في العلم.</w:t>
      </w:r>
    </w:p>
  </w:footnote>
  <w:footnote w:id="594">
    <w:p w:rsidR="00F93F13" w:rsidRPr="00064619" w:rsidRDefault="00F93F13" w:rsidP="002B53CE">
      <w:pPr>
        <w:pStyle w:val="FootnoteText"/>
      </w:pPr>
      <w:r w:rsidRPr="00064619">
        <w:rPr>
          <w:rtl/>
        </w:rPr>
        <w:t>(</w:t>
      </w:r>
      <w:r w:rsidRPr="00064619">
        <w:rPr>
          <w:rtl/>
        </w:rPr>
        <w:footnoteRef/>
      </w:r>
      <w:r w:rsidRPr="00064619">
        <w:rPr>
          <w:rtl/>
        </w:rPr>
        <w:t xml:space="preserve">) عوائد الأيام: 531، 532، العائدة 54، حديث 1، 6، 7؛ المراغي، العناوين 2: 564؛ رسالة هداية الأنام في أموال الإمام×؛ الشيخ محمد حسين آل كاشف الغطاء، الفردوس الأعلى: 54؛ الگلپايگاني، الهداية إلى من له الولاية (تقرير أبحاثه بقلم: الميرزا أحمد صابري): 32؛ </w:t>
      </w:r>
      <w:r>
        <w:rPr>
          <w:rFonts w:hint="cs"/>
          <w:rtl/>
        </w:rPr>
        <w:t xml:space="preserve">السيد </w:t>
      </w:r>
      <w:r w:rsidRPr="00064619">
        <w:rPr>
          <w:rtl/>
        </w:rPr>
        <w:t xml:space="preserve">الخميني، كتاب البيع 2: 482 ـ 484؛ </w:t>
      </w:r>
      <w:r w:rsidRPr="002B53CE">
        <w:rPr>
          <w:rFonts w:hint="cs"/>
          <w:rtl/>
        </w:rPr>
        <w:t xml:space="preserve">السيد </w:t>
      </w:r>
      <w:r w:rsidRPr="00064619">
        <w:rPr>
          <w:rtl/>
        </w:rPr>
        <w:t>الخميني، الحكومة الإسلامية: 144 ـ 157.</w:t>
      </w:r>
    </w:p>
  </w:footnote>
  <w:footnote w:id="595">
    <w:p w:rsidR="00F93F13" w:rsidRPr="00064619" w:rsidRDefault="00F93F13" w:rsidP="002B53CE">
      <w:pPr>
        <w:pStyle w:val="FootnoteText"/>
      </w:pPr>
      <w:r w:rsidRPr="00064619">
        <w:rPr>
          <w:rtl/>
        </w:rPr>
        <w:t>(</w:t>
      </w:r>
      <w:r w:rsidRPr="00064619">
        <w:rPr>
          <w:rtl/>
        </w:rPr>
        <w:footnoteRef/>
      </w:r>
      <w:r w:rsidRPr="00064619">
        <w:rPr>
          <w:rtl/>
        </w:rPr>
        <w:t xml:space="preserve">) الحكومة الإسلامية: 146، 147؛ وأيضاً راجع: </w:t>
      </w:r>
      <w:r w:rsidRPr="002B53CE">
        <w:rPr>
          <w:rFonts w:hint="cs"/>
          <w:rtl/>
        </w:rPr>
        <w:t xml:space="preserve">السيد </w:t>
      </w:r>
      <w:r w:rsidRPr="00064619">
        <w:rPr>
          <w:rtl/>
        </w:rPr>
        <w:t>الخميني، كتاب البيع 2: 483 ـ 484.</w:t>
      </w:r>
    </w:p>
  </w:footnote>
  <w:footnote w:id="596">
    <w:p w:rsidR="00F93F13" w:rsidRPr="00064619" w:rsidRDefault="00F93F13" w:rsidP="002B53CE">
      <w:pPr>
        <w:pStyle w:val="FootnoteText"/>
      </w:pPr>
      <w:r w:rsidRPr="00064619">
        <w:rPr>
          <w:rtl/>
        </w:rPr>
        <w:t>(</w:t>
      </w:r>
      <w:r w:rsidRPr="00064619">
        <w:rPr>
          <w:rtl/>
        </w:rPr>
        <w:footnoteRef/>
      </w:r>
      <w:r w:rsidRPr="00064619">
        <w:rPr>
          <w:rtl/>
        </w:rPr>
        <w:t>)</w:t>
      </w:r>
      <w:r>
        <w:rPr>
          <w:rFonts w:hint="cs"/>
          <w:rtl/>
        </w:rPr>
        <w:t xml:space="preserve"> </w:t>
      </w:r>
      <w:r w:rsidRPr="002B53CE">
        <w:rPr>
          <w:rFonts w:hint="cs"/>
          <w:rtl/>
        </w:rPr>
        <w:t xml:space="preserve">السيد </w:t>
      </w:r>
      <w:r w:rsidRPr="00064619">
        <w:rPr>
          <w:rtl/>
        </w:rPr>
        <w:t>الخميني، كتاب البيع 2: 483 ـ 484.</w:t>
      </w:r>
    </w:p>
  </w:footnote>
  <w:footnote w:id="597">
    <w:p w:rsidR="00F93F13" w:rsidRPr="00064619" w:rsidRDefault="00F93F13" w:rsidP="00064619">
      <w:pPr>
        <w:pStyle w:val="FootnoteText"/>
      </w:pPr>
      <w:r w:rsidRPr="00064619">
        <w:rPr>
          <w:rtl/>
        </w:rPr>
        <w:t>(</w:t>
      </w:r>
      <w:r w:rsidRPr="00064619">
        <w:rPr>
          <w:rtl/>
        </w:rPr>
        <w:footnoteRef/>
      </w:r>
      <w:r w:rsidRPr="00064619">
        <w:rPr>
          <w:rtl/>
        </w:rPr>
        <w:t>) راجع على سبيل المثال: أصول الكافي 1: 176 ـ 177، كتاب الحجة، باب الفرق بين الرسول والنبي والمحدّث.</w:t>
      </w:r>
    </w:p>
  </w:footnote>
  <w:footnote w:id="598">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w:t>
      </w:r>
      <w:r w:rsidRPr="00064619">
        <w:rPr>
          <w:rtl/>
        </w:rPr>
        <w:t xml:space="preserve"> الخميني، كتاب البيع 2: 484؛ الحكومة الإسلامية: 147 ـ 148.</w:t>
      </w:r>
    </w:p>
  </w:footnote>
  <w:footnote w:id="599">
    <w:p w:rsidR="00F93F13" w:rsidRPr="00064619" w:rsidRDefault="00F93F13" w:rsidP="00BB01BA">
      <w:pPr>
        <w:pStyle w:val="FootnoteText"/>
      </w:pPr>
      <w:r w:rsidRPr="00064619">
        <w:rPr>
          <w:rtl/>
        </w:rPr>
        <w:t>(</w:t>
      </w:r>
      <w:r w:rsidRPr="00064619">
        <w:rPr>
          <w:rtl/>
        </w:rPr>
        <w:footnoteRef/>
      </w:r>
      <w:r w:rsidRPr="00064619">
        <w:rPr>
          <w:rtl/>
        </w:rPr>
        <w:t>)</w:t>
      </w:r>
      <w:r>
        <w:rPr>
          <w:rFonts w:hint="cs"/>
          <w:rtl/>
        </w:rPr>
        <w:t xml:space="preserve"> </w:t>
      </w:r>
      <w:r w:rsidRPr="00BB01BA">
        <w:rPr>
          <w:rFonts w:hint="cs"/>
          <w:rtl/>
        </w:rPr>
        <w:t>السيد</w:t>
      </w:r>
      <w:r w:rsidRPr="00064619">
        <w:rPr>
          <w:rtl/>
        </w:rPr>
        <w:t xml:space="preserve"> الخميني، كتاب البيع 2: 484؛ الحكومة الإسلامية: 148 ـ 149.</w:t>
      </w:r>
    </w:p>
  </w:footnote>
  <w:footnote w:id="600">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482 ـ 483؛ الحكومة الإسلامية: 151: «الولاية والإمارة من الأمور الاعتبارية والعقلائية. وفي هذه الأمور يجب أن نرجع إلى العقلاء لنرى هل يعتبرون انتقال الولاية والحكومة من شخص إلى شخص آخر وراثة أم لا؟ فلو سئل عقلاء الدنيا مثلاً عمَّن قد ورث السلطنة الفلانية فهل يجيبون بأن هذا المنصب لا يقبل الوراثة؟ أم يقولون: إن فلاناً مثلاً هو وريث العرش والتاج؟ أساساً فإن هذه الجملة (وريث العرش والتاج) من العبارات المعروفة، فلا شكّ في أن الولاية في نظر العقلاء قابلة للانتقال، مثل الإرث في الأموال التي تنتقل من شخص إلى آخر».</w:t>
      </w:r>
    </w:p>
  </w:footnote>
  <w:footnote w:id="601">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 xml:space="preserve"> الخميني، كتاب البيع 2: 485؛ الحكومة الإسلامية: 151 ـ 153.</w:t>
      </w:r>
    </w:p>
  </w:footnote>
  <w:footnote w:id="602">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485 ـ 486؛ الحكومة الإسلامية: 155.</w:t>
      </w:r>
    </w:p>
  </w:footnote>
  <w:footnote w:id="603">
    <w:p w:rsidR="00F93F13" w:rsidRPr="00064619" w:rsidRDefault="00F93F13" w:rsidP="00064619">
      <w:pPr>
        <w:pStyle w:val="FootnoteText"/>
      </w:pPr>
      <w:r w:rsidRPr="00064619">
        <w:rPr>
          <w:rtl/>
        </w:rPr>
        <w:t>(</w:t>
      </w:r>
      <w:r w:rsidRPr="00064619">
        <w:rPr>
          <w:rtl/>
        </w:rPr>
        <w:footnoteRef/>
      </w:r>
      <w:r w:rsidRPr="00064619">
        <w:rPr>
          <w:rtl/>
        </w:rPr>
        <w:t>) منهم: الفاضل الدربندي، السيد محمد آل بحر العلوم، الشيخ محمد تقي النجفي، المحقق الإيرواني، الآخوند الخراساني، المحقق النائيني، المحقق الأصفهاني (الكمپاني)، الآقا ضياء الدين العراقي، السيد محسن الحكيم، السيد أحمد الخوانساري، السيد محمد هادي الميلاني، السيد عبد الله الشيرازي، الشيخ مرتضى الحائري، السيد الخوئي، الشيخ منتظري، الشيخ جواد التبريزي، السيد كاظم الحائري، الشيخ مكارم الشيرازي.</w:t>
      </w:r>
    </w:p>
  </w:footnote>
  <w:footnote w:id="604">
    <w:p w:rsidR="00F93F13" w:rsidRPr="00064619" w:rsidRDefault="00F93F13" w:rsidP="00064619">
      <w:pPr>
        <w:pStyle w:val="FootnoteText"/>
      </w:pPr>
      <w:r w:rsidRPr="00064619">
        <w:rPr>
          <w:rtl/>
        </w:rPr>
        <w:t>(</w:t>
      </w:r>
      <w:r w:rsidRPr="00064619">
        <w:rPr>
          <w:rtl/>
        </w:rPr>
        <w:footnoteRef/>
      </w:r>
      <w:r w:rsidRPr="00064619">
        <w:rPr>
          <w:rtl/>
        </w:rPr>
        <w:t>) سند الكليني: علي بن إبراهيم، عن أبيه، عن حماد بن عيسى، عن عبد الله بن ميمون بن الأسود القدّاح.</w:t>
      </w:r>
    </w:p>
  </w:footnote>
  <w:footnote w:id="605">
    <w:p w:rsidR="00F93F13" w:rsidRPr="00064619" w:rsidRDefault="00F93F13" w:rsidP="00064619">
      <w:pPr>
        <w:pStyle w:val="FootnoteText"/>
      </w:pPr>
      <w:r w:rsidRPr="00064619">
        <w:rPr>
          <w:rtl/>
        </w:rPr>
        <w:t>(</w:t>
      </w:r>
      <w:r w:rsidRPr="00064619">
        <w:rPr>
          <w:rtl/>
        </w:rPr>
        <w:footnoteRef/>
      </w:r>
      <w:r w:rsidRPr="00064619">
        <w:rPr>
          <w:rtl/>
        </w:rPr>
        <w:t>) وهب بن وهب بن كثير بن عبد الله المشهور بأبي البختري(200هـ) متَّهم في حديثه. قال النجاشي: «روى عن أبي عبد الله×، وكان كذّاباً». وقال الشيخ في الفهرست: «عامي المذهب ضعيف». وقال ابن الغضائري: «كذّاب عامي، إلا أن له عن جعفر بن محمد× أحاديث يوثق بها». وقال الكشي: «قال أبو محمد الفضل بن شاذان: كان أبو البختري من أكذب البريّة». وقال الشيخ في التهذيب (ذيل الحديث 83 من باب آداب الأحداث الموجبة للطهارات): «عامي متروك العمل بما يختصّ بروايته» (راجع: معجم رجال الحديث 19: 211 ـ 214).</w:t>
      </w:r>
    </w:p>
  </w:footnote>
  <w:footnote w:id="606">
    <w:p w:rsidR="00F93F13" w:rsidRPr="00064619" w:rsidRDefault="00F93F13" w:rsidP="00064619">
      <w:pPr>
        <w:pStyle w:val="FootnoteText"/>
      </w:pPr>
      <w:r w:rsidRPr="00064619">
        <w:rPr>
          <w:rtl/>
        </w:rPr>
        <w:t>(</w:t>
      </w:r>
      <w:r w:rsidRPr="00064619">
        <w:rPr>
          <w:rtl/>
        </w:rPr>
        <w:footnoteRef/>
      </w:r>
      <w:r w:rsidRPr="00064619">
        <w:rPr>
          <w:rtl/>
        </w:rPr>
        <w:t>) «وقد وقع سهواً في قلم النراقي في عوائد الأيّام وصف رواية أبي البختري بالصحّة، مع أنها ضعيفة. ولا يبعد أن يكون مراده صحيحة القدّاح، وعند الكَتْب وقع سهو من قلمه الشريف» (</w:t>
      </w:r>
      <w:r>
        <w:rPr>
          <w:rFonts w:hint="cs"/>
          <w:rtl/>
        </w:rPr>
        <w:t xml:space="preserve">السيد </w:t>
      </w:r>
      <w:r w:rsidRPr="00064619">
        <w:rPr>
          <w:rtl/>
        </w:rPr>
        <w:t>الخميني، كتاب البيع 2: 482).</w:t>
      </w:r>
    </w:p>
  </w:footnote>
  <w:footnote w:id="607">
    <w:p w:rsidR="00F93F13" w:rsidRPr="00064619" w:rsidRDefault="00F93F13" w:rsidP="00064619">
      <w:pPr>
        <w:pStyle w:val="FootnoteText"/>
      </w:pPr>
      <w:r w:rsidRPr="00064619">
        <w:rPr>
          <w:rtl/>
        </w:rPr>
        <w:t>(</w:t>
      </w:r>
      <w:r w:rsidRPr="00064619">
        <w:rPr>
          <w:rtl/>
        </w:rPr>
        <w:footnoteRef/>
      </w:r>
      <w:r w:rsidRPr="00064619">
        <w:rPr>
          <w:rtl/>
        </w:rPr>
        <w:t>) أصول الكافي 1: 34، كتاب فضل العلم، باب أصناف الناس، الحديث 4.</w:t>
      </w:r>
    </w:p>
  </w:footnote>
  <w:footnote w:id="608">
    <w:p w:rsidR="00F93F13" w:rsidRPr="00064619" w:rsidRDefault="00F93F13" w:rsidP="00064619">
      <w:pPr>
        <w:pStyle w:val="FootnoteText"/>
      </w:pPr>
      <w:r w:rsidRPr="00064619">
        <w:rPr>
          <w:rtl/>
        </w:rPr>
        <w:t>(</w:t>
      </w:r>
      <w:r w:rsidRPr="00064619">
        <w:rPr>
          <w:rtl/>
        </w:rPr>
        <w:footnoteRef/>
      </w:r>
      <w:r w:rsidRPr="00064619">
        <w:rPr>
          <w:rtl/>
        </w:rPr>
        <w:t>) بحر العلوم، بلغة الفقيه 3: 226، رسالة في الولايات؛ الفاضل الدربندي، خزائن الأحكام؛ الأصفهاني الكمپاني، حاشية المكاسب 1: 213؛ الميلاني، محاضرات في فقه الإمامية: 270، كتاب الخمس؛ السيد عبد الله الشيرازي، كتاب القضاء: 32 ـ 33؛ الشيخ مرتضى الحائري، ابتغاء الفضيلة 2: 226.</w:t>
      </w:r>
    </w:p>
  </w:footnote>
  <w:footnote w:id="609">
    <w:p w:rsidR="00F93F13" w:rsidRPr="00064619" w:rsidRDefault="00F93F13" w:rsidP="00064619">
      <w:pPr>
        <w:pStyle w:val="FootnoteText"/>
        <w:rPr>
          <w:rtl/>
        </w:rPr>
      </w:pPr>
      <w:r w:rsidRPr="00064619">
        <w:rPr>
          <w:rtl/>
        </w:rPr>
        <w:t>(</w:t>
      </w:r>
      <w:r w:rsidRPr="00064619">
        <w:rPr>
          <w:rtl/>
        </w:rPr>
        <w:footnoteRef/>
      </w:r>
      <w:r w:rsidRPr="00064619">
        <w:rPr>
          <w:rtl/>
        </w:rPr>
        <w:t>) الغزالي، إحياء علوم الدين. فقد أشار الغزالي إلى أقوال مختلفة في «علم الفريضة»: «إن كل فريق نزّل الوجوب على العلم الذي هو بصدده، فقال المتكلمون: هو علم الكلام... وقال الفقهاء: هو علم الفقه... وقال المفسِّرون والمحدِّثون: هو علم الكتاب والسنّة... وقال المتصوِّفة: المراد به هذا العلم...» (إحياء علوم الدين: 20، كتاب العلم، الباب الثاني). وراجع أيضاً: الفيض الكاشاني، المحجة البيضاء في تهذيب الأحياء 1: 43 و44.</w:t>
      </w:r>
    </w:p>
    <w:p w:rsidR="00F93F13" w:rsidRPr="00064619" w:rsidRDefault="00F93F13" w:rsidP="00064619">
      <w:pPr>
        <w:pStyle w:val="FootnoteText"/>
      </w:pPr>
      <w:r w:rsidRPr="00064619">
        <w:rPr>
          <w:rtl/>
        </w:rPr>
        <w:t>وراجع أيضاً رأي العرفاء، في الفصل الثاني من الولاية العرفانية من هذا الكتاب. وللاطّلاع على آراء الفلاسفة يمكن الرجوع إلى: «الجمهورية»، لأفلاطون، حيث يقول: «ولتأسيس المدينة الفاضلة إمّا أنه يجب على الملوك أن يدرسوا الفلسفة، أو أن يكون الفلاسفة هم الملوك». وانظر أيضاً: تفسير ابن رشد الأندلسي لآية (الراسخون في العلم) بالفلاسفة والحكماء. وراجع أيضاً: كتاب فصل المقال وتقرير ما بين الشريعة والحكمة من الاتصال: 49؛ وسير فلسفة در جهان إسلام، لماجد فخري.</w:t>
      </w:r>
    </w:p>
  </w:footnote>
  <w:footnote w:id="610">
    <w:p w:rsidR="00F93F13" w:rsidRPr="00064619" w:rsidRDefault="00F93F13" w:rsidP="00064619">
      <w:pPr>
        <w:pStyle w:val="FootnoteText"/>
      </w:pPr>
      <w:r w:rsidRPr="00064619">
        <w:rPr>
          <w:rtl/>
        </w:rPr>
        <w:t>(</w:t>
      </w:r>
      <w:r w:rsidRPr="00064619">
        <w:rPr>
          <w:rtl/>
        </w:rPr>
        <w:footnoteRef/>
      </w:r>
      <w:r w:rsidRPr="00064619">
        <w:rPr>
          <w:rtl/>
        </w:rPr>
        <w:t>) راجع: أصول الكافي 1: 36، كتاب فضل العلم، باب صفة العلماء، الحديثان 1 و3.</w:t>
      </w:r>
    </w:p>
  </w:footnote>
  <w:footnote w:id="611">
    <w:p w:rsidR="00F93F13" w:rsidRPr="00064619" w:rsidRDefault="00F93F13" w:rsidP="00064619">
      <w:pPr>
        <w:pStyle w:val="FootnoteText"/>
      </w:pPr>
      <w:r w:rsidRPr="00064619">
        <w:rPr>
          <w:rtl/>
        </w:rPr>
        <w:t>(</w:t>
      </w:r>
      <w:r w:rsidRPr="00064619">
        <w:rPr>
          <w:rtl/>
        </w:rPr>
        <w:footnoteRef/>
      </w:r>
      <w:r w:rsidRPr="00064619">
        <w:rPr>
          <w:rtl/>
        </w:rPr>
        <w:t>) منتظري، دراسات في ولاية الفقيه وفقه الدولة الإسلامية 1: 470.</w:t>
      </w:r>
    </w:p>
  </w:footnote>
  <w:footnote w:id="612">
    <w:p w:rsidR="00F93F13" w:rsidRPr="00064619" w:rsidRDefault="00F93F13" w:rsidP="00064619">
      <w:pPr>
        <w:pStyle w:val="FootnoteText"/>
      </w:pPr>
      <w:r w:rsidRPr="00064619">
        <w:rPr>
          <w:rtl/>
        </w:rPr>
        <w:t>(</w:t>
      </w:r>
      <w:r w:rsidRPr="00064619">
        <w:rPr>
          <w:rtl/>
        </w:rPr>
        <w:footnoteRef/>
      </w:r>
      <w:r w:rsidRPr="00064619">
        <w:rPr>
          <w:rtl/>
        </w:rPr>
        <w:t>) الطوسي، الرسائل العشر: 112، رسالة في الفرق بين النبي والإمام؛ الطبرسي، مجمع البيان، تفسير الآية 124 من سورة البقرة.</w:t>
      </w:r>
    </w:p>
  </w:footnote>
  <w:footnote w:id="613">
    <w:p w:rsidR="00F93F13" w:rsidRPr="00064619" w:rsidRDefault="00F93F13" w:rsidP="00064619">
      <w:pPr>
        <w:pStyle w:val="FootnoteText"/>
      </w:pPr>
      <w:r w:rsidRPr="00064619">
        <w:rPr>
          <w:rtl/>
        </w:rPr>
        <w:t>(</w:t>
      </w:r>
      <w:r w:rsidRPr="00064619">
        <w:rPr>
          <w:rtl/>
        </w:rPr>
        <w:footnoteRef/>
      </w:r>
      <w:r w:rsidRPr="00064619">
        <w:rPr>
          <w:rtl/>
        </w:rPr>
        <w:t>) راجع: النائيني، المكاسب والبيع (تقرير أبحاثه بقلم: الآملي) 2: 335؛ النائيني، منية الطالب (تقرير أبحاثه بقلم: الشيخ موسى النجفي) 2: 325؛ الخراساني، حاشية المكاسب: 94؛ منتظري، دراسات في ولاية الفقيه وفقه الدولة الإسلامية 1: 470.</w:t>
      </w:r>
    </w:p>
  </w:footnote>
  <w:footnote w:id="614">
    <w:p w:rsidR="00F93F13" w:rsidRPr="00064619" w:rsidRDefault="00F93F13" w:rsidP="00064619">
      <w:pPr>
        <w:pStyle w:val="FootnoteText"/>
      </w:pPr>
      <w:r w:rsidRPr="00064619">
        <w:rPr>
          <w:rtl/>
        </w:rPr>
        <w:t>(</w:t>
      </w:r>
      <w:r w:rsidRPr="00064619">
        <w:rPr>
          <w:rtl/>
        </w:rPr>
        <w:footnoteRef/>
      </w:r>
      <w:r w:rsidRPr="00064619">
        <w:rPr>
          <w:rtl/>
        </w:rPr>
        <w:t>) التبريزي، إرشاد الطالب إلى التعليق على المكاسب 3: 35.</w:t>
      </w:r>
    </w:p>
  </w:footnote>
  <w:footnote w:id="615">
    <w:p w:rsidR="00F93F13" w:rsidRPr="00064619" w:rsidRDefault="00F93F13" w:rsidP="00064619">
      <w:pPr>
        <w:pStyle w:val="FootnoteText"/>
      </w:pPr>
      <w:r w:rsidRPr="00064619">
        <w:rPr>
          <w:rtl/>
        </w:rPr>
        <w:t>(</w:t>
      </w:r>
      <w:r w:rsidRPr="00064619">
        <w:rPr>
          <w:rtl/>
        </w:rPr>
        <w:footnoteRef/>
      </w:r>
      <w:r w:rsidRPr="00064619">
        <w:rPr>
          <w:rtl/>
        </w:rPr>
        <w:t>) راجع على سبيل المثال: بحث في ولاية الحاكم، للشيخ محمد تقي النجفي، في كتاب (كلمة نافذ آقا نجفي): 233 ـ 244. فالنجفي يعدّ أكثر مَنْ تناول هذا الحديث بحثاً وتحليلاً؛ النائيني، المكاسب والبيع (تقرير أبحاثه بقلم: الشيخ محمد تقي الآملي) 2: 336؛ العراقي، شرح تبصرة المتعلمين 5: 41؛ الإيرواني، حاشية المكاسب 2: 372؛ السيد محسن الحكيم، نهج الفقاهة: 299؛ الخوانساري، جامع المدارك 3: 98؛ الخوئي، مصباح الفقاهة (تقرير أبحاثه بقلم: التوحيدي) 5: 42 ـ 43؛ منتظري، دراسات في ولاية الفقيه وفقه الدولة الإسلامية 1: 470؛ التبريزي، إرشاد الطالب 3: 43؛ السيد كاظم الحائري، أساس الحكومة الإسلامية: 144؛ الشيخ ناصر مكارم الشيرازي، أنوار الفقاهة 1: 507، كتاب البيع.</w:t>
      </w:r>
    </w:p>
  </w:footnote>
  <w:footnote w:id="616">
    <w:p w:rsidR="00F93F13" w:rsidRPr="00064619" w:rsidRDefault="00F93F13" w:rsidP="00064619">
      <w:pPr>
        <w:pStyle w:val="FootnoteText"/>
      </w:pPr>
      <w:r w:rsidRPr="00064619">
        <w:rPr>
          <w:rtl/>
        </w:rPr>
        <w:t>(</w:t>
      </w:r>
      <w:r w:rsidRPr="00064619">
        <w:rPr>
          <w:rtl/>
        </w:rPr>
        <w:footnoteRef/>
      </w:r>
      <w:r w:rsidRPr="00064619">
        <w:rPr>
          <w:rtl/>
        </w:rPr>
        <w:t>) منتظري، دراسات في ولاية الفقيه وفقه الدولة الإسلامية 1: 470.</w:t>
      </w:r>
    </w:p>
  </w:footnote>
  <w:footnote w:id="617">
    <w:p w:rsidR="00F93F13" w:rsidRPr="00064619" w:rsidRDefault="00F93F13" w:rsidP="00064619">
      <w:pPr>
        <w:pStyle w:val="FootnoteText"/>
      </w:pPr>
      <w:r w:rsidRPr="00064619">
        <w:rPr>
          <w:rtl/>
        </w:rPr>
        <w:t>(</w:t>
      </w:r>
      <w:r w:rsidRPr="00064619">
        <w:rPr>
          <w:rtl/>
        </w:rPr>
        <w:footnoteRef/>
      </w:r>
      <w:r w:rsidRPr="00064619">
        <w:rPr>
          <w:rtl/>
        </w:rPr>
        <w:t>) الآمدي، غرر الحكم ودرر الكلم 1: 137، الحديث 506؛ مستدرك الوسائل 17: 316، كتاب القضاء، باب 11 من أبواب صفات القاضي، الحديث 17.</w:t>
      </w:r>
    </w:p>
  </w:footnote>
  <w:footnote w:id="618">
    <w:p w:rsidR="00F93F13" w:rsidRPr="00887CCF" w:rsidRDefault="00F93F13" w:rsidP="00064619">
      <w:pPr>
        <w:pStyle w:val="FootnoteText"/>
        <w:rPr>
          <w:sz w:val="18"/>
          <w:szCs w:val="24"/>
        </w:rPr>
      </w:pPr>
      <w:r w:rsidRPr="00887CCF">
        <w:rPr>
          <w:sz w:val="18"/>
          <w:szCs w:val="24"/>
          <w:rtl/>
        </w:rPr>
        <w:t>(</w:t>
      </w:r>
      <w:r w:rsidRPr="00887CCF">
        <w:rPr>
          <w:sz w:val="18"/>
          <w:szCs w:val="24"/>
          <w:rtl/>
        </w:rPr>
        <w:footnoteRef/>
      </w:r>
      <w:r w:rsidRPr="00887CCF">
        <w:rPr>
          <w:sz w:val="18"/>
          <w:szCs w:val="24"/>
          <w:rtl/>
        </w:rPr>
        <w:t>) الكراجكي، كنز الفوائد 2: 33؛ بحار الأنوار 1: 183، كتاب العلم، باب 1، الحديث 92.</w:t>
      </w:r>
    </w:p>
  </w:footnote>
  <w:footnote w:id="619">
    <w:p w:rsidR="00F93F13" w:rsidRPr="00064619" w:rsidRDefault="00F93F13" w:rsidP="00064619">
      <w:pPr>
        <w:pStyle w:val="FootnoteText"/>
      </w:pPr>
      <w:r w:rsidRPr="00064619">
        <w:rPr>
          <w:rtl/>
        </w:rPr>
        <w:t>(</w:t>
      </w:r>
      <w:r w:rsidRPr="00064619">
        <w:rPr>
          <w:rtl/>
        </w:rPr>
        <w:footnoteRef/>
      </w:r>
      <w:r w:rsidRPr="00064619">
        <w:rPr>
          <w:rtl/>
        </w:rPr>
        <w:t>) الگلپايگاني، الهداية إلى مَنْ له الولاية (تقرير أبحاثه بقلم: الميرزا أحمد صابري): 36.</w:t>
      </w:r>
    </w:p>
  </w:footnote>
  <w:footnote w:id="620">
    <w:p w:rsidR="00F93F13" w:rsidRPr="00064619" w:rsidRDefault="00F93F13" w:rsidP="00064619">
      <w:pPr>
        <w:pStyle w:val="FootnoteText"/>
      </w:pPr>
      <w:r w:rsidRPr="00064619">
        <w:rPr>
          <w:rtl/>
        </w:rPr>
        <w:t>(</w:t>
      </w:r>
      <w:r w:rsidRPr="00064619">
        <w:rPr>
          <w:rtl/>
        </w:rPr>
        <w:footnoteRef/>
      </w:r>
      <w:r w:rsidRPr="00064619">
        <w:rPr>
          <w:rtl/>
        </w:rPr>
        <w:t>) عوائد الأيام: 532، الرواية 11.</w:t>
      </w:r>
    </w:p>
  </w:footnote>
  <w:footnote w:id="621">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الحكومة الإسلامية: 156 ـ 158؛</w:t>
      </w:r>
      <w:r>
        <w:rPr>
          <w:rFonts w:hint="cs"/>
          <w:rtl/>
        </w:rPr>
        <w:t xml:space="preserve"> السيد</w:t>
      </w:r>
      <w:r w:rsidRPr="00064619">
        <w:rPr>
          <w:rtl/>
        </w:rPr>
        <w:t xml:space="preserve"> الخميني، كتاب البيع 2: 486.</w:t>
      </w:r>
    </w:p>
  </w:footnote>
  <w:footnote w:id="622">
    <w:p w:rsidR="00F93F13" w:rsidRPr="00064619" w:rsidRDefault="00F93F13" w:rsidP="00064619">
      <w:pPr>
        <w:pStyle w:val="FootnoteText"/>
      </w:pPr>
      <w:r w:rsidRPr="00064619">
        <w:rPr>
          <w:rtl/>
        </w:rPr>
        <w:t>(</w:t>
      </w:r>
      <w:r w:rsidRPr="00064619">
        <w:rPr>
          <w:rtl/>
        </w:rPr>
        <w:footnoteRef/>
      </w:r>
      <w:r w:rsidRPr="00064619">
        <w:rPr>
          <w:rtl/>
        </w:rPr>
        <w:t>) الگلپايگاني، الهداية إلى من له الولاية: 36.</w:t>
      </w:r>
    </w:p>
  </w:footnote>
  <w:footnote w:id="623">
    <w:p w:rsidR="00F93F13" w:rsidRPr="00064619" w:rsidRDefault="00F93F13" w:rsidP="00064619">
      <w:pPr>
        <w:pStyle w:val="FootnoteText"/>
      </w:pPr>
      <w:r w:rsidRPr="00064619">
        <w:rPr>
          <w:rtl/>
        </w:rPr>
        <w:t>(</w:t>
      </w:r>
      <w:r w:rsidRPr="00064619">
        <w:rPr>
          <w:rtl/>
        </w:rPr>
        <w:footnoteRef/>
      </w:r>
      <w:r w:rsidRPr="00064619">
        <w:rPr>
          <w:rtl/>
        </w:rPr>
        <w:t>) مع أن السيد الخميني قد اعتبر أن أكثر الروايات السابقة تامّة في دلالتها على ولاية الفقيه، وعلى الرغم من اعتباره أن دلالة هاتين الروايتين واضحة، إلاّ أنه خدش في سندهما (</w:t>
      </w:r>
      <w:r>
        <w:rPr>
          <w:rFonts w:hint="cs"/>
          <w:rtl/>
        </w:rPr>
        <w:t xml:space="preserve">السيد </w:t>
      </w:r>
      <w:r w:rsidRPr="00064619">
        <w:rPr>
          <w:rtl/>
        </w:rPr>
        <w:t>الخميني، كتاب البيع 2: 486؛ الحكومة الإسلامية: 106 ـ 107).</w:t>
      </w:r>
    </w:p>
  </w:footnote>
  <w:footnote w:id="624">
    <w:p w:rsidR="00F93F13" w:rsidRPr="00064619" w:rsidRDefault="00F93F13" w:rsidP="00064619">
      <w:pPr>
        <w:pStyle w:val="FootnoteText"/>
      </w:pPr>
      <w:r w:rsidRPr="00064619">
        <w:rPr>
          <w:rtl/>
        </w:rPr>
        <w:t>(</w:t>
      </w:r>
      <w:r w:rsidRPr="00064619">
        <w:rPr>
          <w:rtl/>
        </w:rPr>
        <w:footnoteRef/>
      </w:r>
      <w:r w:rsidRPr="00064619">
        <w:rPr>
          <w:rtl/>
        </w:rPr>
        <w:t>) منتظري، دراسات في ولاية الفقيه وفقه الدولة 1: 483، الاحتمال الأوّل.</w:t>
      </w:r>
    </w:p>
  </w:footnote>
  <w:footnote w:id="625">
    <w:p w:rsidR="00F93F13" w:rsidRPr="00064619" w:rsidRDefault="00F93F13" w:rsidP="00064619">
      <w:pPr>
        <w:pStyle w:val="FootnoteText"/>
      </w:pPr>
      <w:r w:rsidRPr="00064619">
        <w:rPr>
          <w:rtl/>
        </w:rPr>
        <w:t>(</w:t>
      </w:r>
      <w:r w:rsidRPr="00064619">
        <w:rPr>
          <w:rtl/>
        </w:rPr>
        <w:footnoteRef/>
      </w:r>
      <w:r w:rsidRPr="00064619">
        <w:rPr>
          <w:rtl/>
        </w:rPr>
        <w:t>) راجع على سبيل المثال: المراغي، العناوين، العنوان 74؛ بلغة الفقيه 3: 230؛ النجفي، رسالة في ولاية الحاكم الفقيه: 245؛ ابتغاء الفضيلة 2: 230.</w:t>
      </w:r>
    </w:p>
  </w:footnote>
  <w:footnote w:id="626">
    <w:p w:rsidR="00F93F13" w:rsidRPr="00064619" w:rsidRDefault="00F93F13" w:rsidP="00064619">
      <w:pPr>
        <w:pStyle w:val="FootnoteText"/>
      </w:pPr>
      <w:r w:rsidRPr="00064619">
        <w:rPr>
          <w:rtl/>
        </w:rPr>
        <w:t>(</w:t>
      </w:r>
      <w:r w:rsidRPr="00064619">
        <w:rPr>
          <w:rtl/>
        </w:rPr>
        <w:footnoteRef/>
      </w:r>
      <w:r w:rsidRPr="00064619">
        <w:rPr>
          <w:rtl/>
        </w:rPr>
        <w:t>) راجع: منتظري، دراسات في ولاية الفقيه 1: 434.</w:t>
      </w:r>
    </w:p>
  </w:footnote>
  <w:footnote w:id="627">
    <w:p w:rsidR="00F93F13" w:rsidRPr="00064619" w:rsidRDefault="00F93F13" w:rsidP="00064619">
      <w:pPr>
        <w:pStyle w:val="FootnoteText"/>
      </w:pPr>
      <w:r w:rsidRPr="00064619">
        <w:rPr>
          <w:rtl/>
        </w:rPr>
        <w:t>(</w:t>
      </w:r>
      <w:r w:rsidRPr="00064619">
        <w:rPr>
          <w:rtl/>
        </w:rPr>
        <w:footnoteRef/>
      </w:r>
      <w:r w:rsidRPr="00064619">
        <w:rPr>
          <w:rtl/>
        </w:rPr>
        <w:t>) أنوار الفقاهة 1: 505، كتاب البيع؛ الحائري، أساس الحكومة الإسلامية: 145.</w:t>
      </w:r>
    </w:p>
  </w:footnote>
  <w:footnote w:id="628">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1: 484.</w:t>
      </w:r>
    </w:p>
  </w:footnote>
  <w:footnote w:id="629">
    <w:p w:rsidR="00F93F13" w:rsidRPr="00064619" w:rsidRDefault="00F93F13" w:rsidP="00064619">
      <w:pPr>
        <w:pStyle w:val="FootnoteText"/>
      </w:pPr>
      <w:r w:rsidRPr="00064619">
        <w:rPr>
          <w:rtl/>
        </w:rPr>
        <w:t>(</w:t>
      </w:r>
      <w:r w:rsidRPr="00064619">
        <w:rPr>
          <w:rtl/>
        </w:rPr>
        <w:footnoteRef/>
      </w:r>
      <w:r w:rsidRPr="00064619">
        <w:rPr>
          <w:rtl/>
        </w:rPr>
        <w:t>) المصدر نفسه.</w:t>
      </w:r>
    </w:p>
  </w:footnote>
  <w:footnote w:id="630">
    <w:p w:rsidR="00F93F13" w:rsidRPr="00064619" w:rsidRDefault="00F93F13" w:rsidP="00064619">
      <w:pPr>
        <w:pStyle w:val="FootnoteText"/>
      </w:pPr>
      <w:r w:rsidRPr="00064619">
        <w:rPr>
          <w:rtl/>
        </w:rPr>
        <w:t>(</w:t>
      </w:r>
      <w:r w:rsidRPr="00064619">
        <w:rPr>
          <w:rtl/>
        </w:rPr>
        <w:footnoteRef/>
      </w:r>
      <w:r w:rsidRPr="00064619">
        <w:rPr>
          <w:rtl/>
        </w:rPr>
        <w:t>) الحراني، تحف العقول عن آل الرسول</w:t>
      </w:r>
      <w:r w:rsidRPr="00064619">
        <w:rPr>
          <w:rtl/>
        </w:rPr>
        <w:sym w:font="Roumouz" w:char="F02D"/>
      </w:r>
      <w:r w:rsidRPr="00064619">
        <w:rPr>
          <w:rtl/>
        </w:rPr>
        <w:t xml:space="preserve"> 1: 238.</w:t>
      </w:r>
    </w:p>
  </w:footnote>
  <w:footnote w:id="631">
    <w:p w:rsidR="00F93F13" w:rsidRPr="00064619" w:rsidRDefault="00F93F13" w:rsidP="00064619">
      <w:pPr>
        <w:pStyle w:val="FootnoteText"/>
      </w:pPr>
      <w:r w:rsidRPr="00064619">
        <w:rPr>
          <w:rtl/>
        </w:rPr>
        <w:t>(</w:t>
      </w:r>
      <w:r w:rsidRPr="00064619">
        <w:rPr>
          <w:rtl/>
        </w:rPr>
        <w:footnoteRef/>
      </w:r>
      <w:r w:rsidRPr="00064619">
        <w:rPr>
          <w:rtl/>
        </w:rPr>
        <w:t>) «وهي وإنْ كانت مرسلة، لكن اعتمد على الكتاب صاحب الوسائل، ومتنها موافق للاعتبار والعقل» (</w:t>
      </w:r>
      <w:r>
        <w:rPr>
          <w:rFonts w:hint="cs"/>
          <w:rtl/>
        </w:rPr>
        <w:t xml:space="preserve">السيد </w:t>
      </w:r>
      <w:r w:rsidRPr="00064619">
        <w:rPr>
          <w:rtl/>
        </w:rPr>
        <w:t>الخميني، كتاب البيع 2: 486 ـ 487).</w:t>
      </w:r>
    </w:p>
  </w:footnote>
  <w:footnote w:id="632">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487 ـ 488؛ ولاية الفقيه: 110.</w:t>
      </w:r>
    </w:p>
  </w:footnote>
  <w:footnote w:id="633">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488.</w:t>
      </w:r>
    </w:p>
  </w:footnote>
  <w:footnote w:id="634">
    <w:p w:rsidR="00F93F13" w:rsidRPr="00064619" w:rsidRDefault="00F93F13" w:rsidP="00064619">
      <w:pPr>
        <w:pStyle w:val="FootnoteText"/>
      </w:pPr>
      <w:r w:rsidRPr="00064619">
        <w:rPr>
          <w:rtl/>
        </w:rPr>
        <w:t>(</w:t>
      </w:r>
      <w:r w:rsidRPr="00064619">
        <w:rPr>
          <w:rtl/>
        </w:rPr>
        <w:footnoteRef/>
      </w:r>
      <w:r w:rsidRPr="00064619">
        <w:rPr>
          <w:rtl/>
        </w:rPr>
        <w:t xml:space="preserve">) عوائد الأيام: 534، الحديث 18؛ بلغة الفقيه 3: 233؛ رسالة هداية الأنام في أموال الإمام×: 143؛ الفردوس الأعلى: 54؛ النجفي، رسالة في ولاية الحاكم الفقيه: 245؛ الميلاني، محاضرات في فقه الإمامية: 273، كتاب الخمس؛ الگلپايگاني، الهداية إلى من له الولاية: 33؛ </w:t>
      </w:r>
      <w:r>
        <w:rPr>
          <w:rFonts w:hint="cs"/>
          <w:rtl/>
        </w:rPr>
        <w:t xml:space="preserve">السيد </w:t>
      </w:r>
      <w:r w:rsidRPr="00064619">
        <w:rPr>
          <w:rtl/>
        </w:rPr>
        <w:t>الخميني، كتاب البيع 2: 486، 488؛ الحكومة الإسلامية: 158 ـ 182.</w:t>
      </w:r>
    </w:p>
  </w:footnote>
  <w:footnote w:id="635">
    <w:p w:rsidR="00F93F13" w:rsidRPr="00064619" w:rsidRDefault="00F93F13" w:rsidP="00064619">
      <w:pPr>
        <w:pStyle w:val="FootnoteText"/>
      </w:pPr>
      <w:r w:rsidRPr="00064619">
        <w:rPr>
          <w:rtl/>
        </w:rPr>
        <w:t>(</w:t>
      </w:r>
      <w:r w:rsidRPr="00064619">
        <w:rPr>
          <w:rtl/>
        </w:rPr>
        <w:footnoteRef/>
      </w:r>
      <w:r w:rsidRPr="00064619">
        <w:rPr>
          <w:rtl/>
        </w:rPr>
        <w:t>) راجع على سبيل المثال: جامع المدارك 3: 99 ـ 100؛ إرشاد الطالب 3: 33؛ أنوار الفقاهة1: 503، كتاب البيع.</w:t>
      </w:r>
    </w:p>
  </w:footnote>
  <w:footnote w:id="636">
    <w:p w:rsidR="00F93F13" w:rsidRPr="00064619" w:rsidRDefault="00F93F13" w:rsidP="00064619">
      <w:pPr>
        <w:pStyle w:val="FootnoteText"/>
      </w:pPr>
      <w:r w:rsidRPr="00064619">
        <w:rPr>
          <w:rtl/>
        </w:rPr>
        <w:t>(</w:t>
      </w:r>
      <w:r w:rsidRPr="00064619">
        <w:rPr>
          <w:rtl/>
        </w:rPr>
        <w:footnoteRef/>
      </w:r>
      <w:r w:rsidRPr="00064619">
        <w:rPr>
          <w:rtl/>
        </w:rPr>
        <w:t>) راجع على سبيل المثال: الخراساني، حاشية المكاسب 1: 214؛ الشيرازي، كتاب القضاء: 32 ـ 33؛ ابتغاء الفضيلة 2: 220.</w:t>
      </w:r>
    </w:p>
  </w:footnote>
  <w:footnote w:id="637">
    <w:p w:rsidR="00F93F13" w:rsidRPr="00064619" w:rsidRDefault="00F93F13" w:rsidP="00064619">
      <w:pPr>
        <w:pStyle w:val="FootnoteText"/>
      </w:pPr>
      <w:r w:rsidRPr="00064619">
        <w:rPr>
          <w:rtl/>
        </w:rPr>
        <w:t>(</w:t>
      </w:r>
      <w:r w:rsidRPr="00064619">
        <w:rPr>
          <w:rtl/>
        </w:rPr>
        <w:footnoteRef/>
      </w:r>
      <w:r w:rsidRPr="00064619">
        <w:rPr>
          <w:rtl/>
        </w:rPr>
        <w:t>) الإيرواني، حاشية المكاسب 2: 370.</w:t>
      </w:r>
    </w:p>
  </w:footnote>
  <w:footnote w:id="638">
    <w:p w:rsidR="00F93F13" w:rsidRPr="00064619" w:rsidRDefault="00F93F13" w:rsidP="00064619">
      <w:pPr>
        <w:pStyle w:val="FootnoteText"/>
      </w:pPr>
      <w:r w:rsidRPr="00064619">
        <w:rPr>
          <w:rtl/>
        </w:rPr>
        <w:t>(</w:t>
      </w:r>
      <w:r w:rsidRPr="00064619">
        <w:rPr>
          <w:rtl/>
        </w:rPr>
        <w:footnoteRef/>
      </w:r>
      <w:r w:rsidRPr="00064619">
        <w:rPr>
          <w:rtl/>
        </w:rPr>
        <w:t>) أصول الكافي 1: 67، كتاب فضل العلم، باب اختلاف الحديث، الحديث 10: «محمد بن يحيى، عن محمد بن الحسين، عن محمد بن عيسى، عن صفوان بن يحيى، عن داوود بن الحصين، عن عمر بن حنظلة».</w:t>
      </w:r>
    </w:p>
  </w:footnote>
  <w:footnote w:id="639">
    <w:p w:rsidR="00F93F13" w:rsidRPr="00064619" w:rsidRDefault="00F93F13" w:rsidP="00064619">
      <w:pPr>
        <w:pStyle w:val="FootnoteText"/>
      </w:pPr>
      <w:r w:rsidRPr="00064619">
        <w:rPr>
          <w:rtl/>
        </w:rPr>
        <w:t>(</w:t>
      </w:r>
      <w:r w:rsidRPr="00064619">
        <w:rPr>
          <w:rtl/>
        </w:rPr>
        <w:footnoteRef/>
      </w:r>
      <w:r w:rsidRPr="00064619">
        <w:rPr>
          <w:rtl/>
        </w:rPr>
        <w:t>) الكافي 7: 412، كتاب القضاء، باب كراهية الترافع إلى قضاة الجور، الحديث 5.</w:t>
      </w:r>
    </w:p>
  </w:footnote>
  <w:footnote w:id="640">
    <w:p w:rsidR="00F93F13" w:rsidRPr="00064619" w:rsidRDefault="00F93F13" w:rsidP="00064619">
      <w:pPr>
        <w:pStyle w:val="FootnoteText"/>
      </w:pPr>
      <w:r w:rsidRPr="00064619">
        <w:rPr>
          <w:rtl/>
        </w:rPr>
        <w:t>(</w:t>
      </w:r>
      <w:r w:rsidRPr="00064619">
        <w:rPr>
          <w:rtl/>
        </w:rPr>
        <w:footnoteRef/>
      </w:r>
      <w:r w:rsidRPr="00064619">
        <w:rPr>
          <w:rtl/>
        </w:rPr>
        <w:t>) تهذيب الأحكام 6: 218، كتاب القضاء، الحديث 514: «محمد بن يحيى، عن محمد بن الحسن بن شمون، عن محمد بن عيسى»، و6: 301، الحديث 845: «محمد بن علي بن محبوب، عن محمد بن عيسى».</w:t>
      </w:r>
    </w:p>
  </w:footnote>
  <w:footnote w:id="641">
    <w:p w:rsidR="00F93F13" w:rsidRPr="00064619" w:rsidRDefault="00F93F13" w:rsidP="00064619">
      <w:pPr>
        <w:pStyle w:val="FootnoteText"/>
      </w:pPr>
      <w:r w:rsidRPr="00064619">
        <w:rPr>
          <w:rtl/>
        </w:rPr>
        <w:t>(</w:t>
      </w:r>
      <w:r w:rsidRPr="00064619">
        <w:rPr>
          <w:rtl/>
        </w:rPr>
        <w:footnoteRef/>
      </w:r>
      <w:r w:rsidRPr="00064619">
        <w:rPr>
          <w:rtl/>
        </w:rPr>
        <w:t>) رسائل المحقِّق الكركي: 142 ـ 143، المجموعة الأولى، رسالة في صلاة الجمعة.</w:t>
      </w:r>
    </w:p>
  </w:footnote>
  <w:footnote w:id="642">
    <w:p w:rsidR="00F93F13" w:rsidRPr="00064619" w:rsidRDefault="00F93F13" w:rsidP="00064619">
      <w:pPr>
        <w:pStyle w:val="FootnoteText"/>
      </w:pPr>
      <w:r w:rsidRPr="00064619">
        <w:rPr>
          <w:rtl/>
        </w:rPr>
        <w:t>(</w:t>
      </w:r>
      <w:r w:rsidRPr="00064619">
        <w:rPr>
          <w:rtl/>
        </w:rPr>
        <w:footnoteRef/>
      </w:r>
      <w:r w:rsidRPr="00064619">
        <w:rPr>
          <w:rtl/>
        </w:rPr>
        <w:t>) عوائد الأيام: 533، العائدة 54 في ولاية الحاكم.</w:t>
      </w:r>
    </w:p>
  </w:footnote>
  <w:footnote w:id="643">
    <w:p w:rsidR="00F93F13" w:rsidRPr="00064619" w:rsidRDefault="00F93F13" w:rsidP="00064619">
      <w:pPr>
        <w:pStyle w:val="FootnoteText"/>
      </w:pPr>
      <w:r w:rsidRPr="00064619">
        <w:rPr>
          <w:rtl/>
        </w:rPr>
        <w:t>(</w:t>
      </w:r>
      <w:r w:rsidRPr="00064619">
        <w:rPr>
          <w:rtl/>
        </w:rPr>
        <w:footnoteRef/>
      </w:r>
      <w:r w:rsidRPr="00064619">
        <w:rPr>
          <w:rtl/>
        </w:rPr>
        <w:t>) «فرواية ابن حنظلة أحسن ما يُتمسَّك به لإثبات الولاية العامّة للفقيه، وأمّا ما عداه فلا يدلّ على هذا المدعى بشيءٍ» (الميرزا النائيني، المكاسب والبيع (تقرير أبحاثه بقلم: الآملي) 2: 336).</w:t>
      </w:r>
    </w:p>
  </w:footnote>
  <w:footnote w:id="644">
    <w:p w:rsidR="00F93F13" w:rsidRPr="00064619" w:rsidRDefault="00F93F13" w:rsidP="00064619">
      <w:pPr>
        <w:pStyle w:val="FootnoteText"/>
      </w:pPr>
      <w:r w:rsidRPr="00064619">
        <w:rPr>
          <w:rtl/>
        </w:rPr>
        <w:t>(</w:t>
      </w:r>
      <w:r w:rsidRPr="00064619">
        <w:rPr>
          <w:rtl/>
        </w:rPr>
        <w:footnoteRef/>
      </w:r>
      <w:r w:rsidRPr="00064619">
        <w:rPr>
          <w:rtl/>
        </w:rPr>
        <w:t xml:space="preserve">) جواهر الكلام 21: 295، و40: 17 ـ 19؛ بلغة الفقيه 3: 233، رسالات في الولايات؛ رسالة هداية الأنام في حكم أموال الإمام×: 145؛ منية الطالب ( تقرير أبحاث النائيني بقلم: الخوانساري) 2: 327؛ الأنصاري، كتاب القضاء والشهادات: 48 ـ 49؛ مهذَّب الأحكام 11: 279؛ الگلپايگاني، الهداية إلى من له الولاية (تقرير أبحاث الگلپايگاني بقلم: الصابري): 37؛ </w:t>
      </w:r>
      <w:r>
        <w:rPr>
          <w:rFonts w:hint="cs"/>
          <w:rtl/>
        </w:rPr>
        <w:t xml:space="preserve">السيد </w:t>
      </w:r>
      <w:r w:rsidRPr="00064619">
        <w:rPr>
          <w:rtl/>
        </w:rPr>
        <w:t xml:space="preserve">الخميني، كتاب البيع 2: 476؛ </w:t>
      </w:r>
      <w:r>
        <w:rPr>
          <w:rFonts w:hint="cs"/>
          <w:rtl/>
        </w:rPr>
        <w:t xml:space="preserve">السيد </w:t>
      </w:r>
      <w:r w:rsidRPr="00064619">
        <w:rPr>
          <w:rtl/>
        </w:rPr>
        <w:t>الخميني، الحكومة الإسلامية: 126 ـ 140؛ الآملي، حول الوحي والقيادة.</w:t>
      </w:r>
    </w:p>
  </w:footnote>
  <w:footnote w:id="645">
    <w:p w:rsidR="00F93F13" w:rsidRPr="00064619" w:rsidRDefault="00F93F13" w:rsidP="00064619">
      <w:pPr>
        <w:pStyle w:val="FootnoteText"/>
      </w:pPr>
      <w:r w:rsidRPr="00064619">
        <w:rPr>
          <w:rtl/>
        </w:rPr>
        <w:t>(</w:t>
      </w:r>
      <w:r w:rsidRPr="00064619">
        <w:rPr>
          <w:rtl/>
        </w:rPr>
        <w:footnoteRef/>
      </w:r>
      <w:r w:rsidRPr="00064619">
        <w:rPr>
          <w:rtl/>
        </w:rPr>
        <w:t>) «جليل من أصحابنا، ثقة، عين، كثير الرواية» (رجال النجاشي: 333، الراوي رقم 896؛ اختيار معرفة الرجال (رجال الكشي): 817، رقم 1023).</w:t>
      </w:r>
    </w:p>
  </w:footnote>
  <w:footnote w:id="646">
    <w:p w:rsidR="00F93F13" w:rsidRPr="00064619" w:rsidRDefault="00F93F13" w:rsidP="00064619">
      <w:pPr>
        <w:pStyle w:val="FootnoteText"/>
      </w:pPr>
      <w:r w:rsidRPr="00064619">
        <w:rPr>
          <w:rtl/>
        </w:rPr>
        <w:t>(</w:t>
      </w:r>
      <w:r w:rsidRPr="00064619">
        <w:rPr>
          <w:rtl/>
        </w:rPr>
        <w:footnoteRef/>
      </w:r>
      <w:r w:rsidRPr="00064619">
        <w:rPr>
          <w:rtl/>
        </w:rPr>
        <w:t>) «ضعيف، استثناه أبو جعفر محمد بن علي بن بابويه عن رجال نوادر الحكمة، وقال: لا أروي ما يختصّ برواياته وقيل: إنه يذهب مذهب الغلاة» (الطوسي في الفهرست: 140 ـ 141، رقم 601؛ رجال الطوسي، أصحاب الهادي×، وفي مَنْ لم يروِ عن الأئمة</w:t>
      </w:r>
      <w:r w:rsidRPr="00064619">
        <w:rPr>
          <w:rtl/>
        </w:rPr>
        <w:sym w:font="Abz Roumouz" w:char="F028"/>
      </w:r>
      <w:r w:rsidRPr="00064619">
        <w:rPr>
          <w:rtl/>
        </w:rPr>
        <w:t>: 511: «ضعيف»).</w:t>
      </w:r>
    </w:p>
  </w:footnote>
  <w:footnote w:id="647">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1: 428.</w:t>
      </w:r>
    </w:p>
  </w:footnote>
  <w:footnote w:id="648">
    <w:p w:rsidR="00F93F13" w:rsidRPr="00064619" w:rsidRDefault="00F93F13" w:rsidP="00064619">
      <w:pPr>
        <w:pStyle w:val="FootnoteText"/>
      </w:pPr>
      <w:r w:rsidRPr="00064619">
        <w:rPr>
          <w:rtl/>
        </w:rPr>
        <w:t>(</w:t>
      </w:r>
      <w:r w:rsidRPr="00064619">
        <w:rPr>
          <w:rtl/>
        </w:rPr>
        <w:footnoteRef/>
      </w:r>
      <w:r w:rsidRPr="00064619">
        <w:rPr>
          <w:rtl/>
        </w:rPr>
        <w:t>) «كوفيّ ثقة» (رجال النجاشي: 159، رقم 421).</w:t>
      </w:r>
    </w:p>
  </w:footnote>
  <w:footnote w:id="649">
    <w:p w:rsidR="00F93F13" w:rsidRPr="00064619" w:rsidRDefault="00F93F13" w:rsidP="00064619">
      <w:pPr>
        <w:pStyle w:val="FootnoteText"/>
      </w:pPr>
      <w:r w:rsidRPr="00064619">
        <w:rPr>
          <w:rtl/>
        </w:rPr>
        <w:t>(</w:t>
      </w:r>
      <w:r w:rsidRPr="00064619">
        <w:rPr>
          <w:rtl/>
        </w:rPr>
        <w:footnoteRef/>
      </w:r>
      <w:r w:rsidRPr="00064619">
        <w:rPr>
          <w:rtl/>
        </w:rPr>
        <w:t>) انظر: الطوسيّ، عدّة الأصول 1: 134؛ دراسات في ولاية الفقيه 1: 429.</w:t>
      </w:r>
    </w:p>
  </w:footnote>
  <w:footnote w:id="650">
    <w:p w:rsidR="00F93F13" w:rsidRPr="00064619" w:rsidRDefault="00F93F13" w:rsidP="00064619">
      <w:pPr>
        <w:pStyle w:val="FootnoteText"/>
      </w:pPr>
      <w:r w:rsidRPr="00064619">
        <w:rPr>
          <w:rtl/>
        </w:rPr>
        <w:t>(</w:t>
      </w:r>
      <w:r w:rsidRPr="00064619">
        <w:rPr>
          <w:rtl/>
        </w:rPr>
        <w:footnoteRef/>
      </w:r>
      <w:r w:rsidRPr="00064619">
        <w:rPr>
          <w:rtl/>
        </w:rPr>
        <w:t>) «عدّه الشيخ تارة من أصحاب الباقر×، وأخرى من أصحاب الصادق×، وشرح الحال أنه لم ينصّ على الرجل في كتب الرجال بشيءٍ...» (المامقاني، تنقيح المقال 2: 342).</w:t>
      </w:r>
    </w:p>
  </w:footnote>
  <w:footnote w:id="651">
    <w:p w:rsidR="00F93F13" w:rsidRPr="00064619" w:rsidRDefault="00F93F13" w:rsidP="00064619">
      <w:pPr>
        <w:pStyle w:val="FootnoteText"/>
        <w:rPr>
          <w:rtl/>
        </w:rPr>
      </w:pPr>
      <w:r w:rsidRPr="00064619">
        <w:rPr>
          <w:rtl/>
        </w:rPr>
        <w:t>(</w:t>
      </w:r>
      <w:r w:rsidRPr="00064619">
        <w:rPr>
          <w:rtl/>
        </w:rPr>
        <w:footnoteRef/>
      </w:r>
      <w:r w:rsidRPr="00064619">
        <w:rPr>
          <w:rtl/>
        </w:rPr>
        <w:t xml:space="preserve">) الكليني، عن علي بن إبراهيم، عن محمد بن عيسى، عن يونس، عن يزيد بن خليفة، قال: «قلت لأبي عبد الله×: إن عمر بن حنظلة أتانا عنك بوقت، فقال أبو عبد الله×: إذاً لا يكذب (الكافي3: 275، كتاب الصلاة، باب وقت الظهر والعصر، الحديث 1). </w:t>
      </w:r>
    </w:p>
    <w:p w:rsidR="00F93F13" w:rsidRPr="00064619" w:rsidRDefault="00F93F13" w:rsidP="00714EFE">
      <w:pPr>
        <w:pStyle w:val="FootnoteText"/>
        <w:ind w:firstLine="0"/>
      </w:pPr>
      <w:r w:rsidRPr="00064619">
        <w:rPr>
          <w:rtl/>
        </w:rPr>
        <w:t>الطوسي بسنده عن الحسين بن سعيد، عن فضالة، عن أبان، عن إسماعيل الجعفي، عن عمر بن حنظلة، قال: قلت لأبي عبد الله×: القنوت يوم الجمعة؟ فقال×: أنت رسولي إليهم في هذا إذا صليتم في جماعة...» (تهذيب الأحكام 3: 16، كتاب الصلاة، باب العمل في ليلة الجمعة ويومها، الحديث 57).</w:t>
      </w:r>
    </w:p>
  </w:footnote>
  <w:footnote w:id="652">
    <w:p w:rsidR="00F93F13" w:rsidRPr="00064619" w:rsidRDefault="00F93F13" w:rsidP="00064619">
      <w:pPr>
        <w:pStyle w:val="FootnoteText"/>
      </w:pPr>
      <w:r w:rsidRPr="00064619">
        <w:rPr>
          <w:rtl/>
        </w:rPr>
        <w:t>(</w:t>
      </w:r>
      <w:r w:rsidRPr="00064619">
        <w:rPr>
          <w:rtl/>
        </w:rPr>
        <w:footnoteRef/>
      </w:r>
      <w:r w:rsidRPr="00064619">
        <w:rPr>
          <w:rtl/>
        </w:rPr>
        <w:t>) «ويفهم من هذين الحديثين توثيقه» (تنقيح المقال 2: 342).</w:t>
      </w:r>
    </w:p>
  </w:footnote>
  <w:footnote w:id="653">
    <w:p w:rsidR="00F93F13" w:rsidRPr="00064619" w:rsidRDefault="00F93F13" w:rsidP="00064619">
      <w:pPr>
        <w:pStyle w:val="FootnoteText"/>
      </w:pPr>
      <w:r w:rsidRPr="00064619">
        <w:rPr>
          <w:rtl/>
        </w:rPr>
        <w:t>(</w:t>
      </w:r>
      <w:r w:rsidRPr="00064619">
        <w:rPr>
          <w:rtl/>
        </w:rPr>
        <w:footnoteRef/>
      </w:r>
      <w:r w:rsidRPr="00064619">
        <w:rPr>
          <w:rtl/>
        </w:rPr>
        <w:t>) «...إني حقَّقت توثيقه في محل آخر...» (الشهيد الثاني، الدراية في علم مصطلح الحديث: 44).</w:t>
      </w:r>
    </w:p>
  </w:footnote>
  <w:footnote w:id="654">
    <w:p w:rsidR="00F93F13" w:rsidRPr="00064619" w:rsidRDefault="00F93F13" w:rsidP="00064619">
      <w:pPr>
        <w:pStyle w:val="FootnoteText"/>
      </w:pPr>
      <w:r w:rsidRPr="00064619">
        <w:rPr>
          <w:rtl/>
        </w:rPr>
        <w:t>(</w:t>
      </w:r>
      <w:r w:rsidRPr="00064619">
        <w:rPr>
          <w:rtl/>
        </w:rPr>
        <w:footnoteRef/>
      </w:r>
      <w:r w:rsidRPr="00064619">
        <w:rPr>
          <w:rtl/>
        </w:rPr>
        <w:t>) «وقع بهذا العنوان في أسناد كثير من الروايات تبلغ سبعين مورداً» (معجم رجال الحديث 13: 29).</w:t>
      </w:r>
    </w:p>
  </w:footnote>
  <w:footnote w:id="655">
    <w:p w:rsidR="00F93F13" w:rsidRPr="00064619" w:rsidRDefault="00F93F13" w:rsidP="00064619">
      <w:pPr>
        <w:pStyle w:val="FootnoteText"/>
      </w:pPr>
      <w:r w:rsidRPr="00064619">
        <w:rPr>
          <w:rtl/>
        </w:rPr>
        <w:t>(</w:t>
      </w:r>
      <w:r w:rsidRPr="00064619">
        <w:rPr>
          <w:rtl/>
        </w:rPr>
        <w:footnoteRef/>
      </w:r>
      <w:r w:rsidRPr="00064619">
        <w:rPr>
          <w:rtl/>
        </w:rPr>
        <w:t>) عن علي بن حنظلة، قال: سمعت أبا عبد الله×، يقول: «اعرفوا منازل الناس على قدر روايتهم عنّا» (أصول الكافي، كتاب فضل العلوم، باب النوادر، حديث 13).</w:t>
      </w:r>
    </w:p>
  </w:footnote>
  <w:footnote w:id="656">
    <w:p w:rsidR="00F93F13" w:rsidRPr="00064619" w:rsidRDefault="00F93F13" w:rsidP="00064619">
      <w:pPr>
        <w:pStyle w:val="FootnoteText"/>
      </w:pPr>
      <w:r w:rsidRPr="00064619">
        <w:rPr>
          <w:rtl/>
        </w:rPr>
        <w:t>(</w:t>
      </w:r>
      <w:r w:rsidRPr="00064619">
        <w:rPr>
          <w:rtl/>
        </w:rPr>
        <w:footnoteRef/>
      </w:r>
      <w:r w:rsidRPr="00064619">
        <w:rPr>
          <w:rtl/>
        </w:rPr>
        <w:t>) «ثامن عشرها: المقبول، وهو ما تلقّوه بالقبول والعمل بالمضمون، من غير التفات إلى صحته وعدمها، كحديث عمر بن حنظلة في حال المتخاصمين. وإنّما وسموه بالقبول لأن في طريقه محمد بن عدي [الظاهر أنه محمد بن عيسى] وداود بن الحصين، وهما ضعيفان، وعمر بن حنظلة لم ينصّ الأصحاب فيه بجرح ولا تعديل، لكن أمره عندي سهل؛ لأني حققت توثيقه في محلّ آخر، وإن كانوا قد أهملوه، ومع ما ترى في هذا الإسناد قد قبل الأصحاب متنه، وعملوا بمضمونه، بل جعلوه عمدة التفقّه، واستنبطوا منه شرائطه كلّها، وسمّوه مقبولاً،ومثله في تضاعيف أحاديث الفقه كثيرٌ» (الشهيد الثاني، الدراية في علم مصطلح الحديث: 44). يا ليت أن هذا الفقيه الكبير قد أشار على الأقلّ إلى رواية واحدة غير هذه الرواية تعدّ «مقبولة».</w:t>
      </w:r>
    </w:p>
  </w:footnote>
  <w:footnote w:id="657">
    <w:p w:rsidR="00F93F13" w:rsidRPr="00064619" w:rsidRDefault="00F93F13" w:rsidP="00064619">
      <w:pPr>
        <w:pStyle w:val="FootnoteText"/>
      </w:pPr>
      <w:r w:rsidRPr="00064619">
        <w:rPr>
          <w:rtl/>
        </w:rPr>
        <w:t>(</w:t>
      </w:r>
      <w:r w:rsidRPr="00064619">
        <w:rPr>
          <w:rtl/>
        </w:rPr>
        <w:footnoteRef/>
      </w:r>
      <w:r w:rsidRPr="00064619">
        <w:rPr>
          <w:rtl/>
        </w:rPr>
        <w:t xml:space="preserve">) راجع على سبيل المثال: </w:t>
      </w:r>
      <w:r>
        <w:rPr>
          <w:rFonts w:hint="cs"/>
          <w:rtl/>
        </w:rPr>
        <w:t xml:space="preserve">السيد </w:t>
      </w:r>
      <w:r w:rsidRPr="00064619">
        <w:rPr>
          <w:rtl/>
        </w:rPr>
        <w:t>الخميني، كتاب البيع 2: 476: «والرواية من المقبولات التي دار عليها رحى القضاء، وعمل الأصحاب بها حتى اتصفت بالمقبولة، فضعفها سنداً بعمر بن حنظلة مجبورٌ، مع أن الشواهد الكثيرة المذكورة في محلّه لو لم تدلّ على وثاقته فلا أقلّ من دلالتها على حسنه، فلا إشكال من جهة السند».</w:t>
      </w:r>
    </w:p>
  </w:footnote>
  <w:footnote w:id="658">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478 ـ 479.</w:t>
      </w:r>
    </w:p>
  </w:footnote>
  <w:footnote w:id="659">
    <w:p w:rsidR="00F93F13" w:rsidRPr="00064619" w:rsidRDefault="00F93F13" w:rsidP="00064619">
      <w:pPr>
        <w:pStyle w:val="FootnoteText"/>
      </w:pPr>
      <w:r w:rsidRPr="00064619">
        <w:rPr>
          <w:rtl/>
        </w:rPr>
        <w:t>(</w:t>
      </w:r>
      <w:r w:rsidRPr="00064619">
        <w:rPr>
          <w:rtl/>
        </w:rPr>
        <w:footnoteRef/>
      </w:r>
      <w:r w:rsidRPr="00064619">
        <w:rPr>
          <w:rtl/>
        </w:rPr>
        <w:t>) المصدر نفسه 2: 480 ـ 481.</w:t>
      </w:r>
    </w:p>
  </w:footnote>
  <w:footnote w:id="660">
    <w:p w:rsidR="00F93F13" w:rsidRPr="00064619" w:rsidRDefault="00F93F13" w:rsidP="00064619">
      <w:pPr>
        <w:pStyle w:val="FootnoteText"/>
      </w:pPr>
      <w:r w:rsidRPr="00504ADB">
        <w:rPr>
          <w:color w:val="000000" w:themeColor="text1"/>
          <w:rtl/>
        </w:rPr>
        <w:t>(</w:t>
      </w:r>
      <w:r w:rsidRPr="00504ADB">
        <w:rPr>
          <w:color w:val="000000" w:themeColor="text1"/>
          <w:rtl/>
        </w:rPr>
        <w:footnoteRef/>
      </w:r>
      <w:r w:rsidRPr="00504ADB">
        <w:rPr>
          <w:color w:val="000000" w:themeColor="text1"/>
          <w:rtl/>
        </w:rPr>
        <w:t>) هذه القرائن مأخوذة بشكل ملخَّص من كتاب البيع للسيد الخميني 2: 476 ـ 481. ويمكن الرجوع أيضاً إلى أنوار الفقاهة1: 495 ـ 496، كتاب البيع.</w:t>
      </w:r>
    </w:p>
  </w:footnote>
  <w:footnote w:id="661">
    <w:p w:rsidR="00F93F13" w:rsidRPr="00064619" w:rsidRDefault="00F93F13" w:rsidP="00064619">
      <w:pPr>
        <w:pStyle w:val="FootnoteText"/>
      </w:pPr>
      <w:r w:rsidRPr="00064619">
        <w:rPr>
          <w:rtl/>
        </w:rPr>
        <w:t>(</w:t>
      </w:r>
      <w:r w:rsidRPr="00064619">
        <w:rPr>
          <w:rtl/>
        </w:rPr>
        <w:footnoteRef/>
      </w:r>
      <w:r w:rsidRPr="00064619">
        <w:rPr>
          <w:rtl/>
        </w:rPr>
        <w:t>) راجع على سبيل المثال: المراغي، العناوين، العنوان 74؛ الدربندي، خزائن الأحكام (</w:t>
      </w:r>
      <w:r>
        <w:rPr>
          <w:rFonts w:hint="cs"/>
          <w:rtl/>
        </w:rPr>
        <w:t>ال</w:t>
      </w:r>
      <w:r w:rsidRPr="00064619">
        <w:rPr>
          <w:rtl/>
        </w:rPr>
        <w:t>طبع</w:t>
      </w:r>
      <w:r>
        <w:rPr>
          <w:rFonts w:hint="cs"/>
          <w:rtl/>
        </w:rPr>
        <w:t>ة</w:t>
      </w:r>
      <w:r w:rsidRPr="00064619">
        <w:rPr>
          <w:rtl/>
        </w:rPr>
        <w:t xml:space="preserve"> </w:t>
      </w:r>
      <w:r>
        <w:rPr>
          <w:rFonts w:hint="cs"/>
          <w:rtl/>
        </w:rPr>
        <w:t>ال</w:t>
      </w:r>
      <w:r w:rsidRPr="00064619">
        <w:rPr>
          <w:rtl/>
        </w:rPr>
        <w:t>حجري</w:t>
      </w:r>
      <w:r>
        <w:rPr>
          <w:rFonts w:hint="cs"/>
          <w:rtl/>
        </w:rPr>
        <w:t>ة</w:t>
      </w:r>
      <w:r w:rsidRPr="00064619">
        <w:rPr>
          <w:rtl/>
        </w:rPr>
        <w:t xml:space="preserve"> فاقد للترقيم)؛ المامقاني، غاية الآمال: 418؛ الخراساني، حاشية المكاسب: 94؛ بحث في ولاية الحاكم للفقيه: 245 (المنشور في كتاب حكم نافذ آقا نجفي)؛ نهج الفقاهة: 300؛ مصباح الفقاهة (تقرير أبحاث الخوئي بقلم: التوحيدي) 5: 45؛ التنقيح في شرح العروة الوثقى، كتاب الاجتهاد والتقليد (تقرير أبحاث الخوئي بقلم: الميرزا الغروي): 420، 428؛ الميلاني، محاضرات في فقه الإمامية: 275، كتاب الخمس؛ الشيرازي، كتاب القضاء: 34 ـ 37؛ جامع المدارك 3: 99 ـ 100؛ ابتغاء الفضيلة 2: 216 و219؛ دراسات في ولاية الفقيه 1: 427 و444؛ إرشاد الطالب 3: 31؛ أنوار الفقاهة 1: 493 ـ 500، كتاب البيع؛ الحائري، أساس الحكومة الإسلامية: 145 ـ 147.</w:t>
      </w:r>
    </w:p>
  </w:footnote>
  <w:footnote w:id="662">
    <w:p w:rsidR="00F93F13" w:rsidRPr="00064619" w:rsidRDefault="00F93F13" w:rsidP="00064619">
      <w:pPr>
        <w:pStyle w:val="FootnoteText"/>
        <w:rPr>
          <w:rtl/>
        </w:rPr>
      </w:pPr>
      <w:r w:rsidRPr="00064619">
        <w:rPr>
          <w:rtl/>
        </w:rPr>
        <w:t>(</w:t>
      </w:r>
      <w:r w:rsidRPr="00064619">
        <w:rPr>
          <w:rtl/>
        </w:rPr>
        <w:footnoteRef/>
      </w:r>
      <w:r w:rsidRPr="00064619">
        <w:rPr>
          <w:rtl/>
        </w:rPr>
        <w:t>) «في طريقه محمد بن عدي وداود بن الحصين، وهما ضعيفان» (الشهيد الثاني، الدراية في علم مصطلح الحديث: 44). والظاهر أن مراد الشهيد الثاني هو محمد بن عيسى وداود بن الحصين؛ وذلك لعدم وجود راوٍ باسم محمد بن عدي في كتب الرواية (راجع: معجم رجال الحديث).</w:t>
      </w:r>
    </w:p>
  </w:footnote>
  <w:footnote w:id="663">
    <w:p w:rsidR="00F93F13" w:rsidRPr="00064619" w:rsidRDefault="00F93F13" w:rsidP="00064619">
      <w:pPr>
        <w:pStyle w:val="FootnoteText"/>
        <w:rPr>
          <w:rtl/>
        </w:rPr>
      </w:pPr>
      <w:r w:rsidRPr="00064619">
        <w:rPr>
          <w:rtl/>
        </w:rPr>
        <w:t>(</w:t>
      </w:r>
      <w:r w:rsidRPr="00064619">
        <w:rPr>
          <w:rtl/>
        </w:rPr>
        <w:footnoteRef/>
      </w:r>
      <w:r w:rsidRPr="00064619">
        <w:rPr>
          <w:rtl/>
        </w:rPr>
        <w:t>) رجال الطوسي: 364 (في أصحاب الكاظم×).</w:t>
      </w:r>
    </w:p>
  </w:footnote>
  <w:footnote w:id="664">
    <w:p w:rsidR="00F93F13" w:rsidRPr="00064619" w:rsidRDefault="00F93F13" w:rsidP="00064619">
      <w:pPr>
        <w:pStyle w:val="FootnoteText"/>
        <w:rPr>
          <w:rtl/>
        </w:rPr>
      </w:pPr>
      <w:r w:rsidRPr="00064619">
        <w:rPr>
          <w:rtl/>
        </w:rPr>
        <w:t>(</w:t>
      </w:r>
      <w:r w:rsidRPr="00064619">
        <w:rPr>
          <w:rtl/>
        </w:rPr>
        <w:footnoteRef/>
      </w:r>
      <w:r w:rsidRPr="00064619">
        <w:rPr>
          <w:rtl/>
        </w:rPr>
        <w:t>) دراسات في ولاية الفقيه 1: 429؛ أنوار الفقاهة 1: 495.</w:t>
      </w:r>
    </w:p>
  </w:footnote>
  <w:footnote w:id="665">
    <w:p w:rsidR="00F93F13" w:rsidRPr="00064619" w:rsidRDefault="00F93F13" w:rsidP="00064619">
      <w:pPr>
        <w:pStyle w:val="FootnoteText"/>
        <w:rPr>
          <w:rtl/>
        </w:rPr>
      </w:pPr>
      <w:r w:rsidRPr="00064619">
        <w:rPr>
          <w:rtl/>
        </w:rPr>
        <w:t>(</w:t>
      </w:r>
      <w:r w:rsidRPr="00064619">
        <w:rPr>
          <w:rtl/>
        </w:rPr>
        <w:footnoteRef/>
      </w:r>
      <w:r w:rsidRPr="00064619">
        <w:rPr>
          <w:rtl/>
        </w:rPr>
        <w:t>) الدراية في علم مصطلح الحديث: 44.</w:t>
      </w:r>
    </w:p>
  </w:footnote>
  <w:footnote w:id="666">
    <w:p w:rsidR="00F93F13" w:rsidRPr="00064619" w:rsidRDefault="00F93F13" w:rsidP="00064619">
      <w:pPr>
        <w:pStyle w:val="FootnoteText"/>
        <w:rPr>
          <w:rtl/>
        </w:rPr>
      </w:pPr>
      <w:r w:rsidRPr="00064619">
        <w:rPr>
          <w:rtl/>
        </w:rPr>
        <w:t>(</w:t>
      </w:r>
      <w:r w:rsidRPr="00064619">
        <w:rPr>
          <w:rtl/>
        </w:rPr>
        <w:footnoteRef/>
      </w:r>
      <w:r w:rsidRPr="00064619">
        <w:rPr>
          <w:rtl/>
        </w:rPr>
        <w:t>) مسالك الإفهام إلى تنقيح شرائع الإسلام 13: 335، تحقيق ونشر: مؤسسة المعلوف الإسلامية، قم، الطبعة الأولى، 1418هـ.</w:t>
      </w:r>
    </w:p>
  </w:footnote>
  <w:footnote w:id="667">
    <w:p w:rsidR="00F93F13" w:rsidRPr="00064619" w:rsidRDefault="00F93F13" w:rsidP="00064619">
      <w:pPr>
        <w:pStyle w:val="FootnoteText"/>
        <w:rPr>
          <w:rtl/>
        </w:rPr>
      </w:pPr>
      <w:r w:rsidRPr="00064619">
        <w:rPr>
          <w:rtl/>
        </w:rPr>
        <w:t>(</w:t>
      </w:r>
      <w:r w:rsidRPr="00064619">
        <w:rPr>
          <w:rtl/>
        </w:rPr>
        <w:footnoteRef/>
      </w:r>
      <w:r w:rsidRPr="00064619">
        <w:rPr>
          <w:rtl/>
        </w:rPr>
        <w:t>) التنقيح في شرح العروة الوثقى (بقلم: الميرزا علي الغروي التبريزي، تقريراً لبحث السيد الخوئي): 143، 428، كتاب الاجتهاد والتقليد، حيث يقول: «إن الرواية ضعيفة السند بعمر بن حنظلة؛ إذ لم يرِدْ في حقّه توثيقٌ ولا مدح، وإن سُمِّيت روايته هذه بالمقبولة، وكأنّها ممّا تلقَّته الأصحاب بالقبول، وإنْ لم يثبت هذا أيضاً»؛ وانظر أيضاً: معجم رجال الحديث 13: 27، رقم 8723.</w:t>
      </w:r>
    </w:p>
  </w:footnote>
  <w:footnote w:id="668">
    <w:p w:rsidR="00F93F13" w:rsidRPr="00064619" w:rsidRDefault="00F93F13" w:rsidP="00714EFE">
      <w:pPr>
        <w:pStyle w:val="FootnoteText"/>
        <w:spacing w:line="175" w:lineRule="auto"/>
      </w:pPr>
      <w:r w:rsidRPr="00064619">
        <w:rPr>
          <w:rtl/>
        </w:rPr>
        <w:t>(</w:t>
      </w:r>
      <w:r w:rsidRPr="00064619">
        <w:rPr>
          <w:rtl/>
        </w:rPr>
        <w:footnoteRef/>
      </w:r>
      <w:r w:rsidRPr="00064619">
        <w:rPr>
          <w:rtl/>
        </w:rPr>
        <w:t xml:space="preserve">) وهذا المثال إشارة إلى تقوى فقهائنا الكبار. وقصة الاستفتاء هذه هي عن العلامة الحلّي عندما استفتي حول منزوحات البئر، فلم يجب على الاستفتاء إلاّ بعد أن قام بتعطيل البئر الموجود في بيته حتى لا يكون هناك أي نفع شخصيّ يؤثِّر على الاستنباط الصحيح لحكم الله في هذه المسألة. </w:t>
      </w:r>
    </w:p>
  </w:footnote>
  <w:footnote w:id="669">
    <w:p w:rsidR="00F93F13" w:rsidRPr="00064619" w:rsidRDefault="00F93F13" w:rsidP="00714EFE">
      <w:pPr>
        <w:pStyle w:val="FootnoteText"/>
        <w:spacing w:line="175" w:lineRule="auto"/>
      </w:pPr>
      <w:r w:rsidRPr="00064619">
        <w:rPr>
          <w:rtl/>
        </w:rPr>
        <w:t>(</w:t>
      </w:r>
      <w:r w:rsidRPr="00064619">
        <w:rPr>
          <w:rtl/>
        </w:rPr>
        <w:footnoteRef/>
      </w:r>
      <w:r w:rsidRPr="00064619">
        <w:rPr>
          <w:rtl/>
        </w:rPr>
        <w:t>) راجع: لسان العرب 11: 111، مادة «جعل»، وقوله تعالى: ﴿وَجَعَلُوا الْمَلاَئِكَةَ الَّذِينَ هُمْ عِبَادُ الرَّحْمَنِ إِنَاثاً﴾. قال الزَّجاج: الجعل هنا بمعنى القول والحكم على الشيء، كما تقول: «قد جعلت زيداً أعلم الناس، أي قد وصفت بذلك وحكمت به».</w:t>
      </w:r>
    </w:p>
  </w:footnote>
  <w:footnote w:id="670">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1: 454.</w:t>
      </w:r>
    </w:p>
  </w:footnote>
  <w:footnote w:id="671">
    <w:p w:rsidR="00F93F13" w:rsidRPr="00064619" w:rsidRDefault="00F93F13" w:rsidP="00064619">
      <w:pPr>
        <w:pStyle w:val="FootnoteText"/>
      </w:pPr>
      <w:r w:rsidRPr="00064619">
        <w:rPr>
          <w:rtl/>
        </w:rPr>
        <w:t>(</w:t>
      </w:r>
      <w:r w:rsidRPr="00064619">
        <w:rPr>
          <w:rtl/>
        </w:rPr>
        <w:footnoteRef/>
      </w:r>
      <w:r w:rsidRPr="00064619">
        <w:rPr>
          <w:rtl/>
        </w:rPr>
        <w:t>) المراغي، العناوين: 358.</w:t>
      </w:r>
    </w:p>
  </w:footnote>
  <w:footnote w:id="672">
    <w:p w:rsidR="00F93F13" w:rsidRPr="00064619" w:rsidRDefault="00F93F13" w:rsidP="00064619">
      <w:pPr>
        <w:pStyle w:val="FootnoteText"/>
      </w:pPr>
      <w:r w:rsidRPr="00064619">
        <w:rPr>
          <w:rtl/>
        </w:rPr>
        <w:t>(</w:t>
      </w:r>
      <w:r w:rsidRPr="00064619">
        <w:rPr>
          <w:rtl/>
        </w:rPr>
        <w:footnoteRef/>
      </w:r>
      <w:r w:rsidRPr="00064619">
        <w:rPr>
          <w:rtl/>
        </w:rPr>
        <w:t>) مقتبس من مناقشات الشيخ منتظري في كتاب دراسات في ولاية الفقيه 1: 446 ـ 447.</w:t>
      </w:r>
    </w:p>
  </w:footnote>
  <w:footnote w:id="673">
    <w:p w:rsidR="00F93F13" w:rsidRPr="00064619" w:rsidRDefault="00F93F13" w:rsidP="00064619">
      <w:pPr>
        <w:pStyle w:val="FootnoteText"/>
      </w:pPr>
      <w:r w:rsidRPr="00064619">
        <w:rPr>
          <w:rtl/>
        </w:rPr>
        <w:t>(</w:t>
      </w:r>
      <w:r w:rsidRPr="00064619">
        <w:rPr>
          <w:rtl/>
        </w:rPr>
        <w:footnoteRef/>
      </w:r>
      <w:r w:rsidRPr="00064619">
        <w:rPr>
          <w:rtl/>
        </w:rPr>
        <w:t>) راجع:</w:t>
      </w:r>
      <w:r w:rsidRPr="00714EFE">
        <w:rPr>
          <w:sz w:val="18"/>
          <w:szCs w:val="24"/>
          <w:rtl/>
        </w:rPr>
        <w:t xml:space="preserve"> دراسات في ولاية الفقيه 1: 445 ـ 448؛ أنوار الفقاهة 1: 496 ـ 498، كتاب البيع.</w:t>
      </w:r>
    </w:p>
  </w:footnote>
  <w:footnote w:id="674">
    <w:p w:rsidR="00F93F13" w:rsidRPr="00064619" w:rsidRDefault="00F93F13" w:rsidP="00064619">
      <w:pPr>
        <w:pStyle w:val="FootnoteText"/>
      </w:pPr>
      <w:r w:rsidRPr="00064619">
        <w:rPr>
          <w:rtl/>
        </w:rPr>
        <w:t>(</w:t>
      </w:r>
      <w:r w:rsidRPr="00064619">
        <w:rPr>
          <w:rtl/>
        </w:rPr>
        <w:footnoteRef/>
      </w:r>
      <w:r w:rsidRPr="00064619">
        <w:rPr>
          <w:rtl/>
        </w:rPr>
        <w:t>) نهج الفقاهة: 300.</w:t>
      </w:r>
    </w:p>
  </w:footnote>
  <w:footnote w:id="675">
    <w:p w:rsidR="00F93F13" w:rsidRPr="00064619" w:rsidRDefault="00F93F13" w:rsidP="00064619">
      <w:pPr>
        <w:pStyle w:val="FootnoteText"/>
      </w:pPr>
      <w:r w:rsidRPr="00064619">
        <w:rPr>
          <w:rtl/>
        </w:rPr>
        <w:t>(</w:t>
      </w:r>
      <w:r w:rsidRPr="00064619">
        <w:rPr>
          <w:rtl/>
        </w:rPr>
        <w:footnoteRef/>
      </w:r>
      <w:r w:rsidRPr="00064619">
        <w:rPr>
          <w:rtl/>
        </w:rPr>
        <w:t>) تهذيب الأحكام 6: 303، كتاب القضاء، باب من الزيارات والقضايا والأحكام، الحديث 53: «الطوسي بإسناده عن محمد بن علي بن محبوب، عن أحمد بن محمد، عن الحسين بن سعيد، عن أبي الجهم، عن أبي خديجة».</w:t>
      </w:r>
    </w:p>
  </w:footnote>
  <w:footnote w:id="676">
    <w:p w:rsidR="00F93F13" w:rsidRPr="00064619" w:rsidRDefault="00F93F13" w:rsidP="00064619">
      <w:pPr>
        <w:pStyle w:val="FootnoteText"/>
      </w:pPr>
      <w:r w:rsidRPr="00064619">
        <w:rPr>
          <w:rtl/>
        </w:rPr>
        <w:t>(</w:t>
      </w:r>
      <w:r w:rsidRPr="00064619">
        <w:rPr>
          <w:rtl/>
        </w:rPr>
        <w:footnoteRef/>
      </w:r>
      <w:r w:rsidRPr="00064619">
        <w:rPr>
          <w:rtl/>
        </w:rPr>
        <w:t>) الكافي 7: 412، كتاب القضاء، باب كراهية الترافع إلى قضاة الجور، الحديث 4: «الكليني، عن الحسين بن محمد، عن معلى بن محمد، عن الحسن بن علي، عن أبي خديجة». وقد ورد في رواية الكليني: «شيئاً من قضائنا»، بدل قوله×: «قد عرف حلالنا وحرامنا».</w:t>
      </w:r>
    </w:p>
  </w:footnote>
  <w:footnote w:id="677">
    <w:p w:rsidR="00F93F13" w:rsidRPr="00064619" w:rsidRDefault="00F93F13" w:rsidP="00064619">
      <w:pPr>
        <w:pStyle w:val="FootnoteText"/>
      </w:pPr>
      <w:r w:rsidRPr="00064619">
        <w:rPr>
          <w:rtl/>
        </w:rPr>
        <w:t>(</w:t>
      </w:r>
      <w:r w:rsidRPr="00064619">
        <w:rPr>
          <w:rtl/>
        </w:rPr>
        <w:footnoteRef/>
      </w:r>
      <w:r w:rsidRPr="00064619">
        <w:rPr>
          <w:rtl/>
        </w:rPr>
        <w:t>) من لا يحضره الفقيه 3: 2، الحديث الأوّل: «محمد بن علي بن الحسين بإسناده عن أحمد بن عائذ،عن أبي خديجة». وقد ورد في رواية الصدوق: «يعلم شيئاً من قضايانا»، بدل قوله×: «قد عرف حلالنا وحرامنا».</w:t>
      </w:r>
    </w:p>
  </w:footnote>
  <w:footnote w:id="678">
    <w:p w:rsidR="00F93F13" w:rsidRPr="00064619" w:rsidRDefault="00F93F13" w:rsidP="00064619">
      <w:pPr>
        <w:pStyle w:val="FootnoteText"/>
      </w:pPr>
      <w:r w:rsidRPr="00064619">
        <w:rPr>
          <w:rtl/>
        </w:rPr>
        <w:t>(</w:t>
      </w:r>
      <w:r w:rsidRPr="00064619">
        <w:rPr>
          <w:rtl/>
        </w:rPr>
        <w:footnoteRef/>
      </w:r>
      <w:r w:rsidRPr="00064619">
        <w:rPr>
          <w:rtl/>
        </w:rPr>
        <w:t xml:space="preserve">) جواهر الكلام 21: 395 و40: 17 ـ 20؛ </w:t>
      </w:r>
      <w:r>
        <w:rPr>
          <w:rFonts w:hint="cs"/>
          <w:rtl/>
        </w:rPr>
        <w:t xml:space="preserve">السيد </w:t>
      </w:r>
      <w:r w:rsidRPr="00064619">
        <w:rPr>
          <w:rtl/>
        </w:rPr>
        <w:t xml:space="preserve">الخميني، كتاب البيع 2: 479 ـ 480؛ </w:t>
      </w:r>
      <w:r>
        <w:rPr>
          <w:rFonts w:hint="cs"/>
          <w:rtl/>
        </w:rPr>
        <w:t xml:space="preserve">السيد </w:t>
      </w:r>
      <w:r w:rsidRPr="00064619">
        <w:rPr>
          <w:rtl/>
        </w:rPr>
        <w:t>الخميني، الحكومة الإسلامية: 139 ـ 144.</w:t>
      </w:r>
    </w:p>
  </w:footnote>
  <w:footnote w:id="679">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1: 430 ـ 431.</w:t>
      </w:r>
    </w:p>
  </w:footnote>
  <w:footnote w:id="680">
    <w:p w:rsidR="00F93F13" w:rsidRPr="00064619" w:rsidRDefault="00F93F13" w:rsidP="00064619">
      <w:pPr>
        <w:pStyle w:val="FootnoteText"/>
      </w:pPr>
      <w:r w:rsidRPr="00064619">
        <w:rPr>
          <w:rtl/>
        </w:rPr>
        <w:t>(</w:t>
      </w:r>
      <w:r w:rsidRPr="00064619">
        <w:rPr>
          <w:rtl/>
        </w:rPr>
        <w:footnoteRef/>
      </w:r>
      <w:r w:rsidRPr="00064619">
        <w:rPr>
          <w:rtl/>
        </w:rPr>
        <w:t>) الطوسي، الفهرست: 79، الرقم 327: «ضعيف». وقد عُدَّ في رجال الطوسي: 209 من أصحاب الإمام الصادق×، بدون توثيق أو تضعيف.</w:t>
      </w:r>
    </w:p>
  </w:footnote>
  <w:footnote w:id="681">
    <w:p w:rsidR="00F93F13" w:rsidRPr="00064619" w:rsidRDefault="00F93F13" w:rsidP="00B57E2A">
      <w:pPr>
        <w:pStyle w:val="FootnoteText"/>
      </w:pPr>
      <w:r w:rsidRPr="00064619">
        <w:rPr>
          <w:rtl/>
        </w:rPr>
        <w:t>(</w:t>
      </w:r>
      <w:r w:rsidRPr="00064619">
        <w:rPr>
          <w:rtl/>
        </w:rPr>
        <w:footnoteRef/>
      </w:r>
      <w:r w:rsidRPr="00064619">
        <w:rPr>
          <w:rtl/>
        </w:rPr>
        <w:t>) رجال العلامة الحلي: 227: «قال الشيخ الطوسي: إنه ضعيف. وقال في موضع آخر: إنه ثقة».</w:t>
      </w:r>
    </w:p>
  </w:footnote>
  <w:footnote w:id="682">
    <w:p w:rsidR="00F93F13" w:rsidRPr="00064619" w:rsidRDefault="00F93F13" w:rsidP="00064619">
      <w:pPr>
        <w:pStyle w:val="FootnoteText"/>
      </w:pPr>
      <w:r w:rsidRPr="00064619">
        <w:rPr>
          <w:rtl/>
        </w:rPr>
        <w:t>(</w:t>
      </w:r>
      <w:r w:rsidRPr="00064619">
        <w:rPr>
          <w:rtl/>
        </w:rPr>
        <w:footnoteRef/>
      </w:r>
      <w:r w:rsidRPr="00064619">
        <w:rPr>
          <w:rtl/>
        </w:rPr>
        <w:t>) رجال النجاشي: 188، الرقم 501: «ثقة ثقة».</w:t>
      </w:r>
    </w:p>
  </w:footnote>
  <w:footnote w:id="683">
    <w:p w:rsidR="00F93F13" w:rsidRPr="00064619" w:rsidRDefault="00F93F13" w:rsidP="00064619">
      <w:pPr>
        <w:pStyle w:val="FootnoteText"/>
      </w:pPr>
      <w:r w:rsidRPr="00064619">
        <w:rPr>
          <w:rtl/>
        </w:rPr>
        <w:t>(</w:t>
      </w:r>
      <w:r w:rsidRPr="00064619">
        <w:rPr>
          <w:rtl/>
        </w:rPr>
        <w:footnoteRef/>
      </w:r>
      <w:r w:rsidRPr="00064619">
        <w:rPr>
          <w:rtl/>
        </w:rPr>
        <w:t>) اختيار معرفة الرجال (رجال الكشي) 1: 641، الرقم 661.</w:t>
      </w:r>
    </w:p>
  </w:footnote>
  <w:footnote w:id="684">
    <w:p w:rsidR="00F93F13" w:rsidRPr="00064619" w:rsidRDefault="00F93F13" w:rsidP="00064619">
      <w:pPr>
        <w:pStyle w:val="FootnoteText"/>
      </w:pPr>
      <w:r w:rsidRPr="00064619">
        <w:rPr>
          <w:rtl/>
        </w:rPr>
        <w:t>(</w:t>
      </w:r>
      <w:r w:rsidRPr="00064619">
        <w:rPr>
          <w:rtl/>
        </w:rPr>
        <w:footnoteRef/>
      </w:r>
      <w:r w:rsidRPr="00064619">
        <w:rPr>
          <w:rtl/>
        </w:rPr>
        <w:t>) قال النجاشي في سالم بن أبي سلمة الكندي السجستاني: «حديثه ليس بالنقيّ، وإن كنا لا نعرف منه إلاّ خيراً». وضعفه ابن الغضائري أيضاً (راجع: معجم رجال الحديث 8: 18).</w:t>
      </w:r>
    </w:p>
  </w:footnote>
  <w:footnote w:id="685">
    <w:p w:rsidR="00F93F13" w:rsidRPr="00064619" w:rsidRDefault="00F93F13" w:rsidP="00064619">
      <w:pPr>
        <w:pStyle w:val="FootnoteText"/>
      </w:pPr>
      <w:r w:rsidRPr="00064619">
        <w:rPr>
          <w:rtl/>
        </w:rPr>
        <w:t>(</w:t>
      </w:r>
      <w:r w:rsidRPr="00064619">
        <w:rPr>
          <w:rtl/>
        </w:rPr>
        <w:footnoteRef/>
      </w:r>
      <w:r w:rsidRPr="00064619">
        <w:rPr>
          <w:rtl/>
        </w:rPr>
        <w:t>) العلامة الحلي مختلف الشيعة.</w:t>
      </w:r>
    </w:p>
  </w:footnote>
  <w:footnote w:id="686">
    <w:p w:rsidR="00F93F13" w:rsidRPr="00064619" w:rsidRDefault="00F93F13" w:rsidP="00064619">
      <w:pPr>
        <w:pStyle w:val="FootnoteText"/>
      </w:pPr>
      <w:r w:rsidRPr="00064619">
        <w:rPr>
          <w:rtl/>
        </w:rPr>
        <w:t>(</w:t>
      </w:r>
      <w:r w:rsidRPr="00064619">
        <w:rPr>
          <w:rtl/>
        </w:rPr>
        <w:footnoteRef/>
      </w:r>
      <w:r w:rsidRPr="00064619">
        <w:rPr>
          <w:rtl/>
        </w:rPr>
        <w:t>) مسالك الإفهام في شرح شرائع الإسلام.</w:t>
      </w:r>
    </w:p>
  </w:footnote>
  <w:footnote w:id="687">
    <w:p w:rsidR="00F93F13" w:rsidRPr="00064619" w:rsidRDefault="00F93F13" w:rsidP="00064619">
      <w:pPr>
        <w:pStyle w:val="FootnoteText"/>
      </w:pPr>
      <w:r w:rsidRPr="00064619">
        <w:rPr>
          <w:rtl/>
        </w:rPr>
        <w:t>(</w:t>
      </w:r>
      <w:r w:rsidRPr="00064619">
        <w:rPr>
          <w:rtl/>
        </w:rPr>
        <w:footnoteRef/>
      </w:r>
      <w:r w:rsidRPr="00064619">
        <w:rPr>
          <w:rtl/>
        </w:rPr>
        <w:t>) معجم رجال الحديث 8: 26.</w:t>
      </w:r>
    </w:p>
  </w:footnote>
  <w:footnote w:id="688">
    <w:p w:rsidR="00F93F13" w:rsidRPr="00064619" w:rsidRDefault="00F93F13" w:rsidP="00064619">
      <w:pPr>
        <w:pStyle w:val="FootnoteText"/>
      </w:pPr>
      <w:r w:rsidRPr="00064619">
        <w:rPr>
          <w:rtl/>
        </w:rPr>
        <w:t>(</w:t>
      </w:r>
      <w:r w:rsidRPr="00064619">
        <w:rPr>
          <w:rtl/>
        </w:rPr>
        <w:footnoteRef/>
      </w:r>
      <w:r w:rsidRPr="00064619">
        <w:rPr>
          <w:rtl/>
        </w:rPr>
        <w:t xml:space="preserve">) راجع: </w:t>
      </w:r>
      <w:r>
        <w:rPr>
          <w:rFonts w:hint="cs"/>
          <w:rtl/>
        </w:rPr>
        <w:t xml:space="preserve">السيد </w:t>
      </w:r>
      <w:r w:rsidRPr="00064619">
        <w:rPr>
          <w:rtl/>
        </w:rPr>
        <w:t xml:space="preserve">الخميني، كتاب البيع 2: 479 ـ 480. وراجع أيضاً بحثه حول مقبولة عمر بن حنظلة. </w:t>
      </w:r>
    </w:p>
  </w:footnote>
  <w:footnote w:id="689">
    <w:p w:rsidR="00F93F13" w:rsidRPr="00064619" w:rsidRDefault="00F93F13" w:rsidP="00064619">
      <w:pPr>
        <w:pStyle w:val="FootnoteText"/>
      </w:pPr>
      <w:r w:rsidRPr="00064619">
        <w:rPr>
          <w:rtl/>
        </w:rPr>
        <w:t>(</w:t>
      </w:r>
      <w:r w:rsidRPr="00064619">
        <w:rPr>
          <w:rtl/>
        </w:rPr>
        <w:footnoteRef/>
      </w:r>
      <w:r w:rsidRPr="00064619">
        <w:rPr>
          <w:rtl/>
        </w:rPr>
        <w:t>) إن جميع الفقهاء الذين ناقشوا في دلالة رواية عمر بن حنظلة ناقشوا أيضاً في الاستدلال برواية أبي خديجة.</w:t>
      </w:r>
    </w:p>
  </w:footnote>
  <w:footnote w:id="690">
    <w:p w:rsidR="00F93F13" w:rsidRPr="00064619" w:rsidRDefault="00F93F13" w:rsidP="00064619">
      <w:pPr>
        <w:pStyle w:val="FootnoteText"/>
      </w:pPr>
      <w:r w:rsidRPr="00064619">
        <w:rPr>
          <w:rtl/>
        </w:rPr>
        <w:t>(</w:t>
      </w:r>
      <w:r w:rsidRPr="00064619">
        <w:rPr>
          <w:rtl/>
        </w:rPr>
        <w:footnoteRef/>
      </w:r>
      <w:r w:rsidRPr="00064619">
        <w:rPr>
          <w:rtl/>
        </w:rPr>
        <w:t>) العلامة الحلّي، خلاصة الرجال، نقلاً عن جامع الرواة، في حديثه حول سالم بن مكرم.</w:t>
      </w:r>
    </w:p>
  </w:footnote>
  <w:footnote w:id="691">
    <w:p w:rsidR="00F93F13" w:rsidRPr="00064619" w:rsidRDefault="00F93F13" w:rsidP="00064619">
      <w:pPr>
        <w:pStyle w:val="FootnoteText"/>
      </w:pPr>
      <w:r w:rsidRPr="00064619">
        <w:rPr>
          <w:rtl/>
        </w:rPr>
        <w:t>(</w:t>
      </w:r>
      <w:r w:rsidRPr="00064619">
        <w:rPr>
          <w:rtl/>
        </w:rPr>
        <w:footnoteRef/>
      </w:r>
      <w:r w:rsidRPr="00064619">
        <w:rPr>
          <w:rtl/>
        </w:rPr>
        <w:t>) النائيني، منية الطالب 2: 326؛ النائيني، المكاسب والبيع 2: 214.</w:t>
      </w:r>
    </w:p>
  </w:footnote>
  <w:footnote w:id="692">
    <w:p w:rsidR="00F93F13" w:rsidRPr="00064619" w:rsidRDefault="00F93F13" w:rsidP="00064619">
      <w:pPr>
        <w:pStyle w:val="FootnoteText"/>
      </w:pPr>
      <w:r w:rsidRPr="00064619">
        <w:rPr>
          <w:rtl/>
        </w:rPr>
        <w:t>(</w:t>
      </w:r>
      <w:r w:rsidRPr="00064619">
        <w:rPr>
          <w:rtl/>
        </w:rPr>
        <w:footnoteRef/>
      </w:r>
      <w:r w:rsidRPr="00064619">
        <w:rPr>
          <w:rtl/>
        </w:rPr>
        <w:t>) منتظري، دراسات في ولاية الفقيه 1: 447.</w:t>
      </w:r>
    </w:p>
  </w:footnote>
  <w:footnote w:id="693">
    <w:p w:rsidR="00F93F13" w:rsidRPr="00064619" w:rsidRDefault="00F93F13" w:rsidP="00B57E2A">
      <w:pPr>
        <w:pStyle w:val="FootnoteText"/>
      </w:pPr>
      <w:r w:rsidRPr="00064619">
        <w:rPr>
          <w:rtl/>
        </w:rPr>
        <w:t>(</w:t>
      </w:r>
      <w:r w:rsidRPr="00064619">
        <w:rPr>
          <w:rtl/>
        </w:rPr>
        <w:footnoteRef/>
      </w:r>
      <w:r w:rsidRPr="00064619">
        <w:rPr>
          <w:rtl/>
        </w:rPr>
        <w:t>) المصدر نفسه 1: 430 ـ 455 وراجع أيضاً: ناصر مكارم الشيرازي، أنوار الفقاهة 1: 500.</w:t>
      </w:r>
    </w:p>
  </w:footnote>
  <w:footnote w:id="694">
    <w:p w:rsidR="00F93F13" w:rsidRPr="00064619" w:rsidRDefault="00F93F13" w:rsidP="00064619">
      <w:pPr>
        <w:pStyle w:val="FootnoteText"/>
      </w:pPr>
      <w:r w:rsidRPr="00064619">
        <w:rPr>
          <w:rtl/>
        </w:rPr>
        <w:t>(</w:t>
      </w:r>
      <w:r w:rsidRPr="00064619">
        <w:rPr>
          <w:rtl/>
        </w:rPr>
        <w:footnoteRef/>
      </w:r>
      <w:r w:rsidRPr="00064619">
        <w:rPr>
          <w:rtl/>
        </w:rPr>
        <w:t>) أصول الكافي 1: 38، كتاب فضل العلم، باب فقه العلماء، الحديث 3: «عن محمد بن يحيى، عن أحمد بن محمد، عن ابن محبوب، عن علي بن أبي حمزة».</w:t>
      </w:r>
    </w:p>
  </w:footnote>
  <w:footnote w:id="695">
    <w:p w:rsidR="00F93F13" w:rsidRPr="00064619" w:rsidRDefault="00F93F13" w:rsidP="00064619">
      <w:pPr>
        <w:pStyle w:val="FootnoteText"/>
      </w:pPr>
      <w:r w:rsidRPr="00064619">
        <w:rPr>
          <w:rtl/>
        </w:rPr>
        <w:t>(</w:t>
      </w:r>
      <w:r w:rsidRPr="00064619">
        <w:rPr>
          <w:rtl/>
        </w:rPr>
        <w:footnoteRef/>
      </w:r>
      <w:r w:rsidRPr="00064619">
        <w:rPr>
          <w:rtl/>
        </w:rPr>
        <w:t xml:space="preserve">) عوائد الأيام: 534؛ الگلپايگاني، الهداية إلى من له الولاية: 34؛ </w:t>
      </w:r>
      <w:r>
        <w:rPr>
          <w:rFonts w:hint="cs"/>
          <w:rtl/>
        </w:rPr>
        <w:t xml:space="preserve">السيد </w:t>
      </w:r>
      <w:r w:rsidRPr="00064619">
        <w:rPr>
          <w:rtl/>
        </w:rPr>
        <w:t xml:space="preserve">الخميني، كتاب البيع 1: 470 ـ 472؛ </w:t>
      </w:r>
      <w:r>
        <w:rPr>
          <w:rFonts w:hint="cs"/>
          <w:rtl/>
        </w:rPr>
        <w:t xml:space="preserve">السيد </w:t>
      </w:r>
      <w:r w:rsidRPr="00064619">
        <w:rPr>
          <w:rtl/>
        </w:rPr>
        <w:t>الخميني، الحكومة الإسلامية: 101 ـ 106.</w:t>
      </w:r>
    </w:p>
  </w:footnote>
  <w:footnote w:id="696">
    <w:p w:rsidR="00F93F13" w:rsidRPr="00064619" w:rsidRDefault="00F93F13" w:rsidP="00064619">
      <w:pPr>
        <w:pStyle w:val="FootnoteText"/>
      </w:pPr>
      <w:r w:rsidRPr="00064619">
        <w:rPr>
          <w:rtl/>
        </w:rPr>
        <w:t>(</w:t>
      </w:r>
      <w:r w:rsidRPr="00064619">
        <w:rPr>
          <w:rtl/>
        </w:rPr>
        <w:footnoteRef/>
      </w:r>
      <w:r w:rsidRPr="00064619">
        <w:rPr>
          <w:rtl/>
        </w:rPr>
        <w:t>) معجم رجال الحديث 11: 214 ـ 227، الرقم 7832.</w:t>
      </w:r>
    </w:p>
  </w:footnote>
  <w:footnote w:id="697">
    <w:p w:rsidR="00F93F13" w:rsidRPr="00064619" w:rsidRDefault="00F93F13" w:rsidP="00064619">
      <w:pPr>
        <w:pStyle w:val="FootnoteText"/>
      </w:pPr>
      <w:r w:rsidRPr="00064619">
        <w:rPr>
          <w:rtl/>
        </w:rPr>
        <w:t>(</w:t>
      </w:r>
      <w:r w:rsidRPr="00064619">
        <w:rPr>
          <w:rtl/>
        </w:rPr>
        <w:footnoteRef/>
      </w:r>
      <w:r w:rsidRPr="00064619">
        <w:rPr>
          <w:rtl/>
        </w:rPr>
        <w:t>) اختيار معرفة الرجال (رجال الكشي): 206، 232.</w:t>
      </w:r>
    </w:p>
  </w:footnote>
  <w:footnote w:id="698">
    <w:p w:rsidR="00F93F13" w:rsidRPr="00064619" w:rsidRDefault="00F93F13" w:rsidP="00064619">
      <w:pPr>
        <w:pStyle w:val="FootnoteText"/>
      </w:pPr>
      <w:r w:rsidRPr="00064619">
        <w:rPr>
          <w:rtl/>
        </w:rPr>
        <w:t>(</w:t>
      </w:r>
      <w:r w:rsidRPr="00064619">
        <w:rPr>
          <w:rtl/>
        </w:rPr>
        <w:footnoteRef/>
      </w:r>
      <w:r w:rsidRPr="00064619">
        <w:rPr>
          <w:rtl/>
        </w:rPr>
        <w:t>) كامل الزيارات، الباب 14، في فضل الفرات وشربه والغسل فيه، الحديث 14: (روى عن ابن بصير، وروى عنه ابنه الحسن)؛ تفسير القمي، سورة طه: 1: (روى عن ابن بصير، وروى عنه القاسم بن محمد).</w:t>
      </w:r>
    </w:p>
  </w:footnote>
  <w:footnote w:id="699">
    <w:p w:rsidR="00F93F13" w:rsidRPr="00064619" w:rsidRDefault="00F93F13" w:rsidP="00064619">
      <w:pPr>
        <w:pStyle w:val="FootnoteText"/>
      </w:pPr>
      <w:r w:rsidRPr="00064619">
        <w:rPr>
          <w:rtl/>
        </w:rPr>
        <w:t>(</w:t>
      </w:r>
      <w:r w:rsidRPr="00064619">
        <w:rPr>
          <w:rtl/>
        </w:rPr>
        <w:footnoteRef/>
      </w:r>
      <w:r w:rsidRPr="00064619">
        <w:rPr>
          <w:rtl/>
        </w:rPr>
        <w:t>) الطوسي، عدة الأصول 1: 381.: «ولأجل ذلك عملت الطائفة بأخباره».</w:t>
      </w:r>
    </w:p>
  </w:footnote>
  <w:footnote w:id="700">
    <w:p w:rsidR="00F93F13" w:rsidRPr="00064619" w:rsidRDefault="00F93F13" w:rsidP="00064619">
      <w:pPr>
        <w:pStyle w:val="FootnoteText"/>
      </w:pPr>
      <w:r w:rsidRPr="00064619">
        <w:rPr>
          <w:rtl/>
        </w:rPr>
        <w:t>(</w:t>
      </w:r>
      <w:r w:rsidRPr="00064619">
        <w:rPr>
          <w:rtl/>
        </w:rPr>
        <w:footnoteRef/>
      </w:r>
      <w:r w:rsidRPr="00064619">
        <w:rPr>
          <w:rtl/>
        </w:rPr>
        <w:t>) معجم رجال الحديث 5: 14.</w:t>
      </w:r>
    </w:p>
  </w:footnote>
  <w:footnote w:id="701">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3: 471.</w:t>
      </w:r>
    </w:p>
  </w:footnote>
  <w:footnote w:id="702">
    <w:p w:rsidR="00F93F13" w:rsidRPr="00064619" w:rsidRDefault="00F93F13" w:rsidP="00064619">
      <w:pPr>
        <w:pStyle w:val="FootnoteText"/>
      </w:pPr>
      <w:r w:rsidRPr="00064619">
        <w:rPr>
          <w:rtl/>
        </w:rPr>
        <w:t>(</w:t>
      </w:r>
      <w:r w:rsidRPr="00064619">
        <w:rPr>
          <w:rtl/>
        </w:rPr>
        <w:footnoteRef/>
      </w:r>
      <w:r w:rsidRPr="00064619">
        <w:rPr>
          <w:rtl/>
        </w:rPr>
        <w:t>) الكليني، عن عدة من أصحابنا، عن سهل بن زياد؛ وعلي بن إبراهيم، عن أبيه، جميعاً، عن ابن محبوب، عن علي بن رئاب قال: سمعت أبا الحسن×...الحديث (الكافي 3: 254، كتاب الجنائز، باب النوادر، الحديث 13).</w:t>
      </w:r>
    </w:p>
  </w:footnote>
  <w:footnote w:id="703">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471.</w:t>
      </w:r>
    </w:p>
  </w:footnote>
  <w:footnote w:id="704">
    <w:p w:rsidR="00F93F13" w:rsidRPr="00064619" w:rsidRDefault="00F93F13" w:rsidP="00064619">
      <w:pPr>
        <w:pStyle w:val="FootnoteText"/>
      </w:pPr>
      <w:r w:rsidRPr="00064619">
        <w:rPr>
          <w:rtl/>
        </w:rPr>
        <w:t>(</w:t>
      </w:r>
      <w:r w:rsidRPr="00064619">
        <w:rPr>
          <w:rtl/>
        </w:rPr>
        <w:footnoteRef/>
      </w:r>
      <w:r w:rsidRPr="00064619">
        <w:rPr>
          <w:rtl/>
        </w:rPr>
        <w:t>) المصدر نفسه 3: 471 ـ 473.</w:t>
      </w:r>
    </w:p>
  </w:footnote>
  <w:footnote w:id="705">
    <w:p w:rsidR="00F93F13" w:rsidRPr="00064619" w:rsidRDefault="00F93F13" w:rsidP="00064619">
      <w:pPr>
        <w:pStyle w:val="FootnoteText"/>
      </w:pPr>
      <w:r w:rsidRPr="00064619">
        <w:rPr>
          <w:rtl/>
        </w:rPr>
        <w:t>(</w:t>
      </w:r>
      <w:r w:rsidRPr="00064619">
        <w:rPr>
          <w:rtl/>
        </w:rPr>
        <w:footnoteRef/>
      </w:r>
      <w:r w:rsidRPr="00064619">
        <w:rPr>
          <w:rtl/>
        </w:rPr>
        <w:t>) راجع على سبيل المثال: الحائري، ابتغاء الفضيلة 2: 229 ـ 230؛ دراسات في ولاية الفقيه 1: 471 ـ 474؛ التبريزي، إرشاد الطالب 3: 28 ـ 29؛ أنوار الفقاهة 1: 506، كتاب البيع.</w:t>
      </w:r>
    </w:p>
  </w:footnote>
  <w:footnote w:id="706">
    <w:p w:rsidR="00F93F13" w:rsidRPr="00064619" w:rsidRDefault="00F93F13" w:rsidP="00064619">
      <w:pPr>
        <w:pStyle w:val="FootnoteText"/>
      </w:pPr>
      <w:r w:rsidRPr="00064619">
        <w:rPr>
          <w:rtl/>
        </w:rPr>
        <w:t>(</w:t>
      </w:r>
      <w:r w:rsidRPr="00064619">
        <w:rPr>
          <w:rtl/>
        </w:rPr>
        <w:footnoteRef/>
      </w:r>
      <w:r w:rsidRPr="00064619">
        <w:rPr>
          <w:rtl/>
        </w:rPr>
        <w:t>) «قال ابن الغضائري: علي بن أبي حمزة لعنه الله أصل الوقف، وأشد الخلق عداوةً للوليّ من بعد أبي إبراهيم×» (معجم رجال الحديث 11: 215).</w:t>
      </w:r>
    </w:p>
  </w:footnote>
  <w:footnote w:id="707">
    <w:p w:rsidR="00F93F13" w:rsidRPr="00064619" w:rsidRDefault="00F93F13" w:rsidP="00064619">
      <w:pPr>
        <w:pStyle w:val="FootnoteText"/>
      </w:pPr>
      <w:r w:rsidRPr="00064619">
        <w:rPr>
          <w:rtl/>
        </w:rPr>
        <w:t>(</w:t>
      </w:r>
      <w:r w:rsidRPr="00064619">
        <w:rPr>
          <w:rtl/>
        </w:rPr>
        <w:footnoteRef/>
      </w:r>
      <w:r w:rsidRPr="00064619">
        <w:rPr>
          <w:rtl/>
        </w:rPr>
        <w:t>) إرشاد الطالب 3: 29.</w:t>
      </w:r>
    </w:p>
  </w:footnote>
  <w:footnote w:id="708">
    <w:p w:rsidR="00F93F13" w:rsidRPr="00064619" w:rsidRDefault="00F93F13" w:rsidP="00064619">
      <w:pPr>
        <w:pStyle w:val="FootnoteText"/>
      </w:pPr>
      <w:r w:rsidRPr="00064619">
        <w:rPr>
          <w:rtl/>
        </w:rPr>
        <w:t>(</w:t>
      </w:r>
      <w:r w:rsidRPr="00064619">
        <w:rPr>
          <w:rtl/>
        </w:rPr>
        <w:footnoteRef/>
      </w:r>
      <w:r w:rsidRPr="00064619">
        <w:rPr>
          <w:rtl/>
        </w:rPr>
        <w:t>) المصدر نفسه.</w:t>
      </w:r>
    </w:p>
  </w:footnote>
  <w:footnote w:id="709">
    <w:p w:rsidR="00F93F13" w:rsidRPr="00064619" w:rsidRDefault="00F93F13" w:rsidP="00064619">
      <w:pPr>
        <w:pStyle w:val="FootnoteText"/>
      </w:pPr>
      <w:r w:rsidRPr="00064619">
        <w:rPr>
          <w:rtl/>
        </w:rPr>
        <w:t>(</w:t>
      </w:r>
      <w:r w:rsidRPr="00064619">
        <w:rPr>
          <w:rtl/>
        </w:rPr>
        <w:footnoteRef/>
      </w:r>
      <w:r w:rsidRPr="00064619">
        <w:rPr>
          <w:rtl/>
        </w:rPr>
        <w:t>) ابتغاء الفضيلة 2: 239.</w:t>
      </w:r>
    </w:p>
  </w:footnote>
  <w:footnote w:id="710">
    <w:p w:rsidR="00F93F13" w:rsidRPr="00064619" w:rsidRDefault="00F93F13" w:rsidP="00064619">
      <w:pPr>
        <w:pStyle w:val="FootnoteText"/>
      </w:pPr>
      <w:r w:rsidRPr="00064619">
        <w:rPr>
          <w:rtl/>
        </w:rPr>
        <w:t>(</w:t>
      </w:r>
      <w:r w:rsidRPr="00064619">
        <w:rPr>
          <w:rtl/>
        </w:rPr>
        <w:footnoteRef/>
      </w:r>
      <w:r w:rsidRPr="00064619">
        <w:rPr>
          <w:rtl/>
        </w:rPr>
        <w:t>) مستفاد من مناقشة الشيخ المنتظري في كتابه دراسات في ولاية الفقيه 1: 474، مع الإشارة إلى أنه في النهاية اعترف أنّ المقدمة الثالثة تامّة.</w:t>
      </w:r>
    </w:p>
  </w:footnote>
  <w:footnote w:id="711">
    <w:p w:rsidR="00F93F13" w:rsidRPr="00064619" w:rsidRDefault="00F93F13" w:rsidP="00064619">
      <w:pPr>
        <w:pStyle w:val="FootnoteText"/>
      </w:pPr>
      <w:r w:rsidRPr="00064619">
        <w:rPr>
          <w:rtl/>
        </w:rPr>
        <w:t>(</w:t>
      </w:r>
      <w:r w:rsidRPr="00064619">
        <w:rPr>
          <w:rtl/>
        </w:rPr>
        <w:footnoteRef/>
      </w:r>
      <w:r w:rsidRPr="00064619">
        <w:rPr>
          <w:rtl/>
        </w:rPr>
        <w:t>) أنوار الفقاهة 1: 506، كتاب البيع.</w:t>
      </w:r>
    </w:p>
  </w:footnote>
  <w:footnote w:id="712">
    <w:p w:rsidR="00F93F13" w:rsidRPr="00064619" w:rsidRDefault="00F93F13" w:rsidP="00064619">
      <w:pPr>
        <w:pStyle w:val="FootnoteText"/>
      </w:pPr>
      <w:r w:rsidRPr="00064619">
        <w:rPr>
          <w:rtl/>
        </w:rPr>
        <w:t>(</w:t>
      </w:r>
      <w:r w:rsidRPr="00064619">
        <w:rPr>
          <w:rtl/>
        </w:rPr>
        <w:footnoteRef/>
      </w:r>
      <w:r w:rsidRPr="00064619">
        <w:rPr>
          <w:rtl/>
        </w:rPr>
        <w:t>) ابتغاء الفضيلة 2: 230.</w:t>
      </w:r>
    </w:p>
  </w:footnote>
  <w:footnote w:id="713">
    <w:p w:rsidR="00F93F13" w:rsidRPr="00064619" w:rsidRDefault="00F93F13" w:rsidP="00064619">
      <w:pPr>
        <w:pStyle w:val="FootnoteText"/>
      </w:pPr>
      <w:r w:rsidRPr="00064619">
        <w:rPr>
          <w:rtl/>
        </w:rPr>
        <w:t>(</w:t>
      </w:r>
      <w:r w:rsidRPr="00064619">
        <w:rPr>
          <w:rtl/>
        </w:rPr>
        <w:footnoteRef/>
      </w:r>
      <w:r w:rsidRPr="00064619">
        <w:rPr>
          <w:rtl/>
        </w:rPr>
        <w:t>) راجع: دراسات في ولاية الفقيه 1: 474.</w:t>
      </w:r>
    </w:p>
  </w:footnote>
  <w:footnote w:id="714">
    <w:p w:rsidR="00F93F13" w:rsidRPr="00064619" w:rsidRDefault="00F93F13" w:rsidP="00B57E2A">
      <w:pPr>
        <w:pStyle w:val="FootnoteText"/>
      </w:pPr>
      <w:r w:rsidRPr="00064619">
        <w:rPr>
          <w:rtl/>
        </w:rPr>
        <w:t>(</w:t>
      </w:r>
      <w:r w:rsidRPr="00064619">
        <w:rPr>
          <w:rtl/>
        </w:rPr>
        <w:footnoteRef/>
      </w:r>
      <w:r w:rsidRPr="00064619">
        <w:rPr>
          <w:rtl/>
        </w:rPr>
        <w:t>) «التوقيع أو التوقيعات هي الاسم الذي اشتهر في كتب التاريخ والحديث لرسائل المعصومين</w:t>
      </w:r>
      <w:r>
        <w:rPr>
          <w:rFonts w:hint="cs"/>
          <w:rtl/>
        </w:rPr>
        <w:t>^</w:t>
      </w:r>
      <w:r w:rsidRPr="00064619">
        <w:rPr>
          <w:rtl/>
        </w:rPr>
        <w:t>، وبخاصة تلك الصادرة عن الإمام المهدي×، والتي أبلغها أحد نوابه الأربعة» (عن كتاب الحكومة الإسلامية: 120، الهامش رقم 126).</w:t>
      </w:r>
    </w:p>
  </w:footnote>
  <w:footnote w:id="715">
    <w:p w:rsidR="00F93F13" w:rsidRPr="00064619" w:rsidRDefault="00F93F13" w:rsidP="00064619">
      <w:pPr>
        <w:pStyle w:val="FootnoteText"/>
      </w:pPr>
      <w:r w:rsidRPr="00064619">
        <w:rPr>
          <w:rtl/>
        </w:rPr>
        <w:t>(</w:t>
      </w:r>
      <w:r w:rsidRPr="00064619">
        <w:rPr>
          <w:rtl/>
        </w:rPr>
        <w:footnoteRef/>
      </w:r>
      <w:r w:rsidRPr="00064619">
        <w:rPr>
          <w:rtl/>
        </w:rPr>
        <w:t>) الصدوق، كمال الدين 2: 483، الباب 45، الحديث 4؛ وسائل الشيعة 27: 140، الباب 11 من أبواب صفات القاضي، الحديث 9.</w:t>
      </w:r>
    </w:p>
  </w:footnote>
  <w:footnote w:id="716">
    <w:p w:rsidR="00F93F13" w:rsidRPr="00064619" w:rsidRDefault="00F93F13" w:rsidP="00064619">
      <w:pPr>
        <w:pStyle w:val="FootnoteText"/>
      </w:pPr>
      <w:r w:rsidRPr="00064619">
        <w:rPr>
          <w:rtl/>
        </w:rPr>
        <w:t>(</w:t>
      </w:r>
      <w:r w:rsidRPr="00064619">
        <w:rPr>
          <w:rtl/>
        </w:rPr>
        <w:footnoteRef/>
      </w:r>
      <w:r w:rsidRPr="00064619">
        <w:rPr>
          <w:rtl/>
        </w:rPr>
        <w:t>) إن التوقيع المذكور قد وَرَدَ في الكتب التالية، إلاّ أنه لم يكن هناك سند مستقلّ عن سندي «كمال الدين» و«الغيبة»: أبو منصور الطبري، الاحتجاج 2: 542 ـ 545، احتجاجات الإمام الحجة القائم×، الحديث 344: «محمد بن يعقوب الكليني، عن إسحاق بن يعقوب...»؛ أبو علي الطبرسي، أعلام الورى: 423: «عن محمد بن يعقوب، عن إسحاق بن يعقوب»؛ الراوندي، الخرائج والجرائح 3: 1113، الحديث 30: عن ابن بابويه؛ الأردبيلي، كشف الغمة 2: 531، عن أعلام الورى؛ السيد علي بن عبد الكريم النجفي، منتخب الأنوار المضيئة: 122، عن ابن بابويه.</w:t>
      </w:r>
    </w:p>
  </w:footnote>
  <w:footnote w:id="717">
    <w:p w:rsidR="00F93F13" w:rsidRPr="00064619" w:rsidRDefault="00F93F13" w:rsidP="00064619">
      <w:pPr>
        <w:pStyle w:val="FootnoteText"/>
      </w:pPr>
      <w:r w:rsidRPr="00064619">
        <w:rPr>
          <w:rtl/>
        </w:rPr>
        <w:t>(</w:t>
      </w:r>
      <w:r w:rsidRPr="00064619">
        <w:rPr>
          <w:rtl/>
        </w:rPr>
        <w:footnoteRef/>
      </w:r>
      <w:r w:rsidRPr="00064619">
        <w:rPr>
          <w:rtl/>
        </w:rPr>
        <w:t>) الطوسي، كتاب الغيبة: 290 ـ 293، الحديث 247: «أخبر في جماعة، عن جعفر بن محمد بن قولويه وأبي غالب الرازي وغيرهما، عن محمد بن يعقوب الكليني، عن إسحاق بن يعقوب...».</w:t>
      </w:r>
    </w:p>
  </w:footnote>
  <w:footnote w:id="718">
    <w:p w:rsidR="00F93F13" w:rsidRPr="00064619" w:rsidRDefault="00F93F13" w:rsidP="00B57E2A">
      <w:pPr>
        <w:pStyle w:val="FootnoteText"/>
      </w:pPr>
      <w:r w:rsidRPr="00064619">
        <w:rPr>
          <w:rtl/>
        </w:rPr>
        <w:t>(</w:t>
      </w:r>
      <w:r w:rsidRPr="00064619">
        <w:rPr>
          <w:rtl/>
        </w:rPr>
        <w:footnoteRef/>
      </w:r>
      <w:r w:rsidRPr="00064619">
        <w:rPr>
          <w:rtl/>
        </w:rPr>
        <w:t>) «ولكن الذي يظهر بالتدبُّر في التوقيع المرويّ عن إمام العصر الذي هو عمدة دليل النصب، إنما هو إقامة الفقيه المتمسّك برواياتهم مقامه، بإرجاع عوامّ الشيعة إليه في كلّ ما يكون الإمام مرجعاً فيه، كي لا يبقى شيعته متحيرين في أزمنة الغيبة» (الآقا رضا الهمداني، مصباح الفقيه 14: 289، كتاب الخمس</w:t>
      </w:r>
      <w:r>
        <w:rPr>
          <w:rFonts w:hint="cs"/>
          <w:rtl/>
        </w:rPr>
        <w:t>)</w:t>
      </w:r>
      <w:r w:rsidRPr="00064619">
        <w:rPr>
          <w:rtl/>
        </w:rPr>
        <w:t>. «...الاستدلال بأكثرها لا يخلو من مناقشة، ونظر، ولعلّ أقواها نصاً في الدلالة التوقيع الرفيع الذي أخرجه شيخنا الصدوق في كمال الدين...» (الشيخ صافي الگلپايگاني، ضرورة وجود الحكومة وولاية الفقهاء في عصر الغيبة: 10).</w:t>
      </w:r>
    </w:p>
  </w:footnote>
  <w:footnote w:id="719">
    <w:p w:rsidR="00F93F13" w:rsidRPr="00064619" w:rsidRDefault="00F93F13" w:rsidP="00064619">
      <w:pPr>
        <w:pStyle w:val="FootnoteText"/>
      </w:pPr>
      <w:r w:rsidRPr="00064619">
        <w:rPr>
          <w:rtl/>
        </w:rPr>
        <w:t>(</w:t>
      </w:r>
      <w:r w:rsidRPr="00064619">
        <w:rPr>
          <w:rtl/>
        </w:rPr>
        <w:footnoteRef/>
      </w:r>
      <w:r w:rsidRPr="00064619">
        <w:rPr>
          <w:rtl/>
        </w:rPr>
        <w:t>) عوائد الأيام: 532، العائدة 54، الحديث 12؛ جواهر الكلام 15: 422، 21: 395؛ الأنصاري، كتاب القضاء والشهادات: 49؛ الهمداني، مصباح الفقيه 14: 289، كتاب الخمس؛ الشيخ محمد حسن المامقاني، غاية الآمال: 416 ـ 418؛ بحر العلوم، بلغة الفقيه 3: 233، رسالة في الولايات؛ المامقاني، رسالة هداية الأنام في أموال الإمام×: 142؛ كاشف الغطاء، الفردوس الأعلى: 54؛ الميلاني، محاضرات في فقه الإمامية، كتاب الخمس: 275 ـ 277؛ السيد عبد الله الشيرازي، كتاب القضاء: 41 ـ 47؛ الشيخ مرتضى الحائري، صلاة الجمعة: 154؛ مهذب الأحكام 11: 279؛ الهداية إلى مَنْ له الولاية (تقرير أبحاث الگلپايگاني بقلم: الصابري): 37؛ ضرورة وجود الحكومة أو ولاية الفقهاء في عصر الغيبة: 10 ـ 11؛ أنوار الفقاهة 1: 500 ـ 503، كتاب البيع؛ الحائري، أساس الحكومة الإسلامية: 137؛ الحائري، ولاية الأمر في عصر الغيبة: 128 ـ 132.</w:t>
      </w:r>
    </w:p>
  </w:footnote>
  <w:footnote w:id="720">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1: 478؛ أنوار الفقاهة 1: 501، كتاب البيع؛ ولاية الأمر في عصر الغيبة: 122.</w:t>
      </w:r>
    </w:p>
  </w:footnote>
  <w:footnote w:id="721">
    <w:p w:rsidR="00F93F13" w:rsidRPr="00064619" w:rsidRDefault="00F93F13" w:rsidP="00064619">
      <w:pPr>
        <w:pStyle w:val="FootnoteText"/>
      </w:pPr>
      <w:r w:rsidRPr="00064619">
        <w:rPr>
          <w:rtl/>
        </w:rPr>
        <w:t>(</w:t>
      </w:r>
      <w:r w:rsidRPr="00064619">
        <w:rPr>
          <w:rtl/>
        </w:rPr>
        <w:footnoteRef/>
      </w:r>
      <w:r w:rsidRPr="00064619">
        <w:rPr>
          <w:rtl/>
        </w:rPr>
        <w:t>) ولاية الأمر في عصر الغيبة: 124 ـ 125.</w:t>
      </w:r>
    </w:p>
  </w:footnote>
  <w:footnote w:id="722">
    <w:p w:rsidR="00F93F13" w:rsidRPr="00064619" w:rsidRDefault="00F93F13" w:rsidP="00064619">
      <w:pPr>
        <w:pStyle w:val="FootnoteText"/>
      </w:pPr>
      <w:r w:rsidRPr="00064619">
        <w:rPr>
          <w:rtl/>
        </w:rPr>
        <w:t>(</w:t>
      </w:r>
      <w:r w:rsidRPr="00064619">
        <w:rPr>
          <w:rtl/>
        </w:rPr>
        <w:footnoteRef/>
      </w:r>
      <w:r w:rsidRPr="00064619">
        <w:rPr>
          <w:rtl/>
        </w:rPr>
        <w:t>) المصدر نفسه: 122 ـ 124.</w:t>
      </w:r>
    </w:p>
  </w:footnote>
  <w:footnote w:id="723">
    <w:p w:rsidR="00F93F13" w:rsidRPr="00064619" w:rsidRDefault="00F93F13" w:rsidP="00064619">
      <w:pPr>
        <w:pStyle w:val="FootnoteText"/>
      </w:pPr>
      <w:r w:rsidRPr="00064619">
        <w:rPr>
          <w:rtl/>
        </w:rPr>
        <w:t>(</w:t>
      </w:r>
      <w:r w:rsidRPr="00064619">
        <w:rPr>
          <w:rtl/>
        </w:rPr>
        <w:footnoteRef/>
      </w:r>
      <w:r w:rsidRPr="00064619">
        <w:rPr>
          <w:rtl/>
        </w:rPr>
        <w:t>) «وهو أخو الكليني»، وفي خبر الكمال، «السلام عليك يا إسحاق بن يعقوب الكليني» (قاموس الرجال التستري 1: 786، رقم 745).</w:t>
      </w:r>
    </w:p>
  </w:footnote>
  <w:footnote w:id="724">
    <w:p w:rsidR="00F93F13" w:rsidRPr="00064619" w:rsidRDefault="00F93F13" w:rsidP="00064619">
      <w:pPr>
        <w:pStyle w:val="FootnoteText"/>
      </w:pPr>
      <w:r w:rsidRPr="00064619">
        <w:rPr>
          <w:rtl/>
        </w:rPr>
        <w:t>(</w:t>
      </w:r>
      <w:r w:rsidRPr="00064619">
        <w:rPr>
          <w:rtl/>
        </w:rPr>
        <w:footnoteRef/>
      </w:r>
      <w:r w:rsidRPr="00064619">
        <w:rPr>
          <w:rtl/>
        </w:rPr>
        <w:t>) «فإنه قد يستفاد من هذا التوقيع علوّ رتبته» (الإسترآبادي، الرجال الكبير؛ جامع الرواة 1: 89)؛ ضرورة وجود الحكومة: 11.</w:t>
      </w:r>
    </w:p>
  </w:footnote>
  <w:footnote w:id="725">
    <w:p w:rsidR="00F93F13" w:rsidRPr="00064619" w:rsidRDefault="00F93F13" w:rsidP="00064619">
      <w:pPr>
        <w:pStyle w:val="FootnoteText"/>
      </w:pPr>
      <w:r w:rsidRPr="00064619">
        <w:rPr>
          <w:rtl/>
        </w:rPr>
        <w:t>(</w:t>
      </w:r>
      <w:r w:rsidRPr="00064619">
        <w:rPr>
          <w:rtl/>
        </w:rPr>
        <w:footnoteRef/>
      </w:r>
      <w:r w:rsidRPr="00064619">
        <w:rPr>
          <w:rtl/>
        </w:rPr>
        <w:t xml:space="preserve">) راجع: </w:t>
      </w:r>
      <w:r>
        <w:rPr>
          <w:rFonts w:hint="cs"/>
          <w:rtl/>
        </w:rPr>
        <w:t xml:space="preserve">السيد </w:t>
      </w:r>
      <w:r w:rsidRPr="00064619">
        <w:rPr>
          <w:rtl/>
        </w:rPr>
        <w:t>الخميني، كتاب البيع 2: 474 ـ 475.</w:t>
      </w:r>
    </w:p>
  </w:footnote>
  <w:footnote w:id="726">
    <w:p w:rsidR="00F93F13" w:rsidRPr="00064619" w:rsidRDefault="00F93F13" w:rsidP="00064619">
      <w:pPr>
        <w:pStyle w:val="FootnoteText"/>
      </w:pPr>
      <w:r w:rsidRPr="00064619">
        <w:rPr>
          <w:rtl/>
        </w:rPr>
        <w:t>(</w:t>
      </w:r>
      <w:r w:rsidRPr="00064619">
        <w:rPr>
          <w:rtl/>
        </w:rPr>
        <w:footnoteRef/>
      </w:r>
      <w:r w:rsidRPr="00064619">
        <w:rPr>
          <w:rtl/>
        </w:rPr>
        <w:t>) راجع: ولاية الأمر في عصر الغيبة: 129.</w:t>
      </w:r>
    </w:p>
  </w:footnote>
  <w:footnote w:id="727">
    <w:p w:rsidR="00F93F13" w:rsidRPr="00064619" w:rsidRDefault="00F93F13" w:rsidP="00064619">
      <w:pPr>
        <w:pStyle w:val="FootnoteText"/>
      </w:pPr>
      <w:r w:rsidRPr="00064619">
        <w:rPr>
          <w:rtl/>
        </w:rPr>
        <w:t>(</w:t>
      </w:r>
      <w:r w:rsidRPr="00064619">
        <w:rPr>
          <w:rtl/>
        </w:rPr>
        <w:footnoteRef/>
      </w:r>
      <w:r w:rsidRPr="00064619">
        <w:rPr>
          <w:rtl/>
        </w:rPr>
        <w:t xml:space="preserve">) راجع: </w:t>
      </w:r>
      <w:r>
        <w:rPr>
          <w:rFonts w:hint="cs"/>
          <w:rtl/>
        </w:rPr>
        <w:t xml:space="preserve">السيد </w:t>
      </w:r>
      <w:r w:rsidRPr="00064619">
        <w:rPr>
          <w:rtl/>
        </w:rPr>
        <w:t>الخميني، كتاب البيع 2: 475.</w:t>
      </w:r>
    </w:p>
  </w:footnote>
  <w:footnote w:id="728">
    <w:p w:rsidR="00F93F13" w:rsidRPr="00064619" w:rsidRDefault="00F93F13" w:rsidP="00064619">
      <w:pPr>
        <w:pStyle w:val="FootnoteText"/>
      </w:pPr>
      <w:r w:rsidRPr="00064619">
        <w:rPr>
          <w:rtl/>
        </w:rPr>
        <w:t>(</w:t>
      </w:r>
      <w:r w:rsidRPr="00064619">
        <w:rPr>
          <w:rtl/>
        </w:rPr>
        <w:footnoteRef/>
      </w:r>
      <w:r w:rsidRPr="00064619">
        <w:rPr>
          <w:rtl/>
        </w:rPr>
        <w:t>) الخراساني، حاشية المكاسب: 94؛ الإيرواني، حاشية المكاسب: 155 ـ 156؛ منية الطالب 2: 234؛ النائيني، المكاسب والبيع 2: 337؛ الإصفهاني، حاشية المكاسب 2: 214؛ ضياء الدين العراقي، شرح التبصرة 5: 41؛ العراقي، كتاب القضاء: 9؛ الحكيم، نهج الفقاهة: 301؛ جامع المدارك: 99 ـ 100؛ ابتغاء الفضيلة 2: 225؛ مصباح الفقاهة 5: 45، 46؛ إرشاد الطالب 3: 30؛ دراسات في ولاية الفقيه 1: 478 ـ 482.</w:t>
      </w:r>
    </w:p>
  </w:footnote>
  <w:footnote w:id="729">
    <w:p w:rsidR="00F93F13" w:rsidRPr="00064619" w:rsidRDefault="00F93F13" w:rsidP="00B57E2A">
      <w:pPr>
        <w:pStyle w:val="FootnoteText"/>
      </w:pPr>
      <w:r w:rsidRPr="00064619">
        <w:rPr>
          <w:rtl/>
        </w:rPr>
        <w:t>(</w:t>
      </w:r>
      <w:r w:rsidRPr="00064619">
        <w:rPr>
          <w:rtl/>
        </w:rPr>
        <w:footnoteRef/>
      </w:r>
      <w:r w:rsidRPr="00064619">
        <w:rPr>
          <w:rtl/>
        </w:rPr>
        <w:t>) رجال النجاشي: 377، الرقم 1026، أحوال محمد بن يعقوب الكليني.</w:t>
      </w:r>
    </w:p>
  </w:footnote>
  <w:footnote w:id="730">
    <w:p w:rsidR="00F93F13" w:rsidRPr="00064619" w:rsidRDefault="00F93F13" w:rsidP="00B57E2A">
      <w:pPr>
        <w:pStyle w:val="FootnoteText"/>
      </w:pPr>
      <w:r w:rsidRPr="00064619">
        <w:rPr>
          <w:rtl/>
        </w:rPr>
        <w:t>(</w:t>
      </w:r>
      <w:r w:rsidRPr="00064619">
        <w:rPr>
          <w:rtl/>
        </w:rPr>
        <w:footnoteRef/>
      </w:r>
      <w:r w:rsidRPr="00064619">
        <w:rPr>
          <w:rtl/>
        </w:rPr>
        <w:t>) «إنك تحب أن يكون عندك كتاب كاف، يجتمع من جميع فنون الدين ما يكتفي به المتعلم، ويرجع إليه المسترشد، ويأخذ منه من يريد علم الدين والعمل به بالآثار الصحيحة عن الصادقين</w:t>
      </w:r>
      <w:r>
        <w:rPr>
          <w:rFonts w:hint="cs"/>
          <w:rtl/>
        </w:rPr>
        <w:t>^</w:t>
      </w:r>
      <w:r w:rsidRPr="00064619">
        <w:rPr>
          <w:rtl/>
        </w:rPr>
        <w:t xml:space="preserve"> والسنن القائمة التي عليها العمل...» (مقدمة الكليني في الكافي 1: 8). ومن الواضح أن هذا لا يعني أن جميع روايات الكافي صحيحة، بل المراد منه أن الكليني نقل في هذا الكتاب ما يراه هو معتبراً. ولابدّ من الإشارة هنا إلى أنه بناءً على نقل شيخنا الأستاذ [المنتظري] أنّ السيد البروجردي كان يولي روايات الكتب الأربعة اهتماماً خاصّاً؛ وذلك بسبب انتشارها وشيوعها بين الأصحاب، وكان يعتقد أن اعتبار الروايات المذكورة في الكتب الأخرى لا يرقى إلى الروايات المذكورة في الكتب الأربعة.</w:t>
      </w:r>
    </w:p>
  </w:footnote>
  <w:footnote w:id="731">
    <w:p w:rsidR="00F93F13" w:rsidRPr="00064619" w:rsidRDefault="00F93F13" w:rsidP="00064619">
      <w:pPr>
        <w:pStyle w:val="FootnoteText"/>
      </w:pPr>
      <w:r w:rsidRPr="00064619">
        <w:rPr>
          <w:rtl/>
        </w:rPr>
        <w:t>(</w:t>
      </w:r>
      <w:r w:rsidRPr="00064619">
        <w:rPr>
          <w:rtl/>
        </w:rPr>
        <w:footnoteRef/>
      </w:r>
      <w:r w:rsidRPr="00064619">
        <w:rPr>
          <w:rtl/>
        </w:rPr>
        <w:t>) روى إسحاق بن يعقوب عن بذل مولى أبي محمد [العسكري]×، قال: رأيت من رأس أبي محمد× نوراً ساطعاً إلى السماء وهو نائم (مختار الخرائج: 215؛ كشف الغمّة 2: 307؛ وعنهما: بحار الأنوار 50: 272).</w:t>
      </w:r>
    </w:p>
  </w:footnote>
  <w:footnote w:id="732">
    <w:p w:rsidR="00F93F13" w:rsidRPr="00064619" w:rsidRDefault="00F93F13" w:rsidP="00064619">
      <w:pPr>
        <w:pStyle w:val="FootnoteText"/>
      </w:pPr>
      <w:r w:rsidRPr="00064619">
        <w:rPr>
          <w:rtl/>
        </w:rPr>
        <w:t>(</w:t>
      </w:r>
      <w:r w:rsidRPr="00064619">
        <w:rPr>
          <w:rtl/>
        </w:rPr>
        <w:footnoteRef/>
      </w:r>
      <w:r w:rsidRPr="00064619">
        <w:rPr>
          <w:rtl/>
        </w:rPr>
        <w:t>) إكمال الدين 2: 486، باب 45، الحديث 6.</w:t>
      </w:r>
    </w:p>
  </w:footnote>
  <w:footnote w:id="733">
    <w:p w:rsidR="00F93F13" w:rsidRPr="00064619" w:rsidRDefault="00F93F13" w:rsidP="00064619">
      <w:pPr>
        <w:pStyle w:val="FootnoteText"/>
      </w:pPr>
      <w:r w:rsidRPr="00064619">
        <w:rPr>
          <w:rtl/>
        </w:rPr>
        <w:t>(</w:t>
      </w:r>
      <w:r w:rsidRPr="00064619">
        <w:rPr>
          <w:rtl/>
        </w:rPr>
        <w:footnoteRef/>
      </w:r>
      <w:r w:rsidRPr="00064619">
        <w:rPr>
          <w:rtl/>
        </w:rPr>
        <w:t>) معجم رجال الحديث 1: 55 ـ 84، المقدمة الرابعة.</w:t>
      </w:r>
    </w:p>
  </w:footnote>
  <w:footnote w:id="734">
    <w:p w:rsidR="00F93F13" w:rsidRPr="00064619" w:rsidRDefault="00F93F13" w:rsidP="00064619">
      <w:pPr>
        <w:pStyle w:val="FootnoteText"/>
      </w:pPr>
      <w:r w:rsidRPr="00064619">
        <w:rPr>
          <w:rtl/>
        </w:rPr>
        <w:t>(</w:t>
      </w:r>
      <w:r w:rsidRPr="00064619">
        <w:rPr>
          <w:rtl/>
        </w:rPr>
        <w:footnoteRef/>
      </w:r>
      <w:r w:rsidRPr="00064619">
        <w:rPr>
          <w:rtl/>
        </w:rPr>
        <w:t>) «والرواية من جهة إسحاق بن يعقوب غير معتبرة... لا إشكال في دلالته لولا ضعفه» (</w:t>
      </w:r>
      <w:r>
        <w:rPr>
          <w:rFonts w:hint="cs"/>
          <w:rtl/>
        </w:rPr>
        <w:t xml:space="preserve">السيد </w:t>
      </w:r>
      <w:r w:rsidRPr="00064619">
        <w:rPr>
          <w:rtl/>
        </w:rPr>
        <w:t>الخميني، كتاب البيع 2: 474 ـ 475؛ إرشاد الطالب 3: 30؛ دراسات في ولاية الفقيه 1: 478 ـ 479).</w:t>
      </w:r>
    </w:p>
  </w:footnote>
  <w:footnote w:id="735">
    <w:p w:rsidR="00F93F13" w:rsidRPr="00064619" w:rsidRDefault="00F93F13" w:rsidP="00064619">
      <w:pPr>
        <w:pStyle w:val="FootnoteText"/>
      </w:pPr>
      <w:r w:rsidRPr="00064619">
        <w:rPr>
          <w:rtl/>
        </w:rPr>
        <w:t>(</w:t>
      </w:r>
      <w:r w:rsidRPr="00064619">
        <w:rPr>
          <w:rtl/>
        </w:rPr>
        <w:footnoteRef/>
      </w:r>
      <w:r w:rsidRPr="00064619">
        <w:rPr>
          <w:rtl/>
        </w:rPr>
        <w:t>) «... بل يستبعد من جهة أن مقتضى الاستظهار المذكور ثبوت الولاية لكلّ من يروي ويصدق عليه الراوي، وهل يمكن ثبوت هذا المنصب الخطير له؟! مضافاً إلى أن الراوي لا يصدق على المطَّلع على كتب الحديث، وإلاّ لصدق على كل مَنْ طالع كتب الحديث أنه راوٍ للحديث» (أحمد الخوانساري في جامع المدارك 3: 100).</w:t>
      </w:r>
    </w:p>
  </w:footnote>
  <w:footnote w:id="736">
    <w:p w:rsidR="00F93F13" w:rsidRPr="00064619" w:rsidRDefault="00F93F13" w:rsidP="00064619">
      <w:pPr>
        <w:pStyle w:val="FootnoteText"/>
      </w:pPr>
      <w:r w:rsidRPr="00064619">
        <w:rPr>
          <w:rtl/>
        </w:rPr>
        <w:t>(</w:t>
      </w:r>
      <w:r w:rsidRPr="00064619">
        <w:rPr>
          <w:rtl/>
        </w:rPr>
        <w:footnoteRef/>
      </w:r>
      <w:r w:rsidRPr="00064619">
        <w:rPr>
          <w:rtl/>
        </w:rPr>
        <w:t>) منية الطالب 1: 32.</w:t>
      </w:r>
    </w:p>
  </w:footnote>
  <w:footnote w:id="737">
    <w:p w:rsidR="00F93F13" w:rsidRPr="00064619" w:rsidRDefault="00F93F13" w:rsidP="00064619">
      <w:pPr>
        <w:pStyle w:val="FootnoteText"/>
      </w:pPr>
      <w:r w:rsidRPr="00064619">
        <w:rPr>
          <w:rtl/>
        </w:rPr>
        <w:t>(</w:t>
      </w:r>
      <w:r w:rsidRPr="00064619">
        <w:rPr>
          <w:rtl/>
        </w:rPr>
        <w:footnoteRef/>
      </w:r>
      <w:r w:rsidRPr="00064619">
        <w:rPr>
          <w:rtl/>
        </w:rPr>
        <w:t>) منها: نهج الفقاهة: 300؛ وجامع المدارك 3: 10.</w:t>
      </w:r>
    </w:p>
  </w:footnote>
  <w:footnote w:id="738">
    <w:p w:rsidR="00F93F13" w:rsidRPr="00064619" w:rsidRDefault="00F93F13" w:rsidP="00064619">
      <w:pPr>
        <w:pStyle w:val="FootnoteText"/>
      </w:pPr>
      <w:r w:rsidRPr="00064619">
        <w:rPr>
          <w:rtl/>
        </w:rPr>
        <w:t>(</w:t>
      </w:r>
      <w:r w:rsidRPr="00064619">
        <w:rPr>
          <w:rtl/>
        </w:rPr>
        <w:footnoteRef/>
      </w:r>
      <w:r w:rsidRPr="00064619">
        <w:rPr>
          <w:rtl/>
        </w:rPr>
        <w:t>) مقتبس من مناقشات وإجابات الشيخ المنتظري في دراسات في ولاية الفقيه 1: 481.</w:t>
      </w:r>
    </w:p>
  </w:footnote>
  <w:footnote w:id="739">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1: 481.</w:t>
      </w:r>
    </w:p>
  </w:footnote>
  <w:footnote w:id="740">
    <w:p w:rsidR="00F93F13" w:rsidRPr="00064619" w:rsidRDefault="00F93F13" w:rsidP="00064619">
      <w:pPr>
        <w:pStyle w:val="FootnoteText"/>
      </w:pPr>
      <w:r w:rsidRPr="00064619">
        <w:rPr>
          <w:rtl/>
        </w:rPr>
        <w:t>(</w:t>
      </w:r>
      <w:r w:rsidRPr="00064619">
        <w:rPr>
          <w:rtl/>
        </w:rPr>
        <w:footnoteRef/>
      </w:r>
      <w:r w:rsidRPr="00064619">
        <w:rPr>
          <w:rtl/>
        </w:rPr>
        <w:t>) السيد محمد باقر الصدر، مجموعة الإسلام يقود الحياة، لمحة تمهيدية عن دستور الجمهورية الإسلامية: 19 ـ 34؛ الصدر، خلافة الإنسان وشهادة الأنبياء: 51.</w:t>
      </w:r>
    </w:p>
  </w:footnote>
  <w:footnote w:id="741">
    <w:p w:rsidR="00F93F13" w:rsidRPr="00064619" w:rsidRDefault="00F93F13" w:rsidP="00064619">
      <w:pPr>
        <w:pStyle w:val="FootnoteText"/>
      </w:pPr>
      <w:r w:rsidRPr="00064619">
        <w:rPr>
          <w:rtl/>
        </w:rPr>
        <w:t>(</w:t>
      </w:r>
      <w:r w:rsidRPr="00064619">
        <w:rPr>
          <w:rtl/>
        </w:rPr>
        <w:footnoteRef/>
      </w:r>
      <w:r w:rsidRPr="00064619">
        <w:rPr>
          <w:rtl/>
        </w:rPr>
        <w:t>) ولاية الأمر في عصر الغيبة: 135 ـ 142. وبعد أن عرض مبنى السيد الصدر بشكل مفصَّل قام بمناقشته. ونحن في بحث شرط الفقاهة سوف نتولى الدفاع عن السيد الصدر في مقابل مناقشات السيد الحائري إنْ شاء الله.</w:t>
      </w:r>
    </w:p>
  </w:footnote>
  <w:footnote w:id="742">
    <w:p w:rsidR="00F93F13" w:rsidRPr="00064619" w:rsidRDefault="00F93F13" w:rsidP="00064619">
      <w:pPr>
        <w:pStyle w:val="FootnoteText"/>
      </w:pPr>
      <w:r w:rsidRPr="00064619">
        <w:rPr>
          <w:rtl/>
        </w:rPr>
        <w:t>(</w:t>
      </w:r>
      <w:r w:rsidRPr="00064619">
        <w:rPr>
          <w:rtl/>
        </w:rPr>
        <w:footnoteRef/>
      </w:r>
      <w:r w:rsidRPr="00064619">
        <w:rPr>
          <w:rtl/>
        </w:rPr>
        <w:t>) المراغي، العناوين: 358.</w:t>
      </w:r>
    </w:p>
  </w:footnote>
  <w:footnote w:id="743">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1: 485 ـ 486.</w:t>
      </w:r>
    </w:p>
  </w:footnote>
  <w:footnote w:id="744">
    <w:p w:rsidR="00F93F13" w:rsidRPr="00064619" w:rsidRDefault="00F93F13" w:rsidP="00064619">
      <w:pPr>
        <w:pStyle w:val="FootnoteText"/>
      </w:pPr>
      <w:r w:rsidRPr="00064619">
        <w:rPr>
          <w:rtl/>
        </w:rPr>
        <w:t>(</w:t>
      </w:r>
      <w:r w:rsidRPr="00064619">
        <w:rPr>
          <w:rtl/>
        </w:rPr>
        <w:footnoteRef/>
      </w:r>
      <w:r w:rsidRPr="00064619">
        <w:rPr>
          <w:rtl/>
        </w:rPr>
        <w:t>) راجع: عوائد الأيام، العائدة 45، الروايات 9، 10، 13، 19. وانظر: دراسات في ولاية الفقيه 1: 487 ـ 489: «ذكر أخبار أخرى ربما يتوهم دلالتها على النصب».</w:t>
      </w:r>
    </w:p>
  </w:footnote>
  <w:footnote w:id="745">
    <w:p w:rsidR="00F93F13" w:rsidRPr="00064619" w:rsidRDefault="00F93F13" w:rsidP="00064619">
      <w:pPr>
        <w:pStyle w:val="FootnoteText"/>
      </w:pPr>
      <w:r w:rsidRPr="00064619">
        <w:rPr>
          <w:rtl/>
        </w:rPr>
        <w:t>(</w:t>
      </w:r>
      <w:r w:rsidRPr="00064619">
        <w:rPr>
          <w:rtl/>
        </w:rPr>
        <w:footnoteRef/>
      </w:r>
      <w:r w:rsidRPr="00064619">
        <w:rPr>
          <w:rtl/>
        </w:rPr>
        <w:t>) الشيخ أحمد آذري قمّي، ولايت فقيه أز ديدگاه قرآن كريم (سلسلة بحثهايي پيرامون ولايت فقيه [سلسلة أبحاث حول ولاية الفقيه]). ومن المستبعد أنه ما يزال اليوم يعتقد بصحة آرائه السابقة. [توفي بعد صدور الكتاب باللغة الفارسيّة].</w:t>
      </w:r>
    </w:p>
  </w:footnote>
  <w:footnote w:id="746">
    <w:p w:rsidR="00F93F13" w:rsidRPr="00064619" w:rsidRDefault="00F93F13" w:rsidP="00064619">
      <w:pPr>
        <w:pStyle w:val="FootnoteText"/>
      </w:pPr>
      <w:r w:rsidRPr="00064619">
        <w:rPr>
          <w:rtl/>
        </w:rPr>
        <w:t>(</w:t>
      </w:r>
      <w:r w:rsidRPr="00064619">
        <w:rPr>
          <w:rtl/>
        </w:rPr>
        <w:footnoteRef/>
      </w:r>
      <w:r w:rsidRPr="00064619">
        <w:rPr>
          <w:rtl/>
        </w:rPr>
        <w:t>) راجع: دراسات في ولاية الفقيه 1: 431.</w:t>
      </w:r>
    </w:p>
  </w:footnote>
  <w:footnote w:id="747">
    <w:p w:rsidR="00F93F13" w:rsidRPr="00064619" w:rsidRDefault="00F93F13" w:rsidP="00064619">
      <w:pPr>
        <w:pStyle w:val="FootnoteText"/>
      </w:pPr>
      <w:r w:rsidRPr="00064619">
        <w:rPr>
          <w:rtl/>
        </w:rPr>
        <w:t>(</w:t>
      </w:r>
      <w:r w:rsidRPr="00064619">
        <w:rPr>
          <w:rtl/>
        </w:rPr>
        <w:footnoteRef/>
      </w:r>
      <w:r w:rsidRPr="00064619">
        <w:rPr>
          <w:rtl/>
        </w:rPr>
        <w:t>) راجع: تفسير نور الثقلين 1: 497.</w:t>
      </w:r>
    </w:p>
  </w:footnote>
  <w:footnote w:id="748">
    <w:p w:rsidR="00F93F13" w:rsidRPr="00064619" w:rsidRDefault="00F93F13" w:rsidP="00B57E2A">
      <w:pPr>
        <w:pStyle w:val="FootnoteText"/>
      </w:pPr>
      <w:r w:rsidRPr="00064619">
        <w:rPr>
          <w:rtl/>
        </w:rPr>
        <w:t>(</w:t>
      </w:r>
      <w:r w:rsidRPr="00064619">
        <w:rPr>
          <w:rtl/>
        </w:rPr>
        <w:footnoteRef/>
      </w:r>
      <w:r w:rsidRPr="00064619">
        <w:rPr>
          <w:rtl/>
        </w:rPr>
        <w:t>) الطوسي، التبيان في تفسير القرآن، تفسير الآية 95 من سورة النساء؛ الطبرسي، مجمع البيان في تفسير القرآن 3ـ4: 64، تفسير الآية 59 من سورة النساء: «وأمّا أصحابنا فإنهم رووا عن الباقر والصادق</w:t>
      </w:r>
      <w:r>
        <w:rPr>
          <w:rFonts w:hint="cs"/>
          <w:rtl/>
        </w:rPr>
        <w:t>^</w:t>
      </w:r>
      <w:r w:rsidRPr="00064619">
        <w:rPr>
          <w:rtl/>
        </w:rPr>
        <w:t xml:space="preserve"> أنّ أولي الأمر هم الأئمة</w:t>
      </w:r>
      <w:r>
        <w:rPr>
          <w:rFonts w:hint="cs"/>
          <w:rtl/>
        </w:rPr>
        <w:t>^</w:t>
      </w:r>
      <w:r w:rsidRPr="00064619">
        <w:rPr>
          <w:rtl/>
        </w:rPr>
        <w:sym w:font="Abz Roumouz" w:char="F028"/>
      </w:r>
      <w:r w:rsidRPr="00064619">
        <w:rPr>
          <w:rtl/>
        </w:rPr>
        <w:t xml:space="preserve"> من آل محمد</w:t>
      </w:r>
      <w:r w:rsidRPr="00064619">
        <w:rPr>
          <w:rtl/>
        </w:rPr>
        <w:sym w:font="Roumouz" w:char="F02D"/>
      </w:r>
      <w:r w:rsidRPr="00064619">
        <w:rPr>
          <w:rtl/>
        </w:rPr>
        <w:t>، أوجب الله طاعتهم بالإطلاق كما أوجب طاعته وطاعة رسوله، ولا يجوز أن يوجب الله طاعة أحدٍ على الإطلاق إلاّ من تثبت عصمته، وعُلِمَ أن باطنه كظاهره، وأمِنَ من الغلط والأمر القبيح، وليس ذلك بحاصلٍ في الأمراء والعلماء وسواهم، جلَّ الله عن أن يأمر بطاعة مَنْ يعصيه أو بالانقياد للمختلفين في القول والفعل؛ لأنه محال أن يُطاع المختلفون، كما أنه محال أن يجتمع ما اختلفوا فيه...».</w:t>
      </w:r>
    </w:p>
  </w:footnote>
  <w:footnote w:id="749">
    <w:p w:rsidR="00F93F13" w:rsidRPr="00064619" w:rsidRDefault="00F93F13" w:rsidP="00064619">
      <w:pPr>
        <w:pStyle w:val="FootnoteText"/>
      </w:pPr>
      <w:r w:rsidRPr="00064619">
        <w:rPr>
          <w:rtl/>
        </w:rPr>
        <w:t>(</w:t>
      </w:r>
      <w:r w:rsidRPr="00064619">
        <w:rPr>
          <w:rtl/>
        </w:rPr>
        <w:footnoteRef/>
      </w:r>
      <w:r w:rsidRPr="00064619">
        <w:rPr>
          <w:rtl/>
        </w:rPr>
        <w:t>) الميزان في تفسير القرآن 4: 387 ـ 404، تفسير الآية 59 من سورة النساء.</w:t>
      </w:r>
    </w:p>
  </w:footnote>
  <w:footnote w:id="750">
    <w:p w:rsidR="00F93F13" w:rsidRPr="00064619" w:rsidRDefault="00F93F13" w:rsidP="007D79F5">
      <w:pPr>
        <w:pStyle w:val="FootnoteText"/>
        <w:spacing w:line="182" w:lineRule="auto"/>
      </w:pPr>
      <w:r w:rsidRPr="00064619">
        <w:rPr>
          <w:rtl/>
        </w:rPr>
        <w:t>(</w:t>
      </w:r>
      <w:r w:rsidRPr="00064619">
        <w:rPr>
          <w:rtl/>
        </w:rPr>
        <w:footnoteRef/>
      </w:r>
      <w:r w:rsidRPr="00064619">
        <w:rPr>
          <w:rtl/>
        </w:rPr>
        <w:t>) التبيان في تفسير القرآن، تفسير الآية 59 من سورة النساء.</w:t>
      </w:r>
    </w:p>
  </w:footnote>
  <w:footnote w:id="751">
    <w:p w:rsidR="00F93F13" w:rsidRPr="00064619" w:rsidRDefault="00F93F13" w:rsidP="007D79F5">
      <w:pPr>
        <w:pStyle w:val="FootnoteText"/>
        <w:spacing w:line="182" w:lineRule="auto"/>
      </w:pPr>
      <w:r w:rsidRPr="00064619">
        <w:rPr>
          <w:rtl/>
        </w:rPr>
        <w:t>(</w:t>
      </w:r>
      <w:r w:rsidRPr="00064619">
        <w:rPr>
          <w:rtl/>
        </w:rPr>
        <w:footnoteRef/>
      </w:r>
      <w:r w:rsidRPr="00064619">
        <w:rPr>
          <w:rtl/>
        </w:rPr>
        <w:t>) أصول الكافي 1: 276، كتاب الحجة، باب أن الإمام يعرف الإمام، الحديث 1.</w:t>
      </w:r>
    </w:p>
  </w:footnote>
  <w:footnote w:id="752">
    <w:p w:rsidR="00F93F13" w:rsidRPr="00064619" w:rsidRDefault="00F93F13" w:rsidP="007D79F5">
      <w:pPr>
        <w:pStyle w:val="FootnoteText"/>
        <w:spacing w:line="182" w:lineRule="auto"/>
      </w:pPr>
      <w:r w:rsidRPr="00064619">
        <w:rPr>
          <w:rtl/>
        </w:rPr>
        <w:t>(</w:t>
      </w:r>
      <w:r w:rsidRPr="00064619">
        <w:rPr>
          <w:rtl/>
        </w:rPr>
        <w:footnoteRef/>
      </w:r>
      <w:r w:rsidRPr="00064619">
        <w:rPr>
          <w:rtl/>
        </w:rPr>
        <w:t>) التبيان في تفسير القرآن، تفسير الآية 83 من سورة النساء؛ مجمع البيان، تفسير الآية 59 من سورة النساء.</w:t>
      </w:r>
    </w:p>
  </w:footnote>
  <w:footnote w:id="753">
    <w:p w:rsidR="00F93F13" w:rsidRPr="00064619" w:rsidRDefault="00F93F13" w:rsidP="00064619">
      <w:pPr>
        <w:pStyle w:val="FootnoteText"/>
      </w:pPr>
      <w:r w:rsidRPr="00064619">
        <w:rPr>
          <w:rtl/>
        </w:rPr>
        <w:t>(</w:t>
      </w:r>
      <w:r w:rsidRPr="00064619">
        <w:rPr>
          <w:rtl/>
        </w:rPr>
        <w:footnoteRef/>
      </w:r>
      <w:r w:rsidRPr="00064619">
        <w:rPr>
          <w:rtl/>
        </w:rPr>
        <w:t>) الميزان في تفسير القرآن 5: 23، تفسير الآية 83 من سورة النساء.</w:t>
      </w:r>
    </w:p>
  </w:footnote>
  <w:footnote w:id="754">
    <w:p w:rsidR="00F93F13" w:rsidRPr="007D79F5" w:rsidRDefault="00F93F13" w:rsidP="00064619">
      <w:pPr>
        <w:pStyle w:val="FootnoteText"/>
        <w:rPr>
          <w:sz w:val="18"/>
          <w:szCs w:val="24"/>
        </w:rPr>
      </w:pPr>
      <w:r w:rsidRPr="007D79F5">
        <w:rPr>
          <w:sz w:val="18"/>
          <w:szCs w:val="24"/>
          <w:rtl/>
        </w:rPr>
        <w:t>(</w:t>
      </w:r>
      <w:r w:rsidRPr="007D79F5">
        <w:rPr>
          <w:sz w:val="18"/>
          <w:szCs w:val="24"/>
          <w:rtl/>
        </w:rPr>
        <w:footnoteRef/>
      </w:r>
      <w:r w:rsidRPr="007D79F5">
        <w:rPr>
          <w:sz w:val="18"/>
          <w:szCs w:val="24"/>
          <w:rtl/>
        </w:rPr>
        <w:t>) راجع على سبيل المثال: الهداية إلى من له الولاية: 21 ـ 31. (والمرجع هنا هو قوله الأوّل).</w:t>
      </w:r>
    </w:p>
  </w:footnote>
  <w:footnote w:id="755">
    <w:p w:rsidR="00F93F13" w:rsidRPr="00064619" w:rsidRDefault="00F93F13" w:rsidP="00064619">
      <w:pPr>
        <w:pStyle w:val="FootnoteText"/>
      </w:pPr>
      <w:r w:rsidRPr="00064619">
        <w:rPr>
          <w:rtl/>
        </w:rPr>
        <w:t>(</w:t>
      </w:r>
      <w:r w:rsidRPr="00064619">
        <w:rPr>
          <w:rtl/>
        </w:rPr>
        <w:footnoteRef/>
      </w:r>
      <w:r w:rsidRPr="00064619">
        <w:rPr>
          <w:rtl/>
        </w:rPr>
        <w:t>) راجع على سبيل المثال: مصباح الفقاهة 5: 35.</w:t>
      </w:r>
    </w:p>
  </w:footnote>
  <w:footnote w:id="756">
    <w:p w:rsidR="00F93F13" w:rsidRPr="00064619" w:rsidRDefault="00F93F13" w:rsidP="00064619">
      <w:pPr>
        <w:pStyle w:val="FootnoteText"/>
      </w:pPr>
      <w:r w:rsidRPr="00064619">
        <w:rPr>
          <w:rtl/>
        </w:rPr>
        <w:t>(</w:t>
      </w:r>
      <w:r w:rsidRPr="00064619">
        <w:rPr>
          <w:rtl/>
        </w:rPr>
        <w:footnoteRef/>
      </w:r>
      <w:r w:rsidRPr="00064619">
        <w:rPr>
          <w:rtl/>
        </w:rPr>
        <w:t>) راجع على سبيل المثال: الخراساني، حاشية المكاسب: 93؛ بلغة الفقيه 3: 218.</w:t>
      </w:r>
    </w:p>
  </w:footnote>
  <w:footnote w:id="757">
    <w:p w:rsidR="00F93F13" w:rsidRPr="00064619" w:rsidRDefault="00F93F13" w:rsidP="00064619">
      <w:pPr>
        <w:pStyle w:val="FootnoteText"/>
      </w:pPr>
      <w:r w:rsidRPr="00064619">
        <w:rPr>
          <w:rtl/>
        </w:rPr>
        <w:t>(</w:t>
      </w:r>
      <w:r w:rsidRPr="00064619">
        <w:rPr>
          <w:rtl/>
        </w:rPr>
        <w:footnoteRef/>
      </w:r>
      <w:r w:rsidRPr="00064619">
        <w:rPr>
          <w:rtl/>
        </w:rPr>
        <w:t>) راجع: الميزان في تفسير القرآن 1: 267 ـ 276.</w:t>
      </w:r>
    </w:p>
  </w:footnote>
  <w:footnote w:id="758">
    <w:p w:rsidR="00F93F13" w:rsidRPr="00064619" w:rsidRDefault="00F93F13" w:rsidP="00064619">
      <w:pPr>
        <w:pStyle w:val="FootnoteText"/>
      </w:pPr>
      <w:r w:rsidRPr="00064619">
        <w:rPr>
          <w:rtl/>
        </w:rPr>
        <w:t>(</w:t>
      </w:r>
      <w:r w:rsidRPr="00064619">
        <w:rPr>
          <w:rtl/>
        </w:rPr>
        <w:footnoteRef/>
      </w:r>
      <w:r w:rsidRPr="00064619">
        <w:rPr>
          <w:rtl/>
        </w:rPr>
        <w:t xml:space="preserve">) راجع: الطبرسي، مجمع البيان 1ـ2: 202، حيث يقول: «واستدلّ أصحابنا بهذه الآية على أن الإمام لا يكون إلاّ معصوماً عن القبائح؛ لأن الله سبحانه نفى أن ينال عهده ـ الذي هو الإمامة ـ ظالم، ومَنْ ليس بمعصوم فقد يكون ظالماً؛ إما لنفسه؛ وإما لغيره»؛ الآخوند الخراساني، كفاية الأصول: 49 ـ 50، بحث المشتقّ، طبع آل البيت. </w:t>
      </w:r>
    </w:p>
  </w:footnote>
  <w:footnote w:id="759">
    <w:p w:rsidR="00F93F13" w:rsidRPr="00064619" w:rsidRDefault="00F93F13" w:rsidP="00064619">
      <w:pPr>
        <w:pStyle w:val="FootnoteText"/>
      </w:pPr>
      <w:r w:rsidRPr="00064619">
        <w:rPr>
          <w:rtl/>
        </w:rPr>
        <w:t>(</w:t>
      </w:r>
      <w:r w:rsidRPr="00064619">
        <w:rPr>
          <w:rtl/>
        </w:rPr>
        <w:footnoteRef/>
      </w:r>
      <w:r w:rsidRPr="00064619">
        <w:rPr>
          <w:rtl/>
        </w:rPr>
        <w:t>) راجع: دراسات في ولاية الفقيه 1: 162 ـ 163.</w:t>
      </w:r>
    </w:p>
  </w:footnote>
  <w:footnote w:id="760">
    <w:p w:rsidR="00F93F13" w:rsidRPr="00064619" w:rsidRDefault="00F93F13" w:rsidP="00064619">
      <w:pPr>
        <w:pStyle w:val="FootnoteText"/>
      </w:pPr>
      <w:r w:rsidRPr="00064619">
        <w:rPr>
          <w:rtl/>
        </w:rPr>
        <w:t>(</w:t>
      </w:r>
      <w:r w:rsidRPr="00064619">
        <w:rPr>
          <w:rtl/>
        </w:rPr>
        <w:footnoteRef/>
      </w:r>
      <w:r w:rsidRPr="00064619">
        <w:rPr>
          <w:rtl/>
        </w:rPr>
        <w:t>) رسائل المحقق الكركي: 142، رسالة صلاة الجمعة، المجموعة الأولى.</w:t>
      </w:r>
    </w:p>
  </w:footnote>
  <w:footnote w:id="761">
    <w:p w:rsidR="00F93F13" w:rsidRPr="00064619" w:rsidRDefault="00F93F13" w:rsidP="00064619">
      <w:pPr>
        <w:pStyle w:val="FootnoteText"/>
        <w:rPr>
          <w:rtl/>
        </w:rPr>
      </w:pPr>
      <w:r w:rsidRPr="00064619">
        <w:rPr>
          <w:rtl/>
        </w:rPr>
        <w:t>(</w:t>
      </w:r>
      <w:r w:rsidRPr="00064619">
        <w:rPr>
          <w:rtl/>
        </w:rPr>
        <w:footnoteRef/>
      </w:r>
      <w:r w:rsidRPr="00064619">
        <w:rPr>
          <w:rtl/>
        </w:rPr>
        <w:t>) عوائد الأيام: 536، العائدة 54: «فالدليل عليه [كلّ ما كان للنبيّ والإمام فيه الولاية فللفقيه أيضاً ذلك] بعد ظاهر الإجماع، بحيث يظهر منهم كونه من المسلَّمات...».</w:t>
      </w:r>
    </w:p>
    <w:p w:rsidR="00F93F13" w:rsidRPr="00064619" w:rsidRDefault="00F93F13" w:rsidP="00064619">
      <w:pPr>
        <w:pStyle w:val="FootnoteText"/>
      </w:pPr>
      <w:r w:rsidRPr="00064619">
        <w:rPr>
          <w:rtl/>
        </w:rPr>
        <w:t>وللاطلاع أكثر على من ادعى الإجماع راجع: فخر المحقّقين، إيضاح الفوائد 1: 352؛ السيد علي الطباطبائي، رياض المسائل؛ مجمع الفائدة والبرهان 7: 567. كشف الغطاء عن مبهمات الشريعة الغراء 4: 430.</w:t>
      </w:r>
    </w:p>
  </w:footnote>
  <w:footnote w:id="762">
    <w:p w:rsidR="00F93F13" w:rsidRPr="00064619" w:rsidRDefault="00F93F13" w:rsidP="00064619">
      <w:pPr>
        <w:pStyle w:val="FootnoteText"/>
      </w:pPr>
      <w:r w:rsidRPr="00064619">
        <w:rPr>
          <w:rtl/>
        </w:rPr>
        <w:t>(</w:t>
      </w:r>
      <w:r w:rsidRPr="00064619">
        <w:rPr>
          <w:rtl/>
        </w:rPr>
        <w:footnoteRef/>
      </w:r>
      <w:r w:rsidRPr="00064619">
        <w:rPr>
          <w:rtl/>
        </w:rPr>
        <w:t>) جواهر الكلام 16: 178.</w:t>
      </w:r>
    </w:p>
  </w:footnote>
  <w:footnote w:id="763">
    <w:p w:rsidR="00F93F13" w:rsidRPr="00064619" w:rsidRDefault="00F93F13" w:rsidP="00064619">
      <w:pPr>
        <w:pStyle w:val="FootnoteText"/>
      </w:pPr>
      <w:r w:rsidRPr="00064619">
        <w:rPr>
          <w:rtl/>
        </w:rPr>
        <w:t>(</w:t>
      </w:r>
      <w:r w:rsidRPr="00064619">
        <w:rPr>
          <w:rtl/>
        </w:rPr>
        <w:footnoteRef/>
      </w:r>
      <w:r w:rsidRPr="00064619">
        <w:rPr>
          <w:rtl/>
        </w:rPr>
        <w:t>) العاملي، مفتاح الكرامة 10: 21.</w:t>
      </w:r>
    </w:p>
  </w:footnote>
  <w:footnote w:id="764">
    <w:p w:rsidR="00F93F13" w:rsidRPr="00064619" w:rsidRDefault="00F93F13" w:rsidP="00064619">
      <w:pPr>
        <w:pStyle w:val="FootnoteText"/>
      </w:pPr>
      <w:r w:rsidRPr="00064619">
        <w:rPr>
          <w:rtl/>
        </w:rPr>
        <w:t>(</w:t>
      </w:r>
      <w:r w:rsidRPr="00064619">
        <w:rPr>
          <w:rtl/>
        </w:rPr>
        <w:footnoteRef/>
      </w:r>
      <w:r w:rsidRPr="00064619">
        <w:rPr>
          <w:rtl/>
        </w:rPr>
        <w:t>) الهمداني، مصباح الفقيه 14: 291، كتاب الخمس.</w:t>
      </w:r>
    </w:p>
  </w:footnote>
  <w:footnote w:id="765">
    <w:p w:rsidR="00F93F13" w:rsidRPr="00064619" w:rsidRDefault="00F93F13" w:rsidP="00064619">
      <w:pPr>
        <w:pStyle w:val="FootnoteText"/>
      </w:pPr>
      <w:r w:rsidRPr="00064619">
        <w:rPr>
          <w:rtl/>
        </w:rPr>
        <w:t>(</w:t>
      </w:r>
      <w:r w:rsidRPr="00064619">
        <w:rPr>
          <w:rtl/>
        </w:rPr>
        <w:footnoteRef/>
      </w:r>
      <w:r w:rsidRPr="00064619">
        <w:rPr>
          <w:rtl/>
        </w:rPr>
        <w:t>) المراغي، العناوين: 354 (الطبعة الحجرية).</w:t>
      </w:r>
    </w:p>
  </w:footnote>
  <w:footnote w:id="766">
    <w:p w:rsidR="00F93F13" w:rsidRPr="00064619" w:rsidRDefault="00F93F13" w:rsidP="00064619">
      <w:pPr>
        <w:pStyle w:val="FootnoteText"/>
      </w:pPr>
      <w:r w:rsidRPr="00064619">
        <w:rPr>
          <w:rtl/>
        </w:rPr>
        <w:t>(</w:t>
      </w:r>
      <w:r w:rsidRPr="00064619">
        <w:rPr>
          <w:rtl/>
        </w:rPr>
        <w:footnoteRef/>
      </w:r>
      <w:r w:rsidRPr="00064619">
        <w:rPr>
          <w:rtl/>
        </w:rPr>
        <w:t>) الدربندي، خزائن الأحكام: لا رقم صفحة، الورقة الثانية بحث ولاية الفقهاء.</w:t>
      </w:r>
    </w:p>
  </w:footnote>
  <w:footnote w:id="767">
    <w:p w:rsidR="00F93F13" w:rsidRPr="00064619" w:rsidRDefault="00F93F13" w:rsidP="00064619">
      <w:pPr>
        <w:pStyle w:val="FootnoteText"/>
      </w:pPr>
      <w:r w:rsidRPr="00064619">
        <w:rPr>
          <w:rtl/>
        </w:rPr>
        <w:t>(</w:t>
      </w:r>
      <w:r w:rsidRPr="00064619">
        <w:rPr>
          <w:rtl/>
        </w:rPr>
        <w:footnoteRef/>
      </w:r>
      <w:r w:rsidRPr="00064619">
        <w:rPr>
          <w:rtl/>
        </w:rPr>
        <w:t>) الشيخ محمد تقي النجفي، رسالة ولاية الحاكم الفقيه، المنشورة في كتاب «حكم نافذ آقا نجفي»: 239.</w:t>
      </w:r>
    </w:p>
  </w:footnote>
  <w:footnote w:id="768">
    <w:p w:rsidR="00F93F13" w:rsidRPr="00064619" w:rsidRDefault="00F93F13" w:rsidP="00064619">
      <w:pPr>
        <w:pStyle w:val="FootnoteText"/>
      </w:pPr>
      <w:r w:rsidRPr="00064619">
        <w:rPr>
          <w:rtl/>
        </w:rPr>
        <w:t>(</w:t>
      </w:r>
      <w:r w:rsidRPr="00064619">
        <w:rPr>
          <w:rtl/>
        </w:rPr>
        <w:footnoteRef/>
      </w:r>
      <w:r w:rsidRPr="00064619">
        <w:rPr>
          <w:rtl/>
        </w:rPr>
        <w:t>) راجع: الخراساني، كفاية الأصول: 289.</w:t>
      </w:r>
    </w:p>
  </w:footnote>
  <w:footnote w:id="769">
    <w:p w:rsidR="00F93F13" w:rsidRPr="00064619" w:rsidRDefault="00F93F13" w:rsidP="00064619">
      <w:pPr>
        <w:pStyle w:val="FootnoteText"/>
      </w:pPr>
      <w:r w:rsidRPr="00064619">
        <w:rPr>
          <w:rtl/>
        </w:rPr>
        <w:t>(</w:t>
      </w:r>
      <w:r w:rsidRPr="00064619">
        <w:rPr>
          <w:rtl/>
        </w:rPr>
        <w:footnoteRef/>
      </w:r>
      <w:r w:rsidRPr="00064619">
        <w:rPr>
          <w:rtl/>
        </w:rPr>
        <w:t>) «ولاية المجتهد ـ التي هي محلّ السؤال ـ كانت محلّ بحث في أول يوم بين المجتهدين. وقد وقع البحث في ثبوت أصل الولاية كما وقع في حدودها وسعة حكومته» (</w:t>
      </w:r>
      <w:r>
        <w:rPr>
          <w:rFonts w:hint="cs"/>
          <w:rtl/>
        </w:rPr>
        <w:t xml:space="preserve">السيد </w:t>
      </w:r>
      <w:r w:rsidRPr="00064619">
        <w:rPr>
          <w:rtl/>
        </w:rPr>
        <w:t>الخميني، كشف الأسرار: 179).</w:t>
      </w:r>
    </w:p>
  </w:footnote>
  <w:footnote w:id="770">
    <w:p w:rsidR="00F93F13" w:rsidRPr="00064619" w:rsidRDefault="00F93F13" w:rsidP="008B29EF">
      <w:pPr>
        <w:pStyle w:val="FootnoteText"/>
      </w:pPr>
      <w:r w:rsidRPr="00064619">
        <w:rPr>
          <w:rtl/>
        </w:rPr>
        <w:t>(</w:t>
      </w:r>
      <w:r w:rsidRPr="00064619">
        <w:rPr>
          <w:rtl/>
        </w:rPr>
        <w:footnoteRef/>
      </w:r>
      <w:r w:rsidRPr="00064619">
        <w:rPr>
          <w:rtl/>
        </w:rPr>
        <w:t>) الخراساني، حاشية كتاب المكاسب: 196؛ نهج الفقاهة: 300؛ جامع المدارك 3: 100؛ مصباح الفقاهة 5: 52. ويرى السيد الخوئي «أن الولاية لم تثبت للفقيه في عصر الغيبة بدليل، وإنما هي مختصة بالنبي والأئمة</w:t>
      </w:r>
      <w:r>
        <w:rPr>
          <w:rFonts w:hint="cs"/>
          <w:rtl/>
        </w:rPr>
        <w:t>^</w:t>
      </w:r>
      <w:r w:rsidRPr="00064619">
        <w:rPr>
          <w:rtl/>
        </w:rPr>
        <w:t>، بل الثابت حسب ما يُستفاد من الروايات أمران: نفوذ قضائه؛ وحجية فتواه، وليس له التصرف في مال القصَّر أو غيره ممّا هو من شؤون الولاية إلاّ في الأمر الحسبي، فإن الفقيه له الولاية في ذلك، لا بالمعنى المدعى، بل بمعنى نفوذ تصرفاته بنفسه أو بوكيله، وانعزال وكيله بموته، وذلك من باب الأخذ بالقدر المتيقَّن... والقدر المتيقَّن ممَّن رضي بتصرفاته المالك الحقيقي (الله تعالى) هو الفقيه الجامع للشرائط، فالثابت للفقيه جواز التصرُّف دون الولاية» (التنقيح في شرح العروة الوثقى، الاجتهاد والتقليد: 424</w:t>
      </w:r>
      <w:r>
        <w:rPr>
          <w:rFonts w:hint="cs"/>
          <w:rtl/>
        </w:rPr>
        <w:t>)</w:t>
      </w:r>
      <w:r w:rsidRPr="00064619">
        <w:rPr>
          <w:rtl/>
        </w:rPr>
        <w:t>.</w:t>
      </w:r>
    </w:p>
  </w:footnote>
  <w:footnote w:id="771">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 </w:t>
      </w:r>
      <w:r w:rsidRPr="00064619">
        <w:rPr>
          <w:rtl/>
        </w:rPr>
        <w:t>الخميني، كتاب البيع 2: 461.</w:t>
      </w:r>
    </w:p>
  </w:footnote>
  <w:footnote w:id="772">
    <w:p w:rsidR="00F93F13" w:rsidRPr="00064619" w:rsidRDefault="00F93F13" w:rsidP="00064619">
      <w:pPr>
        <w:pStyle w:val="FootnoteText"/>
      </w:pPr>
      <w:r w:rsidRPr="00064619">
        <w:rPr>
          <w:rtl/>
        </w:rPr>
        <w:t>(</w:t>
      </w:r>
      <w:r w:rsidRPr="00064619">
        <w:rPr>
          <w:rtl/>
        </w:rPr>
        <w:footnoteRef/>
      </w:r>
      <w:r w:rsidRPr="00064619">
        <w:rPr>
          <w:rtl/>
        </w:rPr>
        <w:t>) الآملي، حول الوحي والقيادة: 123، مقالة الولاية والإمامة.</w:t>
      </w:r>
    </w:p>
  </w:footnote>
  <w:footnote w:id="773">
    <w:p w:rsidR="00F93F13" w:rsidRPr="00064619" w:rsidRDefault="00F93F13" w:rsidP="00064619">
      <w:pPr>
        <w:pStyle w:val="FootnoteText"/>
      </w:pPr>
      <w:r w:rsidRPr="00064619">
        <w:rPr>
          <w:rtl/>
        </w:rPr>
        <w:t>(</w:t>
      </w:r>
      <w:r w:rsidRPr="00064619">
        <w:rPr>
          <w:rtl/>
        </w:rPr>
        <w:footnoteRef/>
      </w:r>
      <w:r w:rsidRPr="00064619">
        <w:rPr>
          <w:rtl/>
        </w:rPr>
        <w:t>) المصدر السابق: 136.</w:t>
      </w:r>
    </w:p>
  </w:footnote>
  <w:footnote w:id="774">
    <w:p w:rsidR="00F93F13" w:rsidRPr="00064619" w:rsidRDefault="00F93F13" w:rsidP="00064619">
      <w:pPr>
        <w:pStyle w:val="FootnoteText"/>
      </w:pPr>
      <w:r w:rsidRPr="00064619">
        <w:rPr>
          <w:rtl/>
        </w:rPr>
        <w:t>(</w:t>
      </w:r>
      <w:r w:rsidRPr="00064619">
        <w:rPr>
          <w:rtl/>
        </w:rPr>
        <w:footnoteRef/>
      </w:r>
      <w:r w:rsidRPr="00064619">
        <w:rPr>
          <w:rtl/>
        </w:rPr>
        <w:t>) المصدر السابق: 142.</w:t>
      </w:r>
    </w:p>
  </w:footnote>
  <w:footnote w:id="775">
    <w:p w:rsidR="00F93F13" w:rsidRPr="00064619" w:rsidRDefault="00F93F13" w:rsidP="00064619">
      <w:pPr>
        <w:pStyle w:val="FootnoteText"/>
      </w:pPr>
      <w:r w:rsidRPr="00064619">
        <w:rPr>
          <w:rtl/>
        </w:rPr>
        <w:t>(</w:t>
      </w:r>
      <w:r w:rsidRPr="00064619">
        <w:rPr>
          <w:rtl/>
        </w:rPr>
        <w:footnoteRef/>
      </w:r>
      <w:r w:rsidRPr="00064619">
        <w:rPr>
          <w:rtl/>
        </w:rPr>
        <w:t>) المصدر السابق: 145.</w:t>
      </w:r>
    </w:p>
  </w:footnote>
  <w:footnote w:id="776">
    <w:p w:rsidR="00F93F13" w:rsidRPr="00064619" w:rsidRDefault="00F93F13" w:rsidP="00064619">
      <w:pPr>
        <w:pStyle w:val="FootnoteText"/>
      </w:pPr>
      <w:r w:rsidRPr="00064619">
        <w:rPr>
          <w:rtl/>
        </w:rPr>
        <w:t>(</w:t>
      </w:r>
      <w:r w:rsidRPr="00064619">
        <w:rPr>
          <w:rtl/>
        </w:rPr>
        <w:footnoteRef/>
      </w:r>
      <w:r w:rsidRPr="00064619">
        <w:rPr>
          <w:rtl/>
        </w:rPr>
        <w:t>) المصدر السابق: 163.</w:t>
      </w:r>
    </w:p>
  </w:footnote>
  <w:footnote w:id="777">
    <w:p w:rsidR="00F93F13" w:rsidRPr="00064619" w:rsidRDefault="00F93F13" w:rsidP="00064619">
      <w:pPr>
        <w:pStyle w:val="FootnoteText"/>
      </w:pPr>
      <w:r w:rsidRPr="00064619">
        <w:rPr>
          <w:rtl/>
        </w:rPr>
        <w:t>(</w:t>
      </w:r>
      <w:r w:rsidRPr="00064619">
        <w:rPr>
          <w:rtl/>
        </w:rPr>
        <w:footnoteRef/>
      </w:r>
      <w:r w:rsidRPr="00064619">
        <w:rPr>
          <w:rtl/>
        </w:rPr>
        <w:t>) ابن سينا، الإلهيات من الشفاء: 441، المقالة العاشرة، الفصل الثاني في إثبات النبوة وكيفية دعوة النبي إلى الله والمعاد إليه.</w:t>
      </w:r>
    </w:p>
  </w:footnote>
  <w:footnote w:id="778">
    <w:p w:rsidR="00F93F13" w:rsidRPr="00064619" w:rsidRDefault="00F93F13" w:rsidP="00064619">
      <w:pPr>
        <w:pStyle w:val="FootnoteText"/>
      </w:pPr>
      <w:r w:rsidRPr="00064619">
        <w:rPr>
          <w:rtl/>
        </w:rPr>
        <w:t>(</w:t>
      </w:r>
      <w:r w:rsidRPr="00064619">
        <w:rPr>
          <w:rtl/>
        </w:rPr>
        <w:footnoteRef/>
      </w:r>
      <w:r w:rsidRPr="00064619">
        <w:rPr>
          <w:rtl/>
        </w:rPr>
        <w:t>) العلاّمة الطباطبائي، بررسيهاي إسلامي، رسالة وحي يا شعور مرموز 1: 233 ـ 248. وراجع أيضاً: الميزان في تفسير القرآن 2: 111 ـ 135، تفسير الآية 213 من سورة البقرة.</w:t>
      </w:r>
    </w:p>
  </w:footnote>
  <w:footnote w:id="779">
    <w:p w:rsidR="00F93F13" w:rsidRPr="00064619" w:rsidRDefault="00F93F13" w:rsidP="00064619">
      <w:pPr>
        <w:pStyle w:val="FootnoteText"/>
      </w:pPr>
      <w:r w:rsidRPr="00064619">
        <w:rPr>
          <w:rtl/>
        </w:rPr>
        <w:t>(</w:t>
      </w:r>
      <w:r w:rsidRPr="00064619">
        <w:rPr>
          <w:rtl/>
        </w:rPr>
        <w:footnoteRef/>
      </w:r>
      <w:r w:rsidRPr="00064619">
        <w:rPr>
          <w:rtl/>
        </w:rPr>
        <w:t>) وللاطلاع أكثر على هذا البرهان راجع: الشيخ مصباح اليزدي، راهنما شناسي: 37.</w:t>
      </w:r>
    </w:p>
  </w:footnote>
  <w:footnote w:id="780">
    <w:p w:rsidR="00F93F13" w:rsidRPr="00064619" w:rsidRDefault="00F93F13" w:rsidP="00064619">
      <w:pPr>
        <w:pStyle w:val="FootnoteText"/>
      </w:pPr>
      <w:r w:rsidRPr="00064619">
        <w:rPr>
          <w:rtl/>
        </w:rPr>
        <w:t>(</w:t>
      </w:r>
      <w:r w:rsidRPr="00064619">
        <w:rPr>
          <w:rtl/>
        </w:rPr>
        <w:footnoteRef/>
      </w:r>
      <w:r w:rsidRPr="00064619">
        <w:rPr>
          <w:rtl/>
        </w:rPr>
        <w:t>) المصدر نفسه: 427.</w:t>
      </w:r>
    </w:p>
  </w:footnote>
  <w:footnote w:id="781">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132.</w:t>
      </w:r>
    </w:p>
  </w:footnote>
  <w:footnote w:id="782">
    <w:p w:rsidR="00F93F13" w:rsidRPr="00064619" w:rsidRDefault="00F93F13" w:rsidP="00064619">
      <w:pPr>
        <w:pStyle w:val="FootnoteText"/>
      </w:pPr>
      <w:r w:rsidRPr="00064619">
        <w:rPr>
          <w:rtl/>
        </w:rPr>
        <w:t>(</w:t>
      </w:r>
      <w:r w:rsidRPr="00064619">
        <w:rPr>
          <w:rtl/>
        </w:rPr>
        <w:footnoteRef/>
      </w:r>
      <w:r w:rsidRPr="00064619">
        <w:rPr>
          <w:rtl/>
        </w:rPr>
        <w:t>) راهنما شناسي: 38.</w:t>
      </w:r>
    </w:p>
  </w:footnote>
  <w:footnote w:id="783">
    <w:p w:rsidR="00F93F13" w:rsidRPr="00064619" w:rsidRDefault="00F93F13" w:rsidP="00064619">
      <w:pPr>
        <w:pStyle w:val="FootnoteText"/>
      </w:pPr>
      <w:r w:rsidRPr="00064619">
        <w:rPr>
          <w:rtl/>
        </w:rPr>
        <w:t>(</w:t>
      </w:r>
      <w:r w:rsidRPr="00064619">
        <w:rPr>
          <w:rtl/>
        </w:rPr>
        <w:footnoteRef/>
      </w:r>
      <w:r w:rsidRPr="00064619">
        <w:rPr>
          <w:rtl/>
        </w:rPr>
        <w:t>) للاطلاع بشكل موسَّع على قاعدة اللطف راجع: السيد محسن خرازي، رسالة قاعدة اللطف، مجموعة مقالات مؤتمر الشيخ المفيد، رقم 35. كذلك راجع: السبحاني، الإلهيات على هدى الكتاب والسنة والعقل (بقلم: الشيخ حسن محمد مكي العاملي) 2: 47 ـ 54.</w:t>
      </w:r>
    </w:p>
  </w:footnote>
  <w:footnote w:id="784">
    <w:p w:rsidR="00F93F13" w:rsidRPr="00064619" w:rsidRDefault="00F93F13" w:rsidP="00064619">
      <w:pPr>
        <w:pStyle w:val="FootnoteText"/>
      </w:pPr>
      <w:r w:rsidRPr="00064619">
        <w:rPr>
          <w:rtl/>
        </w:rPr>
        <w:t>(</w:t>
      </w:r>
      <w:r w:rsidRPr="00064619">
        <w:rPr>
          <w:rtl/>
        </w:rPr>
        <w:footnoteRef/>
      </w:r>
      <w:r w:rsidRPr="00064619">
        <w:rPr>
          <w:rtl/>
        </w:rPr>
        <w:t>) راجع: العلاّمة الحلّي، كشف المراد في شرح تجريد الاعتقاد: 347 ـ 348. وأيضاً: عبد الرزّاق اللاهيجي، سرمايه إيمان: 107 ـ 108.</w:t>
      </w:r>
    </w:p>
  </w:footnote>
  <w:footnote w:id="785">
    <w:p w:rsidR="00F93F13" w:rsidRPr="00064619" w:rsidRDefault="00F93F13" w:rsidP="00064619">
      <w:pPr>
        <w:pStyle w:val="FootnoteText"/>
      </w:pPr>
      <w:r w:rsidRPr="00064619">
        <w:rPr>
          <w:rtl/>
        </w:rPr>
        <w:t>(</w:t>
      </w:r>
      <w:r w:rsidRPr="00064619">
        <w:rPr>
          <w:rtl/>
        </w:rPr>
        <w:footnoteRef/>
      </w:r>
      <w:r w:rsidRPr="00064619">
        <w:rPr>
          <w:rtl/>
        </w:rPr>
        <w:t>) «الإمام لطف فيجب نصبه على الله تعالى؛ تحصيلاً للغرض» (كشف المراد: 262؛ المظفَّر، عقائد الإمامية: 65 ـ 66).</w:t>
      </w:r>
    </w:p>
  </w:footnote>
  <w:footnote w:id="786">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163، وأيضاً: 142.</w:t>
      </w:r>
    </w:p>
  </w:footnote>
  <w:footnote w:id="787">
    <w:p w:rsidR="00F93F13" w:rsidRPr="00064619" w:rsidRDefault="00F93F13" w:rsidP="00064619">
      <w:pPr>
        <w:pStyle w:val="FootnoteText"/>
      </w:pPr>
      <w:r w:rsidRPr="00064619">
        <w:rPr>
          <w:rtl/>
        </w:rPr>
        <w:t>(</w:t>
      </w:r>
      <w:r w:rsidRPr="00064619">
        <w:rPr>
          <w:rtl/>
        </w:rPr>
        <w:footnoteRef/>
      </w:r>
      <w:r w:rsidRPr="00064619">
        <w:rPr>
          <w:rtl/>
        </w:rPr>
        <w:t>) «إن إثبات مقدمات براهين المتكلمين أمر مشكل، ومن الصعوبة إثباتها» (مصباح اليزدي، راهنما شناسي: 37).</w:t>
      </w:r>
    </w:p>
  </w:footnote>
  <w:footnote w:id="788">
    <w:p w:rsidR="00F93F13" w:rsidRPr="00064619" w:rsidRDefault="00F93F13" w:rsidP="00064619">
      <w:pPr>
        <w:pStyle w:val="FootnoteText"/>
      </w:pPr>
      <w:r w:rsidRPr="00064619">
        <w:rPr>
          <w:rtl/>
        </w:rPr>
        <w:t>(</w:t>
      </w:r>
      <w:r w:rsidRPr="00064619">
        <w:rPr>
          <w:rtl/>
        </w:rPr>
        <w:footnoteRef/>
      </w:r>
      <w:r w:rsidRPr="00064619">
        <w:rPr>
          <w:rtl/>
        </w:rPr>
        <w:t>) الطوسي، الاقتصاد: 147؛ الشهيد الأول، الدروس الشرعية: 165؛ الشهيد الثاني، الروضة البهية في شرح اللمعة الدمشقية 1: 192؛ كشف الغطاء عن مبهمات الشريعة الغراء: 419. وراجع أيضاً: السيد محسن خرازي، الأمر بالمعروف والنهي عن المنكر: 32 ـ 40.</w:t>
      </w:r>
    </w:p>
  </w:footnote>
  <w:footnote w:id="789">
    <w:p w:rsidR="00F93F13" w:rsidRPr="00064619" w:rsidRDefault="00F93F13" w:rsidP="00064619">
      <w:pPr>
        <w:pStyle w:val="FootnoteText"/>
      </w:pPr>
      <w:r w:rsidRPr="00064619">
        <w:rPr>
          <w:rtl/>
        </w:rPr>
        <w:t>(</w:t>
      </w:r>
      <w:r w:rsidRPr="00064619">
        <w:rPr>
          <w:rtl/>
        </w:rPr>
        <w:footnoteRef/>
      </w:r>
      <w:r w:rsidRPr="00064619">
        <w:rPr>
          <w:rtl/>
        </w:rPr>
        <w:t>) «دعوى أن إيجابهما من اللطف الذي يصل العقل إلى وجوبه عليه جلَّ شأنه واضحة المنع؛ لوضوح الاكتفاء من الله تعالى بالترغيب والترهيب ونحوهما، ممّا يقرّب معه العبد إلى الطاعة، ويبعده عن المعصية، دون الإلجاء في فعل الواجب وترك المحرم... والعمدة الوجدان؛ ضرورة عدم وصول العقل إلى ذلك على وجه يترتَّب عليه الذم والعقاب، نعم، يمكن دعوى وصوله إلى الرجحان في الجملة، لا على الوجه المزبور» (جواهر الكلام 21: 358 ـ 359).</w:t>
      </w:r>
    </w:p>
  </w:footnote>
  <w:footnote w:id="790">
    <w:p w:rsidR="00F93F13" w:rsidRPr="00064619" w:rsidRDefault="00F93F13" w:rsidP="00064619">
      <w:pPr>
        <w:pStyle w:val="FootnoteText"/>
      </w:pPr>
      <w:r w:rsidRPr="00064619">
        <w:rPr>
          <w:rtl/>
        </w:rPr>
        <w:t>(</w:t>
      </w:r>
      <w:r w:rsidRPr="00064619">
        <w:rPr>
          <w:rtl/>
        </w:rPr>
        <w:footnoteRef/>
      </w:r>
      <w:r w:rsidRPr="00064619">
        <w:rPr>
          <w:rtl/>
        </w:rPr>
        <w:t>) «فاللازم هو الأخذ بما في الموارد المعلومة دون المشكوكة» (السيد محسن خرازي، رسالة قاعدة اللطف: 55).</w:t>
      </w:r>
    </w:p>
  </w:footnote>
  <w:footnote w:id="791">
    <w:p w:rsidR="00F93F13" w:rsidRPr="00064619" w:rsidRDefault="00F93F13" w:rsidP="00064619">
      <w:pPr>
        <w:pStyle w:val="FootnoteText"/>
      </w:pPr>
      <w:r w:rsidRPr="00064619">
        <w:rPr>
          <w:rtl/>
        </w:rPr>
        <w:t>(</w:t>
      </w:r>
      <w:r w:rsidRPr="00064619">
        <w:rPr>
          <w:rtl/>
        </w:rPr>
        <w:footnoteRef/>
      </w:r>
      <w:r w:rsidRPr="00064619">
        <w:rPr>
          <w:rtl/>
        </w:rPr>
        <w:t>) راجع: محسن كديور، كتاب نظريات الحكم في الفقه الشيعي.</w:t>
      </w:r>
    </w:p>
  </w:footnote>
  <w:footnote w:id="792">
    <w:p w:rsidR="00F93F13" w:rsidRPr="00064619" w:rsidRDefault="00F93F13" w:rsidP="00064619">
      <w:pPr>
        <w:pStyle w:val="FootnoteText"/>
      </w:pPr>
      <w:r w:rsidRPr="00064619">
        <w:rPr>
          <w:rtl/>
        </w:rPr>
        <w:t>(</w:t>
      </w:r>
      <w:r w:rsidRPr="00064619">
        <w:rPr>
          <w:rtl/>
        </w:rPr>
        <w:footnoteRef/>
      </w:r>
      <w:r w:rsidRPr="00064619">
        <w:rPr>
          <w:rtl/>
        </w:rPr>
        <w:t>) راهنما شناسي: 39 ـ 64.</w:t>
      </w:r>
    </w:p>
  </w:footnote>
  <w:footnote w:id="793">
    <w:p w:rsidR="00F93F13" w:rsidRPr="00064619" w:rsidRDefault="00F93F13" w:rsidP="00064619">
      <w:pPr>
        <w:pStyle w:val="FootnoteText"/>
      </w:pPr>
      <w:r w:rsidRPr="00064619">
        <w:rPr>
          <w:rtl/>
        </w:rPr>
        <w:t>(</w:t>
      </w:r>
      <w:r w:rsidRPr="00064619">
        <w:rPr>
          <w:rtl/>
        </w:rPr>
        <w:footnoteRef/>
      </w:r>
      <w:r w:rsidRPr="00064619">
        <w:rPr>
          <w:rtl/>
        </w:rPr>
        <w:t>) المصدر السابق: 422 ـ 434.</w:t>
      </w:r>
    </w:p>
  </w:footnote>
  <w:footnote w:id="794">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142.</w:t>
      </w:r>
    </w:p>
  </w:footnote>
  <w:footnote w:id="795">
    <w:p w:rsidR="00F93F13" w:rsidRPr="00064619" w:rsidRDefault="00F93F13" w:rsidP="00064619">
      <w:pPr>
        <w:pStyle w:val="FootnoteText"/>
      </w:pPr>
      <w:r w:rsidRPr="00064619">
        <w:rPr>
          <w:rtl/>
        </w:rPr>
        <w:t>(</w:t>
      </w:r>
      <w:r w:rsidRPr="00064619">
        <w:rPr>
          <w:rtl/>
        </w:rPr>
        <w:footnoteRef/>
      </w:r>
      <w:r w:rsidRPr="00064619">
        <w:rPr>
          <w:rtl/>
        </w:rPr>
        <w:t>) عوائد الأيام: 538، العائدة 54.</w:t>
      </w:r>
    </w:p>
  </w:footnote>
  <w:footnote w:id="796">
    <w:p w:rsidR="00F93F13" w:rsidRPr="00064619" w:rsidRDefault="00F93F13" w:rsidP="00064619">
      <w:pPr>
        <w:pStyle w:val="FootnoteText"/>
      </w:pPr>
      <w:r w:rsidRPr="00064619">
        <w:rPr>
          <w:rtl/>
        </w:rPr>
        <w:t>(</w:t>
      </w:r>
      <w:r w:rsidRPr="00064619">
        <w:rPr>
          <w:rtl/>
        </w:rPr>
        <w:footnoteRef/>
      </w:r>
      <w:r w:rsidRPr="00064619">
        <w:rPr>
          <w:rtl/>
        </w:rPr>
        <w:t>) جواهر الكلام 40: 10 ـ 11.</w:t>
      </w:r>
    </w:p>
  </w:footnote>
  <w:footnote w:id="797">
    <w:p w:rsidR="00F93F13" w:rsidRPr="00064619" w:rsidRDefault="00F93F13" w:rsidP="00064619">
      <w:pPr>
        <w:pStyle w:val="FootnoteText"/>
      </w:pPr>
      <w:r w:rsidRPr="00064619">
        <w:rPr>
          <w:rtl/>
        </w:rPr>
        <w:t>(</w:t>
      </w:r>
      <w:r w:rsidRPr="00064619">
        <w:rPr>
          <w:rtl/>
        </w:rPr>
        <w:footnoteRef/>
      </w:r>
      <w:r w:rsidRPr="00064619">
        <w:rPr>
          <w:rtl/>
        </w:rPr>
        <w:t>) الشيخ صافي الگلپايگاني، ضرورة وجود الحكومة أو ولاية الفقهاء في عصر الغيبة: 12.</w:t>
      </w:r>
    </w:p>
  </w:footnote>
  <w:footnote w:id="798">
    <w:p w:rsidR="00F93F13" w:rsidRPr="00CE7A94" w:rsidRDefault="00F93F13" w:rsidP="00064619">
      <w:pPr>
        <w:pStyle w:val="FootnoteText"/>
        <w:rPr>
          <w:sz w:val="18"/>
          <w:szCs w:val="24"/>
        </w:rPr>
      </w:pPr>
      <w:r w:rsidRPr="00CE7A94">
        <w:rPr>
          <w:sz w:val="18"/>
          <w:szCs w:val="24"/>
          <w:rtl/>
        </w:rPr>
        <w:t>(</w:t>
      </w:r>
      <w:r w:rsidRPr="00CE7A94">
        <w:rPr>
          <w:sz w:val="18"/>
          <w:szCs w:val="24"/>
          <w:rtl/>
        </w:rPr>
        <w:footnoteRef/>
      </w:r>
      <w:r w:rsidRPr="00CE7A94">
        <w:rPr>
          <w:sz w:val="18"/>
          <w:szCs w:val="24"/>
          <w:rtl/>
        </w:rPr>
        <w:t>) المامقاني، رسالة هداية الأنام في حكم أموال الإمام×: 141 ـ 142 (الطبعة الحجرية).</w:t>
      </w:r>
    </w:p>
  </w:footnote>
  <w:footnote w:id="799">
    <w:p w:rsidR="00F93F13" w:rsidRPr="00064619" w:rsidRDefault="00F93F13" w:rsidP="00064619">
      <w:pPr>
        <w:pStyle w:val="FootnoteText"/>
      </w:pPr>
      <w:r w:rsidRPr="00064619">
        <w:rPr>
          <w:rtl/>
        </w:rPr>
        <w:t>(</w:t>
      </w:r>
      <w:r w:rsidRPr="00064619">
        <w:rPr>
          <w:rtl/>
        </w:rPr>
        <w:footnoteRef/>
      </w:r>
      <w:r w:rsidRPr="00064619">
        <w:rPr>
          <w:rtl/>
        </w:rPr>
        <w:t>) الغروي الإصفهاني، حاشية كتاب المكاسب 2: 390؛ الشيخ محمد حسين الأصفهاني، حاشية كتاب المكاسب، تحقيق: عباس محمد آل سباع القطيفي، الطبعة الأولى، قسم أنوار الهدى، 1418هـ.</w:t>
      </w:r>
    </w:p>
  </w:footnote>
  <w:footnote w:id="800">
    <w:p w:rsidR="00F93F13" w:rsidRPr="00064619" w:rsidRDefault="00F93F13" w:rsidP="00064619">
      <w:pPr>
        <w:pStyle w:val="FootnoteText"/>
      </w:pPr>
      <w:r w:rsidRPr="00064619">
        <w:rPr>
          <w:rtl/>
        </w:rPr>
        <w:t>(</w:t>
      </w:r>
      <w:r w:rsidRPr="00064619">
        <w:rPr>
          <w:rtl/>
        </w:rPr>
        <w:footnoteRef/>
      </w:r>
      <w:r w:rsidRPr="00064619">
        <w:rPr>
          <w:rtl/>
        </w:rPr>
        <w:t>) الميزان في تفسير القرآن 5: 32، تفسير الآية 83 من سورة النساء؛ التنقيح في شرح العروة الوثقى، الاجتهاد والتقليد: 424.</w:t>
      </w:r>
    </w:p>
  </w:footnote>
  <w:footnote w:id="801">
    <w:p w:rsidR="00F93F13" w:rsidRPr="00064619" w:rsidRDefault="00F93F13" w:rsidP="00064619">
      <w:pPr>
        <w:pStyle w:val="FootnoteText"/>
      </w:pPr>
      <w:r w:rsidRPr="00064619">
        <w:rPr>
          <w:rtl/>
        </w:rPr>
        <w:t>(</w:t>
      </w:r>
      <w:r w:rsidRPr="00064619">
        <w:rPr>
          <w:rtl/>
        </w:rPr>
        <w:footnoteRef/>
      </w:r>
      <w:r w:rsidRPr="00064619">
        <w:rPr>
          <w:rtl/>
        </w:rPr>
        <w:t>) الشيخ الأراكي، المكاسب المحرمة: 94. لقد ضُمِّن كتاب البيع للشيخ الأراكي رأيه ورأي أستاذه الشيخ عبد الكريم الحائري مؤسِّس الحوزة العلمية في قم حول ولاية الفقيه، إلاّ أنّ آراء هذين الفقيهين في نقد الولاية التعيينية المطلقة للفقيه، والتي كانت مدوَّنة من الصفحة 24 فما بعد من الجزء الثاني، قد تمّ حذفها من دون أي توضيح من المصحِّح أو الناشر. (قم، 1415هـ). ولا بُدَّ من إدانة الإجراءات الاحتياطيّة التعسفيّة التي تطال مؤلَّفات السلف الصالح، والتي تعدّ من مصاديق كتمان الحقّ. فإنْ كان هذا ما يتمّ التعامل به مع اثنين من كبار الفقهاء فماذا تبقّى لغيرهم ممَّن هم أقلّ شأناً؟! وإلى الله المشتكى.</w:t>
      </w:r>
    </w:p>
  </w:footnote>
  <w:footnote w:id="802">
    <w:p w:rsidR="00F93F13" w:rsidRPr="00064619" w:rsidRDefault="00F93F13" w:rsidP="00064619">
      <w:pPr>
        <w:pStyle w:val="FootnoteText"/>
      </w:pPr>
      <w:r w:rsidRPr="00064619">
        <w:rPr>
          <w:rtl/>
        </w:rPr>
        <w:t>(</w:t>
      </w:r>
      <w:r w:rsidRPr="00064619">
        <w:rPr>
          <w:rtl/>
        </w:rPr>
        <w:footnoteRef/>
      </w:r>
      <w:r w:rsidRPr="00064619">
        <w:rPr>
          <w:rtl/>
        </w:rPr>
        <w:t>) الخراساني، حاشية كتاب المكاسب: 196.</w:t>
      </w:r>
    </w:p>
  </w:footnote>
  <w:footnote w:id="803">
    <w:p w:rsidR="00F93F13" w:rsidRPr="00064619" w:rsidRDefault="00F93F13" w:rsidP="00064619">
      <w:pPr>
        <w:pStyle w:val="FootnoteText"/>
      </w:pPr>
      <w:r w:rsidRPr="00064619">
        <w:rPr>
          <w:rtl/>
        </w:rPr>
        <w:t>(</w:t>
      </w:r>
      <w:r w:rsidRPr="00064619">
        <w:rPr>
          <w:rtl/>
        </w:rPr>
        <w:footnoteRef/>
      </w:r>
      <w:r w:rsidRPr="00064619">
        <w:rPr>
          <w:rtl/>
        </w:rPr>
        <w:t>) البروجردي، البدر الزاهر في صلاة الجمعة والمسافر (تقرير أبحاثه بقلم: الشيخ المنتظري): 72 ـ 79.</w:t>
      </w:r>
    </w:p>
  </w:footnote>
  <w:footnote w:id="804">
    <w:p w:rsidR="00F93F13" w:rsidRPr="00064619" w:rsidRDefault="00F93F13" w:rsidP="00064619">
      <w:pPr>
        <w:pStyle w:val="FootnoteText"/>
      </w:pPr>
      <w:r w:rsidRPr="00064619">
        <w:rPr>
          <w:rtl/>
        </w:rPr>
        <w:t>(</w:t>
      </w:r>
      <w:r w:rsidRPr="00064619">
        <w:rPr>
          <w:rtl/>
        </w:rPr>
        <w:footnoteRef/>
      </w:r>
      <w:r w:rsidRPr="00064619">
        <w:rPr>
          <w:rtl/>
        </w:rPr>
        <w:t>) دراسات في ولاية الفقيه 1: 460.</w:t>
      </w:r>
    </w:p>
  </w:footnote>
  <w:footnote w:id="805">
    <w:p w:rsidR="00F93F13" w:rsidRPr="00064619" w:rsidRDefault="00F93F13" w:rsidP="00064619">
      <w:pPr>
        <w:pStyle w:val="FootnoteText"/>
      </w:pPr>
      <w:r w:rsidRPr="00064619">
        <w:rPr>
          <w:rtl/>
        </w:rPr>
        <w:t>(</w:t>
      </w:r>
      <w:r w:rsidRPr="00064619">
        <w:rPr>
          <w:rtl/>
        </w:rPr>
        <w:footnoteRef/>
      </w:r>
      <w:r w:rsidRPr="00064619">
        <w:rPr>
          <w:rtl/>
        </w:rPr>
        <w:t>) منتظري، دراسات في ولاية الفقيه 1: 460.</w:t>
      </w:r>
    </w:p>
  </w:footnote>
  <w:footnote w:id="806">
    <w:p w:rsidR="00F93F13" w:rsidRPr="00064619" w:rsidRDefault="00F93F13" w:rsidP="00064619">
      <w:pPr>
        <w:pStyle w:val="FootnoteText"/>
      </w:pPr>
      <w:r w:rsidRPr="00064619">
        <w:rPr>
          <w:rtl/>
        </w:rPr>
        <w:t>(</w:t>
      </w:r>
      <w:r w:rsidRPr="00064619">
        <w:rPr>
          <w:rtl/>
        </w:rPr>
        <w:footnoteRef/>
      </w:r>
      <w:r w:rsidRPr="00064619">
        <w:rPr>
          <w:rtl/>
        </w:rPr>
        <w:t>)</w:t>
      </w:r>
      <w:r>
        <w:rPr>
          <w:rFonts w:hint="cs"/>
          <w:rtl/>
        </w:rPr>
        <w:t xml:space="preserve"> السيد</w:t>
      </w:r>
      <w:r w:rsidRPr="00064619">
        <w:rPr>
          <w:rtl/>
        </w:rPr>
        <w:t xml:space="preserve"> الخميني، كتاب البيع 1: 460.</w:t>
      </w:r>
    </w:p>
  </w:footnote>
  <w:footnote w:id="807">
    <w:p w:rsidR="00F93F13" w:rsidRPr="00064619" w:rsidRDefault="00F93F13" w:rsidP="00064619">
      <w:pPr>
        <w:pStyle w:val="FootnoteText"/>
      </w:pPr>
      <w:r w:rsidRPr="00064619">
        <w:rPr>
          <w:rtl/>
        </w:rPr>
        <w:t>(</w:t>
      </w:r>
      <w:r w:rsidRPr="00064619">
        <w:rPr>
          <w:rtl/>
        </w:rPr>
        <w:footnoteRef/>
      </w:r>
      <w:r w:rsidRPr="00064619">
        <w:rPr>
          <w:rtl/>
        </w:rPr>
        <w:t xml:space="preserve">) </w:t>
      </w:r>
      <w:r>
        <w:rPr>
          <w:rFonts w:hint="cs"/>
          <w:rtl/>
        </w:rPr>
        <w:t xml:space="preserve">السيد </w:t>
      </w:r>
      <w:r w:rsidRPr="00064619">
        <w:rPr>
          <w:rtl/>
        </w:rPr>
        <w:t xml:space="preserve">الخميني، كتاب البيع 2: 460 ـ 467؛ </w:t>
      </w:r>
      <w:r>
        <w:rPr>
          <w:rFonts w:hint="cs"/>
          <w:rtl/>
        </w:rPr>
        <w:t xml:space="preserve">السيد </w:t>
      </w:r>
      <w:r w:rsidRPr="00064619">
        <w:rPr>
          <w:rtl/>
        </w:rPr>
        <w:t>الخميني، الحكومة الإسلامية: 38 ـ 41.</w:t>
      </w:r>
    </w:p>
  </w:footnote>
  <w:footnote w:id="808">
    <w:p w:rsidR="00F93F13" w:rsidRPr="00064619" w:rsidRDefault="00F93F13" w:rsidP="00064619">
      <w:pPr>
        <w:pStyle w:val="FootnoteText"/>
      </w:pPr>
      <w:r w:rsidRPr="00064619">
        <w:rPr>
          <w:rtl/>
        </w:rPr>
        <w:t>(</w:t>
      </w:r>
      <w:r w:rsidRPr="00064619">
        <w:rPr>
          <w:rtl/>
        </w:rPr>
        <w:footnoteRef/>
      </w:r>
      <w:r w:rsidRPr="00064619">
        <w:rPr>
          <w:rtl/>
        </w:rPr>
        <w:t>) جوادي الآملي، حول الوحي والقيادة: 146 ـ 147، مقالة الإمامة والولاية.</w:t>
      </w:r>
    </w:p>
  </w:footnote>
  <w:footnote w:id="809">
    <w:p w:rsidR="00F93F13" w:rsidRPr="00064619" w:rsidRDefault="00F93F13" w:rsidP="00064619">
      <w:pPr>
        <w:pStyle w:val="FootnoteText"/>
      </w:pPr>
      <w:r w:rsidRPr="00064619">
        <w:rPr>
          <w:rtl/>
        </w:rPr>
        <w:t>(</w:t>
      </w:r>
      <w:r w:rsidRPr="00064619">
        <w:rPr>
          <w:rtl/>
        </w:rPr>
        <w:footnoteRef/>
      </w:r>
      <w:r w:rsidRPr="00064619">
        <w:rPr>
          <w:rtl/>
        </w:rPr>
        <w:t>) الشيخ مصباح اليزدي، مقالة «اختيارات ولي فقيه در خارج أز مرزها، بخش أدله عقلي ولايت فقيه»، المنشورة في المجلّة الفصلية «حكومت إسلامي»، العدد 1: 89 ـ 91، خريف 1375هـ.ش، وقد ترجمت هذه المقالة في مجلة «قضايا إسلامية معاصرة»، العدد 2: 43 ـ 55، 1998. والنص المنقول هنا هو نصّ الترجمة في مجلة «قضايا إسلامية معاصرة».</w:t>
      </w:r>
    </w:p>
  </w:footnote>
  <w:footnote w:id="810">
    <w:p w:rsidR="00F93F13" w:rsidRPr="004D6527" w:rsidRDefault="00F93F13" w:rsidP="004D6527">
      <w:pPr>
        <w:pStyle w:val="FootnoteText"/>
        <w:jc w:val="left"/>
        <w:rPr>
          <w:rFonts w:ascii="Mosawi" w:hAnsi="Mosawi"/>
          <w:color w:val="000000" w:themeColor="text1"/>
          <w:sz w:val="30"/>
          <w:rtl/>
        </w:rPr>
      </w:pPr>
      <w:r w:rsidRPr="004D6527">
        <w:rPr>
          <w:rFonts w:hint="cs"/>
          <w:color w:val="000000" w:themeColor="text1"/>
          <w:rtl/>
        </w:rPr>
        <w:t>(</w:t>
      </w:r>
      <w:r w:rsidRPr="004D6527">
        <w:rPr>
          <w:rStyle w:val="FootnoteReference"/>
          <w:color w:val="000000" w:themeColor="text1"/>
          <w:vertAlign w:val="baseline"/>
        </w:rPr>
        <w:footnoteRef/>
      </w:r>
      <w:r w:rsidRPr="004D6527">
        <w:rPr>
          <w:rFonts w:hint="cs"/>
          <w:color w:val="000000" w:themeColor="text1"/>
          <w:rtl/>
        </w:rPr>
        <w:t xml:space="preserve">) </w:t>
      </w:r>
      <w:r w:rsidRPr="004D6527">
        <w:rPr>
          <w:rFonts w:ascii="Mosawi" w:hAnsi="Mosawi"/>
          <w:color w:val="000000" w:themeColor="text1"/>
          <w:sz w:val="30"/>
          <w:rtl/>
        </w:rPr>
        <w:t xml:space="preserve">الموجودة في </w:t>
      </w:r>
      <w:r w:rsidRPr="004D6527">
        <w:rPr>
          <w:rFonts w:ascii="Mosawi" w:hAnsi="Mosawi" w:hint="cs"/>
          <w:color w:val="000000" w:themeColor="text1"/>
          <w:sz w:val="30"/>
          <w:rtl/>
        </w:rPr>
        <w:t>الموقع الرسمي ل</w:t>
      </w:r>
      <w:r w:rsidRPr="004D6527">
        <w:rPr>
          <w:rFonts w:ascii="Mosawi" w:hAnsi="Mosawi"/>
          <w:color w:val="000000" w:themeColor="text1"/>
          <w:sz w:val="30"/>
          <w:rtl/>
        </w:rPr>
        <w:t>لمؤلف في الشبكة العنكبوتية (الانترنت)</w:t>
      </w:r>
      <w:r w:rsidRPr="004D6527">
        <w:rPr>
          <w:rFonts w:ascii="Mosawi" w:hAnsi="Mosawi" w:hint="cs"/>
          <w:color w:val="000000" w:themeColor="text1"/>
          <w:sz w:val="30"/>
          <w:rtl/>
        </w:rPr>
        <w:t xml:space="preserve">  </w:t>
      </w:r>
      <w:hyperlink r:id="rId1" w:history="1">
        <w:r w:rsidRPr="004D6527">
          <w:rPr>
            <w:rFonts w:ascii="Arial" w:hAnsi="Arial" w:cs="Arial"/>
            <w:color w:val="000000" w:themeColor="text1"/>
            <w:sz w:val="22"/>
            <w:szCs w:val="22"/>
            <w:u w:val="single"/>
          </w:rPr>
          <w:t>www.kadivar.com</w:t>
        </w:r>
      </w:hyperlink>
      <w:r w:rsidRPr="004D6527">
        <w:rPr>
          <w:rFonts w:ascii="Mosawi" w:hAnsi="Mosawi" w:hint="cs"/>
          <w:color w:val="000000" w:themeColor="text1"/>
          <w:sz w:val="30"/>
          <w:rtl/>
        </w:rPr>
        <w:t>،</w:t>
      </w:r>
      <w:r w:rsidRPr="004D6527">
        <w:rPr>
          <w:rFonts w:ascii="Mosawi" w:hAnsi="Mosawi"/>
          <w:color w:val="000000" w:themeColor="text1"/>
          <w:sz w:val="30"/>
        </w:rPr>
        <w:t xml:space="preserve"> </w:t>
      </w:r>
      <w:r w:rsidRPr="004D6527">
        <w:rPr>
          <w:rFonts w:ascii="Mosawi" w:hAnsi="Mosawi" w:hint="cs"/>
          <w:color w:val="000000" w:themeColor="text1"/>
          <w:sz w:val="30"/>
          <w:rtl/>
        </w:rPr>
        <w:t xml:space="preserve"> </w:t>
      </w:r>
      <w:hyperlink r:id="rId2" w:history="1">
        <w:r w:rsidRPr="004D6527">
          <w:rPr>
            <w:rStyle w:val="Hyperlink"/>
            <w:rFonts w:ascii="Arial" w:hAnsi="Arial" w:cs="Arial"/>
            <w:color w:val="000000" w:themeColor="text1"/>
            <w:sz w:val="22"/>
            <w:szCs w:val="22"/>
          </w:rPr>
          <w:t>kadivar.mohsen59@gmail.com</w:t>
        </w:r>
      </w:hyperlink>
      <w:r w:rsidRPr="004D6527">
        <w:rPr>
          <w:rFonts w:ascii="Arial" w:hAnsi="Arial" w:cs="Arial" w:hint="cs"/>
          <w:color w:val="000000" w:themeColor="text1"/>
          <w:sz w:val="22"/>
          <w:szCs w:val="22"/>
          <w:rtl/>
        </w:rPr>
        <w:t xml:space="preserve">، </w:t>
      </w:r>
      <w:r w:rsidRPr="004D6527">
        <w:rPr>
          <w:rFonts w:ascii="Mosawi" w:hAnsi="Mosawi" w:hint="cs"/>
          <w:color w:val="000000" w:themeColor="text1"/>
          <w:sz w:val="30"/>
          <w:rtl/>
        </w:rPr>
        <w:t xml:space="preserve">بعد منع المؤلف من طباعة كتبه في إيران، اضطر إلى نشر الجديد منها الكترونياً فقط. </w:t>
      </w:r>
    </w:p>
    <w:p w:rsidR="00F93F13" w:rsidRPr="00AA2BEA" w:rsidRDefault="00F93F13" w:rsidP="004D652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EA348C" w:rsidRDefault="00F93F13" w:rsidP="002B00D1">
    <w:pPr>
      <w:tabs>
        <w:tab w:val="right" w:leader="dot" w:pos="6803"/>
      </w:tabs>
      <w:spacing w:line="264" w:lineRule="auto"/>
      <w:ind w:firstLine="0"/>
      <w:rPr>
        <w:rtl/>
      </w:rPr>
    </w:pPr>
    <w:r>
      <w:rPr>
        <w:rFonts w:cs="AF_Najed"/>
        <w:noProof/>
        <w:sz w:val="30"/>
        <w:rtl/>
      </w:rPr>
      <mc:AlternateContent>
        <mc:Choice Requires="wps">
          <w:drawing>
            <wp:anchor distT="0" distB="0" distL="114300" distR="114300" simplePos="0" relativeHeight="251640320" behindDoc="0" locked="0" layoutInCell="1" allowOverlap="1" wp14:anchorId="33A891F0" wp14:editId="64F36D51">
              <wp:simplePos x="0" y="0"/>
              <wp:positionH relativeFrom="margin">
                <wp:align>center</wp:align>
              </wp:positionH>
              <wp:positionV relativeFrom="paragraph">
                <wp:posOffset>276225</wp:posOffset>
              </wp:positionV>
              <wp:extent cx="4320000" cy="0"/>
              <wp:effectExtent l="0" t="0" r="2349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79784E" id="_x0000_t32" coordsize="21600,21600" o:spt="32" o:oned="t" path="m,l21600,21600e" filled="f">
              <v:path arrowok="t" fillok="f" o:connecttype="none"/>
              <o:lock v:ext="edit" shapetype="t"/>
            </v:shapetype>
            <v:shape id="Straight Arrow Connector 1" o:spid="_x0000_s1026" type="#_x0000_t32" style="position:absolute;margin-left:0;margin-top:21.75pt;width:340.15pt;height:0;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5Atx/5oCAACEBQAADgAAAAAAAAAAAAAAAAAuAgAAZHJzL2Uyb0Rv&#10;Yy54bWxQSwECLQAUAAYACAAAACEAfv/AKNwAAAAGAQAADwAAAAAAAAAAAAAAAAD0BAAAZHJzL2Rv&#10;d25yZXYueG1sUEsFBgAAAAAEAAQA8wAAAP0FAAAAAA==&#10;" strokeweight="1.2pt">
              <v:shadow color="#868686"/>
              <w10:wrap anchorx="margin"/>
            </v:shape>
          </w:pict>
        </mc:Fallback>
      </mc:AlternateContent>
    </w:r>
    <w:r>
      <w:fldChar w:fldCharType="begin"/>
    </w:r>
    <w:r>
      <w:instrText xml:space="preserve"> PAGE   \* MERGEFORMAT </w:instrText>
    </w:r>
    <w:r>
      <w:fldChar w:fldCharType="separate"/>
    </w:r>
    <w:r>
      <w:rPr>
        <w:noProof/>
        <w:rtl/>
      </w:rPr>
      <w:t>2</w:t>
    </w:r>
    <w:r>
      <w:rPr>
        <w:noProof/>
      </w:rPr>
      <w:fldChar w:fldCharType="end"/>
    </w:r>
    <w:r>
      <w:rPr>
        <w:rFonts w:hint="cs"/>
        <w:rtl/>
      </w:rPr>
      <w:tab/>
    </w:r>
    <w:r>
      <w:rPr>
        <w:rFonts w:cs="AF_Najed" w:hint="cs"/>
        <w:noProof/>
        <w:sz w:val="30"/>
        <w:rtl/>
      </w:rPr>
      <w:t>اسم الكتاب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4C06A0">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48512" behindDoc="0" locked="0" layoutInCell="1" allowOverlap="1" wp14:anchorId="493EECCD" wp14:editId="0E0F58E1">
              <wp:simplePos x="0" y="0"/>
              <wp:positionH relativeFrom="margin">
                <wp:align>center</wp:align>
              </wp:positionH>
              <wp:positionV relativeFrom="paragraph">
                <wp:posOffset>276225</wp:posOffset>
              </wp:positionV>
              <wp:extent cx="4320000" cy="0"/>
              <wp:effectExtent l="0" t="0" r="2349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76FD9C" id="_x0000_t32" coordsize="21600,21600" o:spt="32" o:oned="t" path="m,l21600,21600e" filled="f">
              <v:path arrowok="t" fillok="f" o:connecttype="none"/>
              <o:lock v:ext="edit" shapetype="t"/>
            </v:shapetype>
            <v:shape id="Straight Arrow Connector 3" o:spid="_x0000_s1026" type="#_x0000_t32" style="position:absolute;margin-left:0;margin-top:21.75pt;width:340.15pt;height:0;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W4YLC5oCAACEBQAADgAAAAAAAAAAAAAAAAAuAgAAZHJzL2Uyb0Rv&#10;Yy54bWxQSwECLQAUAAYACAAAACEAfv/AKNwAAAAGAQAADwAAAAAAAAAAAAAAAAD0BAAAZHJzL2Rv&#10;d25yZXYueG1sUEsFBgAAAAAEAAQA8wAAAP0FAAAAAA==&#10;" strokeweight="1.2pt">
              <v:shadow color="#868686"/>
              <w10:wrap anchorx="margin"/>
            </v:shape>
          </w:pict>
        </mc:Fallback>
      </mc:AlternateContent>
    </w:r>
    <w:r>
      <w:rPr>
        <w:rFonts w:cs="Ya-Ali" w:hint="cs"/>
        <w:noProof/>
        <w:szCs w:val="28"/>
        <w:rtl/>
      </w:rPr>
      <w:t>مقدمة القسم الأوّل: المبادئ التصوّرية للولاية</w:t>
    </w:r>
    <w:r>
      <w:rPr>
        <w:rFonts w:cs="Ya-Ali"/>
        <w:noProof/>
        <w:szCs w:val="28"/>
        <w:rtl/>
      </w:rPr>
      <w:fldChar w:fldCharType="begin"/>
    </w:r>
    <w:r>
      <w:rPr>
        <w:rFonts w:cs="Ya-Ali"/>
        <w:noProof/>
        <w:szCs w:val="28"/>
        <w:rtl/>
      </w:rPr>
      <w:instrText xml:space="preserve"> </w:instrText>
    </w:r>
    <w:r>
      <w:rPr>
        <w:rFonts w:cs="Ya-Ali" w:hint="cs"/>
        <w:noProof/>
        <w:szCs w:val="28"/>
      </w:rPr>
      <w:instrText xml:space="preserve">STYLEREF  "Heading </w:instrText>
    </w:r>
    <w:r>
      <w:rPr>
        <w:rFonts w:cs="Ya-Ali" w:hint="cs"/>
        <w:noProof/>
        <w:szCs w:val="28"/>
        <w:rtl/>
      </w:rPr>
      <w:instrText>2</w:instrText>
    </w:r>
    <w:r>
      <w:rPr>
        <w:rFonts w:cs="Ya-Ali" w:hint="cs"/>
        <w:noProof/>
        <w:szCs w:val="28"/>
      </w:rPr>
      <w:instrText>"  \* MERGEFORMAT</w:instrText>
    </w:r>
    <w:r>
      <w:rPr>
        <w:rFonts w:cs="Ya-Ali"/>
        <w:noProof/>
        <w:szCs w:val="28"/>
        <w:rtl/>
      </w:rPr>
      <w:instrText xml:space="preserve"> </w:instrText>
    </w:r>
    <w:r>
      <w:rPr>
        <w:rFonts w:cs="Ya-Ali"/>
        <w:noProof/>
        <w:szCs w:val="28"/>
        <w:rtl/>
      </w:rPr>
      <w:fldChar w:fldCharType="end"/>
    </w:r>
    <w:r w:rsidRPr="004C06A0">
      <w:rPr>
        <w:rFonts w:cs="Ya-Ali"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37</w:t>
    </w:r>
    <w:r w:rsidRPr="000037AD">
      <w:rPr>
        <w:noProof/>
        <w:szCs w:val="28"/>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43392" behindDoc="0" locked="0" layoutInCell="1" allowOverlap="1" wp14:anchorId="4B5D4980" wp14:editId="54D9847F">
              <wp:simplePos x="0" y="0"/>
              <wp:positionH relativeFrom="margin">
                <wp:align>center</wp:align>
              </wp:positionH>
              <wp:positionV relativeFrom="paragraph">
                <wp:posOffset>276225</wp:posOffset>
              </wp:positionV>
              <wp:extent cx="4320000" cy="0"/>
              <wp:effectExtent l="0" t="0" r="2349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8206F8" id="_x0000_t32" coordsize="21600,21600" o:spt="32" o:oned="t" path="m,l21600,21600e" filled="f">
              <v:path arrowok="t" fillok="f" o:connecttype="none"/>
              <o:lock v:ext="edit" shapetype="t"/>
            </v:shapetype>
            <v:shape id="Straight Arrow Connector 31" o:spid="_x0000_s1026" type="#_x0000_t32" style="position:absolute;margin-left:0;margin-top:21.75pt;width:340.15pt;height:0;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BlCTranAIAAIYFAAAOAAAAAAAAAAAAAAAAAC4CAABkcnMvZTJv&#10;RG9jLnhtbFBLAQItABQABgAIAAAAIQB+/8Ao3AAAAAYBAAAPAAAAAAAAAAAAAAAAAPYEAABkcnMv&#10;ZG93bnJldi54bWxQSwUGAAAAAAQABADzAAAA/wU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40</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4C06A0">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62848" behindDoc="0" locked="0" layoutInCell="1" allowOverlap="1" wp14:anchorId="305D08F1" wp14:editId="7C2CD9EB">
              <wp:simplePos x="0" y="0"/>
              <wp:positionH relativeFrom="margin">
                <wp:align>center</wp:align>
              </wp:positionH>
              <wp:positionV relativeFrom="paragraph">
                <wp:posOffset>276225</wp:posOffset>
              </wp:positionV>
              <wp:extent cx="4320000" cy="0"/>
              <wp:effectExtent l="0" t="0" r="23495"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F32FC5" id="_x0000_t32" coordsize="21600,21600" o:spt="32" o:oned="t" path="m,l21600,21600e" filled="f">
              <v:path arrowok="t" fillok="f" o:connecttype="none"/>
              <o:lock v:ext="edit" shapetype="t"/>
            </v:shapetype>
            <v:shape id="Straight Arrow Connector 32" o:spid="_x0000_s1026" type="#_x0000_t32" style="position:absolute;margin-left:0;margin-top:21.75pt;width:340.15pt;height:0;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EU+COy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hint="cs"/>
        <w:noProof/>
        <w:szCs w:val="28"/>
        <w:rtl/>
      </w:rPr>
      <w:t>الفصل الأوّل: المعنى اللغوي للولاية</w:t>
    </w:r>
    <w:r>
      <w:rPr>
        <w:rFonts w:cs="Ya-Ali"/>
        <w:noProof/>
        <w:szCs w:val="28"/>
        <w:rtl/>
      </w:rPr>
      <w:fldChar w:fldCharType="begin"/>
    </w:r>
    <w:r>
      <w:rPr>
        <w:rFonts w:cs="Ya-Ali"/>
        <w:noProof/>
        <w:szCs w:val="28"/>
        <w:rtl/>
      </w:rPr>
      <w:instrText xml:space="preserve"> </w:instrText>
    </w:r>
    <w:r>
      <w:rPr>
        <w:rFonts w:cs="Ya-Ali" w:hint="cs"/>
        <w:noProof/>
        <w:szCs w:val="28"/>
      </w:rPr>
      <w:instrText xml:space="preserve">STYLEREF  "Heading </w:instrText>
    </w:r>
    <w:r>
      <w:rPr>
        <w:rFonts w:cs="Ya-Ali" w:hint="cs"/>
        <w:noProof/>
        <w:szCs w:val="28"/>
        <w:rtl/>
      </w:rPr>
      <w:instrText>2</w:instrText>
    </w:r>
    <w:r>
      <w:rPr>
        <w:rFonts w:cs="Ya-Ali" w:hint="cs"/>
        <w:noProof/>
        <w:szCs w:val="28"/>
      </w:rPr>
      <w:instrText>"  \* MERGEFORMAT</w:instrText>
    </w:r>
    <w:r>
      <w:rPr>
        <w:rFonts w:cs="Ya-Ali"/>
        <w:noProof/>
        <w:szCs w:val="28"/>
        <w:rtl/>
      </w:rPr>
      <w:instrText xml:space="preserve"> </w:instrText>
    </w:r>
    <w:r>
      <w:rPr>
        <w:rFonts w:cs="Ya-Ali"/>
        <w:noProof/>
        <w:szCs w:val="28"/>
        <w:rtl/>
      </w:rPr>
      <w:fldChar w:fldCharType="end"/>
    </w:r>
    <w:r w:rsidRPr="004C06A0">
      <w:rPr>
        <w:rFonts w:cs="Ya-Ali"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41</w:t>
    </w:r>
    <w:r w:rsidRPr="000037AD">
      <w:rPr>
        <w:noProof/>
        <w:szCs w:val="2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49536" behindDoc="0" locked="0" layoutInCell="1" allowOverlap="1" wp14:anchorId="3E8B0A85" wp14:editId="771F620F">
              <wp:simplePos x="0" y="0"/>
              <wp:positionH relativeFrom="margin">
                <wp:align>center</wp:align>
              </wp:positionH>
              <wp:positionV relativeFrom="paragraph">
                <wp:posOffset>276225</wp:posOffset>
              </wp:positionV>
              <wp:extent cx="4320000" cy="0"/>
              <wp:effectExtent l="0" t="0" r="2349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A998D8" id="_x0000_t32" coordsize="21600,21600" o:spt="32" o:oned="t" path="m,l21600,21600e" filled="f">
              <v:path arrowok="t" fillok="f" o:connecttype="none"/>
              <o:lock v:ext="edit" shapetype="t"/>
            </v:shapetype>
            <v:shape id="Straight Arrow Connector 33" o:spid="_x0000_s1026" type="#_x0000_t32" style="position:absolute;margin-left:0;margin-top:21.75pt;width:340.15pt;height:0;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JouyUi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104</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4C06A0">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64896" behindDoc="0" locked="0" layoutInCell="1" allowOverlap="1" wp14:anchorId="5FFEEA3E" wp14:editId="516D34F9">
              <wp:simplePos x="0" y="0"/>
              <wp:positionH relativeFrom="margin">
                <wp:align>center</wp:align>
              </wp:positionH>
              <wp:positionV relativeFrom="paragraph">
                <wp:posOffset>276225</wp:posOffset>
              </wp:positionV>
              <wp:extent cx="4320000" cy="0"/>
              <wp:effectExtent l="0" t="0" r="23495"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359928" id="_x0000_t32" coordsize="21600,21600" o:spt="32" o:oned="t" path="m,l21600,21600e" filled="f">
              <v:path arrowok="t" fillok="f" o:connecttype="none"/>
              <o:lock v:ext="edit" shapetype="t"/>
            </v:shapetype>
            <v:shape id="Straight Arrow Connector 34" o:spid="_x0000_s1026" type="#_x0000_t32" style="position:absolute;margin-left:0;margin-top:21.75pt;width:340.15pt;height:0;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AVQbIC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hint="cs"/>
        <w:noProof/>
        <w:szCs w:val="28"/>
      </w:rPr>
      <w:instrText xml:space="preserve">STYLEREF  "Heading </w:instrText>
    </w:r>
    <w:r>
      <w:rPr>
        <w:rFonts w:cs="Ya-Ali" w:hint="cs"/>
        <w:noProof/>
        <w:szCs w:val="28"/>
        <w:rtl/>
      </w:rPr>
      <w:instrText>2</w:instrText>
    </w:r>
    <w:r>
      <w:rPr>
        <w:rFonts w:cs="Ya-Ali" w:hint="cs"/>
        <w:noProof/>
        <w:szCs w:val="28"/>
      </w:rPr>
      <w:instrText>"  \* MERGEFORMAT</w:instrText>
    </w:r>
    <w:r>
      <w:rPr>
        <w:rFonts w:cs="Ya-Ali"/>
        <w:noProof/>
        <w:szCs w:val="28"/>
        <w:rtl/>
      </w:rPr>
      <w:instrText xml:space="preserve"> </w:instrText>
    </w:r>
    <w:r w:rsidR="005E56C5">
      <w:rPr>
        <w:rFonts w:cs="Ya-Ali"/>
        <w:noProof/>
        <w:szCs w:val="28"/>
        <w:rtl/>
      </w:rPr>
      <w:fldChar w:fldCharType="separate"/>
    </w:r>
    <w:r w:rsidR="005E56C5">
      <w:rPr>
        <w:rFonts w:cs="Ya-Ali" w:hint="eastAsia"/>
        <w:noProof/>
        <w:szCs w:val="28"/>
        <w:rtl/>
      </w:rPr>
      <w:t>الفصل</w:t>
    </w:r>
    <w:r w:rsidR="005E56C5">
      <w:rPr>
        <w:rFonts w:cs="Ya-Ali"/>
        <w:noProof/>
        <w:szCs w:val="28"/>
        <w:rtl/>
      </w:rPr>
      <w:t xml:space="preserve"> </w:t>
    </w:r>
    <w:r w:rsidR="005E56C5">
      <w:rPr>
        <w:rFonts w:cs="Ya-Ali" w:hint="eastAsia"/>
        <w:noProof/>
        <w:szCs w:val="28"/>
        <w:rtl/>
      </w:rPr>
      <w:t>السادس</w:t>
    </w:r>
    <w:r w:rsidR="005E56C5">
      <w:rPr>
        <w:rFonts w:cs="Ya-Ali"/>
        <w:noProof/>
        <w:szCs w:val="28"/>
        <w:rtl/>
      </w:rPr>
      <w:t xml:space="preserve">: </w:t>
    </w:r>
    <w:r w:rsidR="005E56C5">
      <w:rPr>
        <w:rFonts w:cs="Ya-Ali" w:hint="eastAsia"/>
        <w:noProof/>
        <w:szCs w:val="28"/>
        <w:rtl/>
      </w:rPr>
      <w:t>الولاية</w:t>
    </w:r>
    <w:r w:rsidR="005E56C5">
      <w:rPr>
        <w:rFonts w:cs="Ya-Ali"/>
        <w:noProof/>
        <w:szCs w:val="28"/>
        <w:rtl/>
      </w:rPr>
      <w:t xml:space="preserve"> </w:t>
    </w:r>
    <w:r w:rsidR="005E56C5">
      <w:rPr>
        <w:rFonts w:cs="Ya-Ali" w:hint="eastAsia"/>
        <w:noProof/>
        <w:szCs w:val="28"/>
        <w:rtl/>
      </w:rPr>
      <w:t>في</w:t>
    </w:r>
    <w:r w:rsidR="005E56C5">
      <w:rPr>
        <w:rFonts w:cs="Ya-Ali"/>
        <w:noProof/>
        <w:szCs w:val="28"/>
        <w:rtl/>
      </w:rPr>
      <w:t xml:space="preserve"> </w:t>
    </w:r>
    <w:r w:rsidR="005E56C5">
      <w:rPr>
        <w:rFonts w:cs="Ya-Ali" w:hint="eastAsia"/>
        <w:noProof/>
        <w:szCs w:val="28"/>
        <w:rtl/>
      </w:rPr>
      <w:t>السنّة</w:t>
    </w:r>
    <w:r>
      <w:rPr>
        <w:rFonts w:cs="Ya-Ali"/>
        <w:noProof/>
        <w:szCs w:val="28"/>
        <w:rtl/>
      </w:rPr>
      <w:fldChar w:fldCharType="end"/>
    </w:r>
    <w:r w:rsidRPr="004C06A0">
      <w:rPr>
        <w:rFonts w:cs="Ya-Ali"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123</w:t>
    </w:r>
    <w:r w:rsidRPr="000037AD">
      <w:rPr>
        <w:noProof/>
        <w:szCs w:val="28"/>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54656" behindDoc="0" locked="0" layoutInCell="1" allowOverlap="1" wp14:anchorId="6E5926CB" wp14:editId="6D323B12">
              <wp:simplePos x="0" y="0"/>
              <wp:positionH relativeFrom="margin">
                <wp:align>center</wp:align>
              </wp:positionH>
              <wp:positionV relativeFrom="paragraph">
                <wp:posOffset>276225</wp:posOffset>
              </wp:positionV>
              <wp:extent cx="4320000" cy="0"/>
              <wp:effectExtent l="0" t="0" r="23495"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3A75A5" id="_x0000_t32" coordsize="21600,21600" o:spt="32" o:oned="t" path="m,l21600,21600e" filled="f">
              <v:path arrowok="t" fillok="f" o:connecttype="none"/>
              <o:lock v:ext="edit" shapetype="t"/>
            </v:shapetype>
            <v:shape id="Straight Arrow Connector 37" o:spid="_x0000_s1026" type="#_x0000_t32" style="position:absolute;margin-left:0;margin-top:21.75pt;width:340.15pt;height:0;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AlZ162nAIAAIYFAAAOAAAAAAAAAAAAAAAAAC4CAABkcnMvZTJv&#10;RG9jLnhtbFBLAQItABQABgAIAAAAIQB+/8Ao3AAAAAYBAAAPAAAAAAAAAAAAAAAAAPYEAABkcnMv&#10;ZG93bnJldi54bWxQSwUGAAAAAAQABADzAAAA/wU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124</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EA348C" w:rsidRDefault="00F93F13" w:rsidP="002B00D1">
    <w:pPr>
      <w:tabs>
        <w:tab w:val="right" w:leader="dot" w:pos="6803"/>
      </w:tabs>
      <w:spacing w:line="264" w:lineRule="auto"/>
      <w:ind w:firstLine="0"/>
      <w:rPr>
        <w:rtl/>
      </w:rPr>
    </w:pPr>
    <w:r>
      <w:rPr>
        <w:rFonts w:cs="AF_Najed"/>
        <w:noProof/>
        <w:sz w:val="30"/>
        <w:rtl/>
      </w:rPr>
      <mc:AlternateContent>
        <mc:Choice Requires="wps">
          <w:drawing>
            <wp:anchor distT="0" distB="0" distL="114300" distR="114300" simplePos="0" relativeHeight="251634176" behindDoc="0" locked="0" layoutInCell="1" allowOverlap="1" wp14:anchorId="69B5A10D" wp14:editId="77F06DC0">
              <wp:simplePos x="0" y="0"/>
              <wp:positionH relativeFrom="margin">
                <wp:align>center</wp:align>
              </wp:positionH>
              <wp:positionV relativeFrom="paragraph">
                <wp:posOffset>276225</wp:posOffset>
              </wp:positionV>
              <wp:extent cx="4320000" cy="0"/>
              <wp:effectExtent l="0" t="0" r="2349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56FF5F" id="_x0000_t32" coordsize="21600,21600" o:spt="32" o:oned="t" path="m,l21600,21600e" filled="f">
              <v:path arrowok="t" fillok="f" o:connecttype="none"/>
              <o:lock v:ext="edit" shapetype="t"/>
            </v:shapetype>
            <v:shape id="Straight Arrow Connector 2" o:spid="_x0000_s1026" type="#_x0000_t32" style="position:absolute;margin-left:0;margin-top:21.75pt;width:340.15pt;height:0;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pEOOnJoCAACEBQAADgAAAAAAAAAAAAAAAAAuAgAAZHJzL2Uyb0Rv&#10;Yy54bWxQSwECLQAUAAYACAAAACEAfv/AKNwAAAAGAQAADwAAAAAAAAAAAAAAAAD0BAAAZHJzL2Rv&#10;d25yZXYueG1sUEsFBgAAAAAEAAQA8wAAAP0FAAAAAA==&#10;" strokeweight="1.2pt">
              <v:shadow color="#868686"/>
              <w10:wrap anchorx="margin"/>
            </v:shape>
          </w:pict>
        </mc:Fallback>
      </mc:AlternateContent>
    </w:r>
    <w:r>
      <w:rPr>
        <w:rFonts w:cs="AF_Najed" w:hint="cs"/>
        <w:noProof/>
        <w:sz w:val="30"/>
        <w:rtl/>
      </w:rPr>
      <w:t>عنوان الفصل</w:t>
    </w:r>
    <w:r>
      <w:rPr>
        <w:rFonts w:cs="AF_Najed" w:hint="cs"/>
        <w:noProof/>
        <w:sz w:val="30"/>
        <w:rtl/>
      </w:rPr>
      <w:tab/>
    </w:r>
    <w:r>
      <w:fldChar w:fldCharType="begin"/>
    </w:r>
    <w:r>
      <w:instrText xml:space="preserve"> PAGE   \* MERGEFORMAT </w:instrText>
    </w:r>
    <w:r>
      <w:fldChar w:fldCharType="separate"/>
    </w:r>
    <w:r>
      <w:rPr>
        <w:noProof/>
        <w:rtl/>
      </w:rPr>
      <w:t>27</w:t>
    </w:r>
    <w:r>
      <w:rPr>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51584" behindDoc="0" locked="0" layoutInCell="1" allowOverlap="1" wp14:anchorId="5F0F709D" wp14:editId="6E60251A">
              <wp:simplePos x="0" y="0"/>
              <wp:positionH relativeFrom="margin">
                <wp:align>center</wp:align>
              </wp:positionH>
              <wp:positionV relativeFrom="paragraph">
                <wp:posOffset>276225</wp:posOffset>
              </wp:positionV>
              <wp:extent cx="4320000" cy="0"/>
              <wp:effectExtent l="0" t="0" r="2349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1B8D9D" id="_x0000_t32" coordsize="21600,21600" o:spt="32" o:oned="t" path="m,l21600,21600e" filled="f">
              <v:path arrowok="t" fillok="f" o:connecttype="none"/>
              <o:lock v:ext="edit" shapetype="t"/>
            </v:shapetype>
            <v:shape id="Straight Arrow Connector 36" o:spid="_x0000_s1026" type="#_x0000_t32" style="position:absolute;margin-left:0;margin-top:21.75pt;width:340.15pt;height:0;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D6d58SnAIAAIYFAAAOAAAAAAAAAAAAAAAAAC4CAABkcnMvZTJv&#10;RG9jLnhtbFBLAQItABQABgAIAAAAIQB+/8Ao3AAAAAYBAAAPAAAAAAAAAAAAAAAAAPYEAABkcnMv&#10;ZG93bnJldi54bWxQSwUGAAAAAAQABADzAAAA/wU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154</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4C06A0">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46464" behindDoc="0" locked="0" layoutInCell="1" allowOverlap="1" wp14:anchorId="23849473" wp14:editId="303FB9A0">
              <wp:simplePos x="0" y="0"/>
              <wp:positionH relativeFrom="margin">
                <wp:align>center</wp:align>
              </wp:positionH>
              <wp:positionV relativeFrom="paragraph">
                <wp:posOffset>276225</wp:posOffset>
              </wp:positionV>
              <wp:extent cx="4320000" cy="0"/>
              <wp:effectExtent l="0" t="0" r="2349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35B0DE" id="_x0000_t32" coordsize="21600,21600" o:spt="32" o:oned="t" path="m,l21600,21600e" filled="f">
              <v:path arrowok="t" fillok="f" o:connecttype="none"/>
              <o:lock v:ext="edit" shapetype="t"/>
            </v:shapetype>
            <v:shape id="Straight Arrow Connector 35" o:spid="_x0000_s1026" type="#_x0000_t32" style="position:absolute;margin-left:0;margin-top:21.75pt;width:340.15pt;height:0;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NpArSS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hint="cs"/>
        <w:noProof/>
        <w:szCs w:val="28"/>
        <w:rtl/>
      </w:rPr>
      <w:t>الفصل السابع: الولاية الشرعيّة للفقيه</w:t>
    </w:r>
    <w:r w:rsidRPr="004C06A0">
      <w:rPr>
        <w:rFonts w:cs="Ya-Ali"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153</w:t>
    </w:r>
    <w:r w:rsidRPr="000037AD">
      <w:rPr>
        <w:noProof/>
        <w:szCs w:val="28"/>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61824" behindDoc="0" locked="0" layoutInCell="1" allowOverlap="1" wp14:anchorId="53D20BEA" wp14:editId="3C1FF982">
              <wp:simplePos x="0" y="0"/>
              <wp:positionH relativeFrom="margin">
                <wp:align>center</wp:align>
              </wp:positionH>
              <wp:positionV relativeFrom="paragraph">
                <wp:posOffset>276225</wp:posOffset>
              </wp:positionV>
              <wp:extent cx="4320000" cy="0"/>
              <wp:effectExtent l="0" t="0" r="23495"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8CF716" id="_x0000_t32" coordsize="21600,21600" o:spt="32" o:oned="t" path="m,l21600,21600e" filled="f">
              <v:path arrowok="t" fillok="f" o:connecttype="none"/>
              <o:lock v:ext="edit" shapetype="t"/>
            </v:shapetype>
            <v:shape id="Straight Arrow Connector 38" o:spid="_x0000_s1026" type="#_x0000_t32" style="position:absolute;margin-left:0;margin-top:21.75pt;width:340.15pt;height:0;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IWMpFi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180</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4C06A0">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66944" behindDoc="0" locked="0" layoutInCell="1" allowOverlap="1" wp14:anchorId="57EBD066" wp14:editId="0CA6CF38">
              <wp:simplePos x="0" y="0"/>
              <wp:positionH relativeFrom="margin">
                <wp:align>center</wp:align>
              </wp:positionH>
              <wp:positionV relativeFrom="paragraph">
                <wp:posOffset>276225</wp:posOffset>
              </wp:positionV>
              <wp:extent cx="4320000" cy="0"/>
              <wp:effectExtent l="0" t="0" r="2349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76B506" id="_x0000_t32" coordsize="21600,21600" o:spt="32" o:oned="t" path="m,l21600,21600e" filled="f">
              <v:path arrowok="t" fillok="f" o:connecttype="none"/>
              <o:lock v:ext="edit" shapetype="t"/>
            </v:shapetype>
            <v:shape id="Straight Arrow Connector 39" o:spid="_x0000_s1026" type="#_x0000_t32" style="position:absolute;margin-left:0;margin-top:21.75pt;width:340.15pt;height:0;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FqcZfy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hint="cs"/>
        <w:noProof/>
        <w:szCs w:val="28"/>
      </w:rPr>
      <w:instrText xml:space="preserve">STYLEREF  "Heading </w:instrText>
    </w:r>
    <w:r>
      <w:rPr>
        <w:rFonts w:cs="Ya-Ali" w:hint="cs"/>
        <w:noProof/>
        <w:szCs w:val="28"/>
        <w:rtl/>
      </w:rPr>
      <w:instrText>2</w:instrText>
    </w:r>
    <w:r>
      <w:rPr>
        <w:rFonts w:cs="Ya-Ali" w:hint="cs"/>
        <w:noProof/>
        <w:szCs w:val="28"/>
      </w:rPr>
      <w:instrText>"  \* MERGEFORMAT</w:instrText>
    </w:r>
    <w:r>
      <w:rPr>
        <w:rFonts w:cs="Ya-Ali"/>
        <w:noProof/>
        <w:szCs w:val="28"/>
        <w:rtl/>
      </w:rPr>
      <w:instrText xml:space="preserve"> </w:instrText>
    </w:r>
    <w:r>
      <w:rPr>
        <w:rFonts w:cs="Ya-Ali"/>
        <w:noProof/>
        <w:szCs w:val="28"/>
        <w:rtl/>
      </w:rPr>
      <w:fldChar w:fldCharType="end"/>
    </w:r>
    <w:r w:rsidRPr="004C06A0">
      <w:rPr>
        <w:rFonts w:cs="Ya-Ali"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181</w:t>
    </w:r>
    <w:r w:rsidRPr="000037AD">
      <w:rPr>
        <w:noProof/>
        <w:szCs w:val="28"/>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79232" behindDoc="0" locked="0" layoutInCell="1" allowOverlap="1" wp14:anchorId="549AF667" wp14:editId="57EBB15F">
              <wp:simplePos x="0" y="0"/>
              <wp:positionH relativeFrom="margin">
                <wp:align>center</wp:align>
              </wp:positionH>
              <wp:positionV relativeFrom="paragraph">
                <wp:posOffset>276225</wp:posOffset>
              </wp:positionV>
              <wp:extent cx="4320000" cy="0"/>
              <wp:effectExtent l="0" t="0" r="2349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5952CC" id="_x0000_t32" coordsize="21600,21600" o:spt="32" o:oned="t" path="m,l21600,21600e" filled="f">
              <v:path arrowok="t" fillok="f" o:connecttype="none"/>
              <o:lock v:ext="edit" shapetype="t"/>
            </v:shapetype>
            <v:shape id="Straight Arrow Connector 9" o:spid="_x0000_s1026" type="#_x0000_t32" style="position:absolute;margin-left:0;margin-top:21.75pt;width:340.15pt;height:0;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mjF5mJoCAACEBQAADgAAAAAAAAAAAAAAAAAuAgAAZHJzL2Uyb0Rv&#10;Yy54bWxQSwECLQAUAAYACAAAACEAfv/AKNwAAAAGAQAADwAAAAAAAAAAAAAAAAD0BAAAZHJzL2Rv&#10;d25yZXYueG1sUEsFBgAAAAAEAAQA8wAAAP0FA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192</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45440" behindDoc="0" locked="0" layoutInCell="1" allowOverlap="1" wp14:anchorId="26007A5A" wp14:editId="7B62A3D0">
              <wp:simplePos x="0" y="0"/>
              <wp:positionH relativeFrom="margin">
                <wp:align>center</wp:align>
              </wp:positionH>
              <wp:positionV relativeFrom="paragraph">
                <wp:posOffset>276225</wp:posOffset>
              </wp:positionV>
              <wp:extent cx="4320000" cy="0"/>
              <wp:effectExtent l="0" t="0" r="2349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FCE68F" id="_x0000_t32" coordsize="21600,21600" o:spt="32" o:oned="t" path="m,l21600,21600e" filled="f">
              <v:path arrowok="t" fillok="f" o:connecttype="none"/>
              <o:lock v:ext="edit" shapetype="t"/>
            </v:shapetype>
            <v:shape id="Straight Arrow Connector 8" o:spid="_x0000_s1026" type="#_x0000_t32" style="position:absolute;margin-left:0;margin-top:21.75pt;width:340.15pt;height:0;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hint="cs"/>
        <w:noProof/>
        <w:szCs w:val="28"/>
      </w:rPr>
      <w:instrText xml:space="preserve">STYLEREF  "Heading </w:instrText>
    </w:r>
    <w:r>
      <w:rPr>
        <w:rFonts w:cs="Ya-Ali" w:hint="cs"/>
        <w:noProof/>
        <w:szCs w:val="28"/>
        <w:rtl/>
      </w:rPr>
      <w:instrText>2</w:instrText>
    </w:r>
    <w:r>
      <w:rPr>
        <w:rFonts w:cs="Ya-Ali" w:hint="cs"/>
        <w:noProof/>
        <w:szCs w:val="28"/>
      </w:rPr>
      <w:instrText>"  \* MERGEFORMAT</w:instrText>
    </w:r>
    <w:r>
      <w:rPr>
        <w:rFonts w:cs="Ya-Ali"/>
        <w:noProof/>
        <w:szCs w:val="28"/>
        <w:rtl/>
      </w:rPr>
      <w:instrText xml:space="preserve"> </w:instrText>
    </w:r>
    <w:r w:rsidR="005E56C5">
      <w:rPr>
        <w:rFonts w:cs="Ya-Ali"/>
        <w:noProof/>
        <w:szCs w:val="28"/>
        <w:rtl/>
      </w:rPr>
      <w:fldChar w:fldCharType="separate"/>
    </w:r>
    <w:r w:rsidR="005E56C5">
      <w:rPr>
        <w:rFonts w:cs="Ya-Ali" w:hint="eastAsia"/>
        <w:noProof/>
        <w:szCs w:val="28"/>
        <w:rtl/>
      </w:rPr>
      <w:t>الفصل</w:t>
    </w:r>
    <w:r w:rsidR="005E56C5">
      <w:rPr>
        <w:rFonts w:cs="Ya-Ali"/>
        <w:noProof/>
        <w:szCs w:val="28"/>
        <w:rtl/>
      </w:rPr>
      <w:t xml:space="preserve"> </w:t>
    </w:r>
    <w:r w:rsidR="005E56C5">
      <w:rPr>
        <w:rFonts w:cs="Ya-Ali" w:hint="eastAsia"/>
        <w:noProof/>
        <w:szCs w:val="28"/>
        <w:rtl/>
      </w:rPr>
      <w:t>العاشر</w:t>
    </w:r>
    <w:r w:rsidR="005E56C5">
      <w:rPr>
        <w:rFonts w:cs="Ya-Ali"/>
        <w:noProof/>
        <w:szCs w:val="28"/>
        <w:rtl/>
      </w:rPr>
      <w:t xml:space="preserve">: </w:t>
    </w:r>
    <w:r w:rsidR="005E56C5">
      <w:rPr>
        <w:rFonts w:cs="Ya-Ali" w:hint="eastAsia"/>
        <w:noProof/>
        <w:szCs w:val="28"/>
        <w:rtl/>
      </w:rPr>
      <w:t>الوكالة</w:t>
    </w:r>
    <w:r w:rsidR="005E56C5">
      <w:rPr>
        <w:rFonts w:cs="Ya-Ali"/>
        <w:noProof/>
        <w:szCs w:val="28"/>
        <w:rtl/>
      </w:rPr>
      <w:t xml:space="preserve"> </w:t>
    </w:r>
    <w:r w:rsidR="005E56C5">
      <w:rPr>
        <w:rFonts w:cs="Ya-Ali" w:hint="eastAsia"/>
        <w:noProof/>
        <w:szCs w:val="28"/>
        <w:rtl/>
      </w:rPr>
      <w:t>عن</w:t>
    </w:r>
    <w:r w:rsidR="005E56C5">
      <w:rPr>
        <w:rFonts w:cs="Ya-Ali"/>
        <w:noProof/>
        <w:szCs w:val="28"/>
        <w:rtl/>
      </w:rPr>
      <w:t xml:space="preserve"> </w:t>
    </w:r>
    <w:r w:rsidR="005E56C5">
      <w:rPr>
        <w:rFonts w:cs="Ya-Ali" w:hint="eastAsia"/>
        <w:noProof/>
        <w:szCs w:val="28"/>
        <w:rtl/>
      </w:rPr>
      <w:t>الناس</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193</w:t>
    </w:r>
    <w:r w:rsidRPr="000037AD">
      <w:rPr>
        <w:noProof/>
        <w:szCs w:val="28"/>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35200" behindDoc="0" locked="0" layoutInCell="1" allowOverlap="1" wp14:anchorId="6EF6FC4F" wp14:editId="143A4E4D">
              <wp:simplePos x="0" y="0"/>
              <wp:positionH relativeFrom="margin">
                <wp:align>center</wp:align>
              </wp:positionH>
              <wp:positionV relativeFrom="paragraph">
                <wp:posOffset>276225</wp:posOffset>
              </wp:positionV>
              <wp:extent cx="4320000" cy="0"/>
              <wp:effectExtent l="0" t="0" r="2349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D7C68C" id="_x0000_t32" coordsize="21600,21600" o:spt="32" o:oned="t" path="m,l21600,21600e" filled="f">
              <v:path arrowok="t" fillok="f" o:connecttype="none"/>
              <o:lock v:ext="edit" shapetype="t"/>
            </v:shapetype>
            <v:shape id="Straight Arrow Connector 7" o:spid="_x0000_s1026" type="#_x0000_t32" style="position:absolute;margin-left:0;margin-top:21.75pt;width:340.15pt;height:0;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ZJuPOJoCAACEBQAADgAAAAAAAAAAAAAAAAAuAgAAZHJzL2Uyb0Rv&#10;Yy54bWxQSwECLQAUAAYACAAAACEAfv/AKNwAAAAGAQAADwAAAAAAAAAAAAAAAAD0BAAAZHJzL2Rv&#10;d25yZXYueG1sUEsFBgAAAAAEAAQA8wAAAP0FA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244</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33152" behindDoc="0" locked="0" layoutInCell="1" allowOverlap="1" wp14:anchorId="5DAF4C85" wp14:editId="29176834">
              <wp:simplePos x="0" y="0"/>
              <wp:positionH relativeFrom="margin">
                <wp:align>center</wp:align>
              </wp:positionH>
              <wp:positionV relativeFrom="paragraph">
                <wp:posOffset>276225</wp:posOffset>
              </wp:positionV>
              <wp:extent cx="4320000" cy="0"/>
              <wp:effectExtent l="0" t="0" r="2349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BC5E5D" id="_x0000_t32" coordsize="21600,21600" o:spt="32" o:oned="t" path="m,l21600,21600e" filled="f">
              <v:path arrowok="t" fillok="f" o:connecttype="none"/>
              <o:lock v:ext="edit" shapetype="t"/>
            </v:shapetype>
            <v:shape id="Straight Arrow Connector 15" o:spid="_x0000_s1026" type="#_x0000_t32" style="position:absolute;margin-left:0;margin-top:21.75pt;width:340.15pt;height:0;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cFw9CZoCAACGBQAADgAAAAAAAAAAAAAAAAAuAgAAZHJzL2Uyb0Rv&#10;Yy54bWxQSwECLQAUAAYACAAAACEAfv/AKNwAAAAGAQAADwAAAAAAAAAAAAAAAAD0BAAAZHJzL2Rv&#10;d25yZXYueG1sUEsFBgAAAAAEAAQA8wAAAP0FA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26</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CF6991">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37248" behindDoc="0" locked="0" layoutInCell="1" allowOverlap="1" wp14:anchorId="7E6B4A46" wp14:editId="750D6373">
              <wp:simplePos x="0" y="0"/>
              <wp:positionH relativeFrom="margin">
                <wp:align>center</wp:align>
              </wp:positionH>
              <wp:positionV relativeFrom="paragraph">
                <wp:posOffset>276225</wp:posOffset>
              </wp:positionV>
              <wp:extent cx="4320000" cy="0"/>
              <wp:effectExtent l="0" t="0" r="2349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4ADA6B" id="_x0000_t32" coordsize="21600,21600" o:spt="32" o:oned="t" path="m,l21600,21600e" filled="f">
              <v:path arrowok="t" fillok="f" o:connecttype="none"/>
              <o:lock v:ext="edit" shapetype="t"/>
            </v:shapetype>
            <v:shape id="Straight Arrow Connector 6" o:spid="_x0000_s1026" type="#_x0000_t32" style="position:absolute;margin-left:0;margin-top:21.75pt;width:340.15pt;height:0;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m14Kr5oCAACEBQAADgAAAAAAAAAAAAAAAAAuAgAAZHJzL2Uyb0Rv&#10;Yy54bWxQSwECLQAUAAYACAAAACEAfv/AKNwAAAAGAQAADwAAAAAAAAAAAAAAAAD0BAAAZHJzL2Rv&#10;d25yZXYueG1sUEsFBgAAAAAEAAQA8wAAAP0FAAAAAA==&#10;" strokeweight="1.2pt">
              <v:shadow color="#868686"/>
              <w10:wrap anchorx="margin"/>
            </v:shape>
          </w:pict>
        </mc:Fallback>
      </mc:AlternateContent>
    </w:r>
    <w:r>
      <w:rPr>
        <w:rFonts w:cs="Ya-Ali" w:hint="cs"/>
        <w:noProof/>
        <w:szCs w:val="28"/>
        <w:rtl/>
      </w:rPr>
      <w:t>الفصل 11: لمحة تاريخية حول الولاية في عصر الجمهورية الإسلامية</w:t>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243</w:t>
    </w:r>
    <w:r w:rsidRPr="000037AD">
      <w:rPr>
        <w:noProof/>
        <w:szCs w:val="28"/>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36224" behindDoc="0" locked="0" layoutInCell="1" allowOverlap="1" wp14:anchorId="59175B43" wp14:editId="7014FC64">
              <wp:simplePos x="0" y="0"/>
              <wp:positionH relativeFrom="margin">
                <wp:align>center</wp:align>
              </wp:positionH>
              <wp:positionV relativeFrom="paragraph">
                <wp:posOffset>276225</wp:posOffset>
              </wp:positionV>
              <wp:extent cx="4320000" cy="0"/>
              <wp:effectExtent l="0" t="0" r="2349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1C94B4" id="_x0000_t32" coordsize="21600,21600" o:spt="32" o:oned="t" path="m,l21600,21600e" filled="f">
              <v:path arrowok="t" fillok="f" o:connecttype="none"/>
              <o:lock v:ext="edit" shapetype="t"/>
            </v:shapetype>
            <v:shape id="Straight Arrow Connector 10" o:spid="_x0000_s1026" type="#_x0000_t32" style="position:absolute;margin-left:0;margin-top:21.75pt;width:340.15pt;height:0;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EAVrU5oCAACGBQAADgAAAAAAAAAAAAAAAAAuAgAAZHJzL2Uyb0Rv&#10;Yy54bWxQSwECLQAUAAYACAAAACEAfv/AKNwAAAAGAQAADwAAAAAAAAAAAAAAAAD0BAAAZHJzL2Rv&#10;d25yZXYueG1sUEsFBgAAAAAEAAQA8wAAAP0FA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260</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58752" behindDoc="0" locked="0" layoutInCell="1" allowOverlap="1" wp14:anchorId="1EF7529F" wp14:editId="11295463">
              <wp:simplePos x="0" y="0"/>
              <wp:positionH relativeFrom="margin">
                <wp:align>center</wp:align>
              </wp:positionH>
              <wp:positionV relativeFrom="paragraph">
                <wp:posOffset>276225</wp:posOffset>
              </wp:positionV>
              <wp:extent cx="4320000" cy="0"/>
              <wp:effectExtent l="0" t="0" r="2349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602427" id="_x0000_t32" coordsize="21600,21600" o:spt="32" o:oned="t" path="m,l21600,21600e" filled="f">
              <v:path arrowok="t" fillok="f" o:connecttype="none"/>
              <o:lock v:ext="edit" shapetype="t"/>
            </v:shapetype>
            <v:shape id="Straight Arrow Connector 11" o:spid="_x0000_s1026" type="#_x0000_t32" style="position:absolute;margin-left:0;margin-top:21.75pt;width:340.15pt;height:0;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DPFar3nAIAAIYFAAAOAAAAAAAAAAAAAAAAAC4CAABkcnMvZTJv&#10;RG9jLnhtbFBLAQItABQABgAIAAAAIQB+/8Ao3AAAAAYBAAAPAAAAAAAAAAAAAAAAAPYEAABkcnMv&#10;ZG93bnJldi54bWxQSwUGAAAAAAQABADzAAAA/wU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hint="cs"/>
        <w:noProof/>
        <w:szCs w:val="28"/>
      </w:rPr>
      <w:instrText xml:space="preserve">STYLEREF  "Heading </w:instrText>
    </w:r>
    <w:r>
      <w:rPr>
        <w:rFonts w:cs="Ya-Ali" w:hint="cs"/>
        <w:noProof/>
        <w:szCs w:val="28"/>
        <w:rtl/>
      </w:rPr>
      <w:instrText>2</w:instrText>
    </w:r>
    <w:r>
      <w:rPr>
        <w:rFonts w:cs="Ya-Ali" w:hint="cs"/>
        <w:noProof/>
        <w:szCs w:val="28"/>
      </w:rPr>
      <w:instrText>"  \* MERGEFORMAT</w:instrText>
    </w:r>
    <w:r>
      <w:rPr>
        <w:rFonts w:cs="Ya-Ali"/>
        <w:noProof/>
        <w:szCs w:val="28"/>
        <w:rtl/>
      </w:rPr>
      <w:instrText xml:space="preserve"> </w:instrText>
    </w:r>
    <w:r w:rsidR="005E56C5">
      <w:rPr>
        <w:rFonts w:cs="Ya-Ali"/>
        <w:noProof/>
        <w:szCs w:val="28"/>
        <w:rtl/>
      </w:rPr>
      <w:fldChar w:fldCharType="separate"/>
    </w:r>
    <w:r w:rsidR="005E56C5">
      <w:rPr>
        <w:rFonts w:cs="Ya-Ali" w:hint="eastAsia"/>
        <w:noProof/>
        <w:szCs w:val="28"/>
        <w:rtl/>
      </w:rPr>
      <w:t>الفصل</w:t>
    </w:r>
    <w:r w:rsidR="005E56C5">
      <w:rPr>
        <w:rFonts w:cs="Ya-Ali"/>
        <w:noProof/>
        <w:szCs w:val="28"/>
        <w:rtl/>
      </w:rPr>
      <w:t xml:space="preserve"> </w:t>
    </w:r>
    <w:r w:rsidR="005E56C5">
      <w:rPr>
        <w:rFonts w:cs="Ya-Ali" w:hint="eastAsia"/>
        <w:noProof/>
        <w:szCs w:val="28"/>
        <w:rtl/>
      </w:rPr>
      <w:t>الثاني</w:t>
    </w:r>
    <w:r w:rsidR="005E56C5">
      <w:rPr>
        <w:rFonts w:cs="Ya-Ali"/>
        <w:noProof/>
        <w:szCs w:val="28"/>
        <w:rtl/>
      </w:rPr>
      <w:t xml:space="preserve"> </w:t>
    </w:r>
    <w:r w:rsidR="005E56C5">
      <w:rPr>
        <w:rFonts w:cs="Ya-Ali" w:hint="eastAsia"/>
        <w:noProof/>
        <w:szCs w:val="28"/>
        <w:rtl/>
      </w:rPr>
      <w:t>عشر</w:t>
    </w:r>
    <w:r w:rsidR="005E56C5">
      <w:rPr>
        <w:rFonts w:cs="Ya-Ali"/>
        <w:noProof/>
        <w:szCs w:val="28"/>
        <w:rtl/>
      </w:rPr>
      <w:t xml:space="preserve">: </w:t>
    </w:r>
    <w:r w:rsidR="005E56C5">
      <w:rPr>
        <w:rFonts w:cs="Ya-Ali" w:hint="eastAsia"/>
        <w:noProof/>
        <w:szCs w:val="28"/>
        <w:rtl/>
      </w:rPr>
      <w:t>الولاية</w:t>
    </w:r>
    <w:r w:rsidR="005E56C5">
      <w:rPr>
        <w:rFonts w:cs="Ya-Ali"/>
        <w:noProof/>
        <w:szCs w:val="28"/>
        <w:rtl/>
      </w:rPr>
      <w:t xml:space="preserve"> </w:t>
    </w:r>
    <w:r w:rsidR="005E56C5">
      <w:rPr>
        <w:rFonts w:cs="Ya-Ali" w:hint="eastAsia"/>
        <w:noProof/>
        <w:szCs w:val="28"/>
        <w:rtl/>
      </w:rPr>
      <w:t>والجمهوريّة</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261</w:t>
    </w:r>
    <w:r w:rsidRPr="000037AD">
      <w:rPr>
        <w:noProof/>
        <w:szCs w:val="28"/>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47488" behindDoc="0" locked="0" layoutInCell="1" allowOverlap="1" wp14:anchorId="369664C9" wp14:editId="42A540F2">
              <wp:simplePos x="0" y="0"/>
              <wp:positionH relativeFrom="margin">
                <wp:align>center</wp:align>
              </wp:positionH>
              <wp:positionV relativeFrom="paragraph">
                <wp:posOffset>276225</wp:posOffset>
              </wp:positionV>
              <wp:extent cx="4320000" cy="0"/>
              <wp:effectExtent l="0" t="0" r="23495"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3A97D8" id="_x0000_t32" coordsize="21600,21600" o:spt="32" o:oned="t" path="m,l21600,21600e" filled="f">
              <v:path arrowok="t" fillok="f" o:connecttype="none"/>
              <o:lock v:ext="edit" shapetype="t"/>
            </v:shapetype>
            <v:shape id="Straight Arrow Connector 21" o:spid="_x0000_s1026" type="#_x0000_t32" style="position:absolute;margin-left:0;margin-top:21.75pt;width:340.15pt;height:0;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AwB/LMnAIAAIYFAAAOAAAAAAAAAAAAAAAAAC4CAABkcnMvZTJv&#10;RG9jLnhtbFBLAQItABQABgAIAAAAIQB+/8Ao3AAAAAYBAAAPAAAAAAAAAAAAAAAAAPYEAABkcnMv&#10;ZG93bnJldi54bWxQSwUGAAAAAAQABADzAAAA/wU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noProof/>
        <w:szCs w:val="28"/>
      </w:rPr>
      <w:instrText xml:space="preserve">STYLEREF  "Heading </w:instrText>
    </w:r>
    <w:r>
      <w:rPr>
        <w:rFonts w:cs="Ya-Ali"/>
        <w:noProof/>
        <w:szCs w:val="28"/>
        <w:rtl/>
      </w:rPr>
      <w:instrText>2</w:instrText>
    </w:r>
    <w:r>
      <w:rPr>
        <w:rFonts w:cs="Ya-Ali"/>
        <w:noProof/>
        <w:szCs w:val="28"/>
      </w:rPr>
      <w:instrText>"  \* MERGEFORMAT</w:instrText>
    </w:r>
    <w:r>
      <w:rPr>
        <w:rFonts w:cs="Ya-Ali"/>
        <w:noProof/>
        <w:szCs w:val="28"/>
        <w:rtl/>
      </w:rPr>
      <w:instrText xml:space="preserve"> </w:instrText>
    </w:r>
    <w:r>
      <w:rPr>
        <w:rFonts w:cs="Ya-Ali"/>
        <w:noProof/>
        <w:szCs w:val="28"/>
        <w:rtl/>
      </w:rPr>
      <w:fldChar w:fldCharType="separate"/>
    </w:r>
    <w:r w:rsidR="005E56C5">
      <w:rPr>
        <w:rFonts w:cs="Ya-Ali" w:hint="eastAsia"/>
        <w:noProof/>
        <w:szCs w:val="28"/>
        <w:rtl/>
      </w:rPr>
      <w:t>الفصل</w:t>
    </w:r>
    <w:r w:rsidR="005E56C5">
      <w:rPr>
        <w:rFonts w:cs="Ya-Ali"/>
        <w:noProof/>
        <w:szCs w:val="28"/>
        <w:rtl/>
      </w:rPr>
      <w:t xml:space="preserve"> </w:t>
    </w:r>
    <w:r w:rsidR="005E56C5">
      <w:rPr>
        <w:rFonts w:cs="Ya-Ali" w:hint="eastAsia"/>
        <w:noProof/>
        <w:szCs w:val="28"/>
        <w:rtl/>
      </w:rPr>
      <w:t>الثاني</w:t>
    </w:r>
    <w:r w:rsidR="005E56C5">
      <w:rPr>
        <w:rFonts w:cs="Ya-Ali"/>
        <w:noProof/>
        <w:szCs w:val="28"/>
        <w:rtl/>
      </w:rPr>
      <w:t xml:space="preserve"> </w:t>
    </w:r>
    <w:r w:rsidR="005E56C5">
      <w:rPr>
        <w:rFonts w:cs="Ya-Ali" w:hint="eastAsia"/>
        <w:noProof/>
        <w:szCs w:val="28"/>
        <w:rtl/>
      </w:rPr>
      <w:t>عشر</w:t>
    </w:r>
    <w:r w:rsidR="005E56C5">
      <w:rPr>
        <w:rFonts w:cs="Ya-Ali"/>
        <w:noProof/>
        <w:szCs w:val="28"/>
        <w:rtl/>
      </w:rPr>
      <w:t xml:space="preserve">: </w:t>
    </w:r>
    <w:r w:rsidR="005E56C5">
      <w:rPr>
        <w:rFonts w:cs="Ya-Ali" w:hint="eastAsia"/>
        <w:noProof/>
        <w:szCs w:val="28"/>
        <w:rtl/>
      </w:rPr>
      <w:t>الولاية</w:t>
    </w:r>
    <w:r w:rsidR="005E56C5">
      <w:rPr>
        <w:rFonts w:cs="Ya-Ali"/>
        <w:noProof/>
        <w:szCs w:val="28"/>
        <w:rtl/>
      </w:rPr>
      <w:t xml:space="preserve"> </w:t>
    </w:r>
    <w:r w:rsidR="005E56C5">
      <w:rPr>
        <w:rFonts w:cs="Ya-Ali" w:hint="eastAsia"/>
        <w:noProof/>
        <w:szCs w:val="28"/>
        <w:rtl/>
      </w:rPr>
      <w:t>والجمهوريّة</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Pr>
        <w:noProof/>
        <w:szCs w:val="28"/>
        <w:rtl/>
      </w:rPr>
      <w:t>267</w:t>
    </w:r>
    <w:r w:rsidRPr="000037AD">
      <w:rPr>
        <w:noProof/>
        <w:szCs w:val="28"/>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65920" behindDoc="0" locked="0" layoutInCell="1" allowOverlap="1" wp14:anchorId="10FAF389" wp14:editId="065D9B33">
              <wp:simplePos x="0" y="0"/>
              <wp:positionH relativeFrom="margin">
                <wp:align>center</wp:align>
              </wp:positionH>
              <wp:positionV relativeFrom="paragraph">
                <wp:posOffset>276225</wp:posOffset>
              </wp:positionV>
              <wp:extent cx="4320000" cy="0"/>
              <wp:effectExtent l="0" t="0" r="2349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C8F668" id="_x0000_t32" coordsize="21600,21600" o:spt="32" o:oned="t" path="m,l21600,21600e" filled="f">
              <v:path arrowok="t" fillok="f" o:connecttype="none"/>
              <o:lock v:ext="edit" shapetype="t"/>
            </v:shapetype>
            <v:shape id="Straight Arrow Connector 41" o:spid="_x0000_s1026" type="#_x0000_t32" style="position:absolute;margin-left:0;margin-top:21.75pt;width:340.15pt;height:0;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268</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57728" behindDoc="0" locked="0" layoutInCell="1" allowOverlap="1" wp14:anchorId="1C9D6E59" wp14:editId="5E9F0ECB">
              <wp:simplePos x="0" y="0"/>
              <wp:positionH relativeFrom="margin">
                <wp:align>center</wp:align>
              </wp:positionH>
              <wp:positionV relativeFrom="paragraph">
                <wp:posOffset>276225</wp:posOffset>
              </wp:positionV>
              <wp:extent cx="4320000" cy="0"/>
              <wp:effectExtent l="0" t="0" r="23495"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70C930" id="_x0000_t32" coordsize="21600,21600" o:spt="32" o:oned="t" path="m,l21600,21600e" filled="f">
              <v:path arrowok="t" fillok="f" o:connecttype="none"/>
              <o:lock v:ext="edit" shapetype="t"/>
            </v:shapetype>
            <v:shape id="Straight Arrow Connector 40" o:spid="_x0000_s1026" type="#_x0000_t32" style="position:absolute;margin-left:0;margin-top:21.75pt;width:340.15pt;height:0;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" strokeweight="1.2pt">
              <v:shadow color="#868686"/>
              <w10:wrap anchorx="margin"/>
            </v:shape>
          </w:pict>
        </mc:Fallback>
      </mc:AlternateContent>
    </w:r>
    <w:r>
      <w:rPr>
        <w:rFonts w:cs="Ya-Ali" w:hint="cs"/>
        <w:noProof/>
        <w:szCs w:val="28"/>
        <w:rtl/>
      </w:rPr>
      <w:t>مقدمة القسم الثاني: المباني التصديقيّة للولاية</w:t>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269</w:t>
    </w:r>
    <w:r w:rsidRPr="000037AD">
      <w:rPr>
        <w:noProof/>
        <w:szCs w:val="28"/>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44416" behindDoc="0" locked="0" layoutInCell="1" allowOverlap="1" wp14:anchorId="02055D39" wp14:editId="22D60E61">
              <wp:simplePos x="0" y="0"/>
              <wp:positionH relativeFrom="margin">
                <wp:align>center</wp:align>
              </wp:positionH>
              <wp:positionV relativeFrom="paragraph">
                <wp:posOffset>276225</wp:posOffset>
              </wp:positionV>
              <wp:extent cx="4320000" cy="0"/>
              <wp:effectExtent l="0" t="0" r="2349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F2C44B" id="_x0000_t32" coordsize="21600,21600" o:spt="32" o:oned="t" path="m,l21600,21600e" filled="f">
              <v:path arrowok="t" fillok="f" o:connecttype="none"/>
              <o:lock v:ext="edit" shapetype="t"/>
            </v:shapetype>
            <v:shape id="Straight Arrow Connector 17" o:spid="_x0000_s1026" type="#_x0000_t32" style="position:absolute;margin-left:0;margin-top:21.75pt;width:340.15pt;height:0;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I97zpu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hint="cs"/>
        <w:noProof/>
        <w:szCs w:val="28"/>
      </w:rPr>
      <w:instrText xml:space="preserve">STYLEREF  "Heading </w:instrText>
    </w:r>
    <w:r>
      <w:rPr>
        <w:rFonts w:cs="Ya-Ali" w:hint="cs"/>
        <w:noProof/>
        <w:szCs w:val="28"/>
        <w:rtl/>
      </w:rPr>
      <w:instrText>2</w:instrText>
    </w:r>
    <w:r>
      <w:rPr>
        <w:rFonts w:cs="Ya-Ali" w:hint="cs"/>
        <w:noProof/>
        <w:szCs w:val="28"/>
      </w:rPr>
      <w:instrText>"  \* MERGEFORMAT</w:instrText>
    </w:r>
    <w:r>
      <w:rPr>
        <w:rFonts w:cs="Ya-Ali"/>
        <w:noProof/>
        <w:szCs w:val="28"/>
        <w:rtl/>
      </w:rPr>
      <w:instrText xml:space="preserve"> </w:instrText>
    </w:r>
    <w:r>
      <w:rPr>
        <w:rFonts w:cs="Ya-Ali"/>
        <w:noProof/>
        <w:szCs w:val="28"/>
        <w:rtl/>
      </w:rPr>
      <w:fldChar w:fldCharType="separate"/>
    </w:r>
    <w:r w:rsidR="005E56C5">
      <w:rPr>
        <w:rFonts w:cs="Ya-Ali" w:hint="eastAsia"/>
        <w:noProof/>
        <w:szCs w:val="28"/>
        <w:rtl/>
      </w:rPr>
      <w:t>المقدمة</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25</w:t>
    </w:r>
    <w:r w:rsidRPr="000037AD">
      <w:rPr>
        <w:noProof/>
        <w:szCs w:val="28"/>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42368" behindDoc="0" locked="0" layoutInCell="1" allowOverlap="1" wp14:anchorId="58B95A28" wp14:editId="59C48CFE">
              <wp:simplePos x="0" y="0"/>
              <wp:positionH relativeFrom="margin">
                <wp:align>center</wp:align>
              </wp:positionH>
              <wp:positionV relativeFrom="paragraph">
                <wp:posOffset>276225</wp:posOffset>
              </wp:positionV>
              <wp:extent cx="4320000" cy="0"/>
              <wp:effectExtent l="0" t="0" r="2349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D5CD16" id="_x0000_t32" coordsize="21600,21600" o:spt="32" o:oned="t" path="m,l21600,21600e" filled="f">
              <v:path arrowok="t" fillok="f" o:connecttype="none"/>
              <o:lock v:ext="edit" shapetype="t"/>
            </v:shapetype>
            <v:shape id="Straight Arrow Connector 5" o:spid="_x0000_s1026" type="#_x0000_t32" style="position:absolute;margin-left:0;margin-top:21.75pt;width:340.15pt;height:0;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2xb1zJoCAACEBQAADgAAAAAAAAAAAAAAAAAuAgAAZHJzL2Uyb0Rv&#10;Yy54bWxQSwECLQAUAAYACAAAACEAfv/AKNwAAAAGAQAADwAAAAAAAAAAAAAAAAD0BAAAZHJzL2Rv&#10;d25yZXYueG1sUEsFBgAAAAAEAAQA8wAAAP0FA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274</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67968" behindDoc="0" locked="0" layoutInCell="1" allowOverlap="1" wp14:anchorId="60AB2301" wp14:editId="206AD52D">
              <wp:simplePos x="0" y="0"/>
              <wp:positionH relativeFrom="margin">
                <wp:align>center</wp:align>
              </wp:positionH>
              <wp:positionV relativeFrom="paragraph">
                <wp:posOffset>276225</wp:posOffset>
              </wp:positionV>
              <wp:extent cx="4320000" cy="0"/>
              <wp:effectExtent l="0" t="0" r="23495"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ACA291" id="_x0000_t32" coordsize="21600,21600" o:spt="32" o:oned="t" path="m,l21600,21600e" filled="f">
              <v:path arrowok="t" fillok="f" o:connecttype="none"/>
              <o:lock v:ext="edit" shapetype="t"/>
            </v:shapetype>
            <v:shape id="Straight Arrow Connector 42" o:spid="_x0000_s1026" type="#_x0000_t32" style="position:absolute;margin-left:0;margin-top:21.75pt;width:340.15pt;height:0;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DuFXCMnAIAAIYFAAAOAAAAAAAAAAAAAAAAAC4CAABkcnMvZTJv&#10;RG9jLnhtbFBLAQItABQABgAIAAAAIQB+/8Ao3AAAAAYBAAAPAAAAAAAAAAAAAAAAAPYEAABkcnMv&#10;ZG93bnJldi54bWxQSwUGAAAAAAQABADzAAAA/wU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noProof/>
        <w:szCs w:val="28"/>
      </w:rPr>
      <w:instrText xml:space="preserve">STYLEREF  "Heading </w:instrText>
    </w:r>
    <w:r>
      <w:rPr>
        <w:rFonts w:cs="Ya-Ali"/>
        <w:noProof/>
        <w:szCs w:val="28"/>
        <w:rtl/>
      </w:rPr>
      <w:instrText>2</w:instrText>
    </w:r>
    <w:r>
      <w:rPr>
        <w:rFonts w:cs="Ya-Ali"/>
        <w:noProof/>
        <w:szCs w:val="28"/>
      </w:rPr>
      <w:instrText>"  \* MERGEFORMAT</w:instrText>
    </w:r>
    <w:r>
      <w:rPr>
        <w:rFonts w:cs="Ya-Ali"/>
        <w:noProof/>
        <w:szCs w:val="28"/>
        <w:rtl/>
      </w:rPr>
      <w:instrText xml:space="preserve"> </w:instrText>
    </w:r>
    <w:r w:rsidR="005E56C5">
      <w:rPr>
        <w:rFonts w:cs="Ya-Ali"/>
        <w:noProof/>
        <w:szCs w:val="28"/>
        <w:rtl/>
      </w:rPr>
      <w:fldChar w:fldCharType="separate"/>
    </w:r>
    <w:r w:rsidR="005E56C5">
      <w:rPr>
        <w:rFonts w:cs="Ya-Ali" w:hint="eastAsia"/>
        <w:noProof/>
        <w:szCs w:val="28"/>
        <w:rtl/>
      </w:rPr>
      <w:t>الفصل</w:t>
    </w:r>
    <w:r w:rsidR="005E56C5">
      <w:rPr>
        <w:rFonts w:cs="Ya-Ali"/>
        <w:noProof/>
        <w:szCs w:val="28"/>
        <w:rtl/>
      </w:rPr>
      <w:t xml:space="preserve"> </w:t>
    </w:r>
    <w:r w:rsidR="005E56C5">
      <w:rPr>
        <w:rFonts w:cs="Ya-Ali" w:hint="eastAsia"/>
        <w:noProof/>
        <w:szCs w:val="28"/>
        <w:rtl/>
      </w:rPr>
      <w:t>الثالث</w:t>
    </w:r>
    <w:r w:rsidR="005E56C5">
      <w:rPr>
        <w:rFonts w:cs="Ya-Ali"/>
        <w:noProof/>
        <w:szCs w:val="28"/>
        <w:rtl/>
      </w:rPr>
      <w:t xml:space="preserve"> </w:t>
    </w:r>
    <w:r w:rsidR="005E56C5">
      <w:rPr>
        <w:rFonts w:cs="Ya-Ali" w:hint="eastAsia"/>
        <w:noProof/>
        <w:szCs w:val="28"/>
        <w:rtl/>
      </w:rPr>
      <w:t>عشر</w:t>
    </w:r>
    <w:r w:rsidR="005E56C5">
      <w:rPr>
        <w:rFonts w:cs="Ya-Ali"/>
        <w:noProof/>
        <w:szCs w:val="28"/>
        <w:rtl/>
      </w:rPr>
      <w:t xml:space="preserve">: </w:t>
    </w:r>
    <w:r w:rsidR="005E56C5">
      <w:rPr>
        <w:rFonts w:cs="Ya-Ali" w:hint="eastAsia"/>
        <w:noProof/>
        <w:szCs w:val="28"/>
        <w:rtl/>
      </w:rPr>
      <w:t>دراسة</w:t>
    </w:r>
    <w:r w:rsidR="005E56C5">
      <w:rPr>
        <w:rFonts w:cs="Ya-Ali"/>
        <w:noProof/>
        <w:szCs w:val="28"/>
        <w:rtl/>
      </w:rPr>
      <w:t xml:space="preserve"> </w:t>
    </w:r>
    <w:r w:rsidR="005E56C5">
      <w:rPr>
        <w:rFonts w:cs="Ya-Ali" w:hint="eastAsia"/>
        <w:noProof/>
        <w:szCs w:val="28"/>
        <w:rtl/>
      </w:rPr>
      <w:t>بداهة</w:t>
    </w:r>
    <w:r w:rsidR="005E56C5">
      <w:rPr>
        <w:rFonts w:cs="Ya-Ali"/>
        <w:noProof/>
        <w:szCs w:val="28"/>
        <w:rtl/>
      </w:rPr>
      <w:t xml:space="preserve"> </w:t>
    </w:r>
    <w:r w:rsidR="005E56C5">
      <w:rPr>
        <w:rFonts w:cs="Ya-Ali" w:hint="eastAsia"/>
        <w:noProof/>
        <w:szCs w:val="28"/>
        <w:rtl/>
      </w:rPr>
      <w:t>مسألة</w:t>
    </w:r>
    <w:r w:rsidR="005E56C5">
      <w:rPr>
        <w:rFonts w:cs="Ya-Ali"/>
        <w:noProof/>
        <w:szCs w:val="28"/>
        <w:rtl/>
      </w:rPr>
      <w:t xml:space="preserve"> </w:t>
    </w:r>
    <w:r w:rsidR="005E56C5">
      <w:rPr>
        <w:rFonts w:cs="Ya-Ali" w:hint="eastAsia"/>
        <w:noProof/>
        <w:szCs w:val="28"/>
        <w:rtl/>
      </w:rPr>
      <w:t>ولاية</w:t>
    </w:r>
    <w:r w:rsidR="005E56C5">
      <w:rPr>
        <w:rFonts w:cs="Ya-Ali"/>
        <w:noProof/>
        <w:szCs w:val="28"/>
        <w:rtl/>
      </w:rPr>
      <w:t xml:space="preserve"> </w:t>
    </w:r>
    <w:r w:rsidR="005E56C5">
      <w:rPr>
        <w:rFonts w:cs="Ya-Ali" w:hint="eastAsia"/>
        <w:noProof/>
        <w:szCs w:val="28"/>
        <w:rtl/>
      </w:rPr>
      <w:t>الفقيه</w:t>
    </w:r>
    <w:r w:rsidR="005E56C5">
      <w:rPr>
        <w:rFonts w:cs="Ya-Ali"/>
        <w:noProof/>
        <w:szCs w:val="28"/>
        <w:rtl/>
      </w:rPr>
      <w:t xml:space="preserve"> </w:t>
    </w:r>
    <w:r w:rsidR="005E56C5">
      <w:rPr>
        <w:rFonts w:cs="Ya-Ali" w:hint="eastAsia"/>
        <w:noProof/>
        <w:szCs w:val="28"/>
        <w:rtl/>
      </w:rPr>
      <w:t>وضرورتها</w:t>
    </w:r>
    <w:r w:rsidR="005E56C5">
      <w:rPr>
        <w:rFonts w:cs="Ya-Ali"/>
        <w:noProof/>
        <w:szCs w:val="28"/>
        <w:rtl/>
      </w:rPr>
      <w:t xml:space="preserve"> </w:t>
    </w:r>
    <w:r w:rsidR="005E56C5">
      <w:rPr>
        <w:rFonts w:cs="Ya-Ali" w:hint="eastAsia"/>
        <w:noProof/>
        <w:szCs w:val="28"/>
        <w:rtl/>
      </w:rPr>
      <w:t>العقليّة</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273</w:t>
    </w:r>
    <w:r w:rsidRPr="000037AD">
      <w:rPr>
        <w:noProof/>
        <w:szCs w:val="28"/>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74112" behindDoc="0" locked="0" layoutInCell="1" allowOverlap="1" wp14:anchorId="6E7CC0B8" wp14:editId="42FA4FC0">
              <wp:simplePos x="0" y="0"/>
              <wp:positionH relativeFrom="margin">
                <wp:align>center</wp:align>
              </wp:positionH>
              <wp:positionV relativeFrom="paragraph">
                <wp:posOffset>276225</wp:posOffset>
              </wp:positionV>
              <wp:extent cx="4320000" cy="0"/>
              <wp:effectExtent l="0" t="0" r="23495"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4B0A9F" id="_x0000_t32" coordsize="21600,21600" o:spt="32" o:oned="t" path="m,l21600,21600e" filled="f">
              <v:path arrowok="t" fillok="f" o:connecttype="none"/>
              <o:lock v:ext="edit" shapetype="t"/>
            </v:shapetype>
            <v:shape id="Straight Arrow Connector 43" o:spid="_x0000_s1026" type="#_x0000_t32" style="position:absolute;margin-left:0;margin-top:21.75pt;width:340.15pt;height:0;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DEFsSi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280</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70016" behindDoc="0" locked="0" layoutInCell="1" allowOverlap="1" wp14:anchorId="798C49F9" wp14:editId="15FEDBCE">
              <wp:simplePos x="0" y="0"/>
              <wp:positionH relativeFrom="margin">
                <wp:align>center</wp:align>
              </wp:positionH>
              <wp:positionV relativeFrom="paragraph">
                <wp:posOffset>276225</wp:posOffset>
              </wp:positionV>
              <wp:extent cx="4320000" cy="0"/>
              <wp:effectExtent l="0" t="0" r="23495"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7415F8" id="_x0000_t32" coordsize="21600,21600" o:spt="32" o:oned="t" path="m,l21600,21600e" filled="f">
              <v:path arrowok="t" fillok="f" o:connecttype="none"/>
              <o:lock v:ext="edit" shapetype="t"/>
            </v:shapetype>
            <v:shape id="Straight Arrow Connector 44" o:spid="_x0000_s1026" type="#_x0000_t32" style="position:absolute;margin-left:0;margin-top:21.75pt;width:340.15pt;height:0;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K57FOC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noProof/>
        <w:szCs w:val="28"/>
      </w:rPr>
      <w:instrText xml:space="preserve">STYLEREF  "Heading </w:instrText>
    </w:r>
    <w:r>
      <w:rPr>
        <w:rFonts w:cs="Ya-Ali"/>
        <w:noProof/>
        <w:szCs w:val="28"/>
        <w:rtl/>
      </w:rPr>
      <w:instrText>2</w:instrText>
    </w:r>
    <w:r>
      <w:rPr>
        <w:rFonts w:cs="Ya-Ali"/>
        <w:noProof/>
        <w:szCs w:val="28"/>
      </w:rPr>
      <w:instrText>"  \* MERGEFORMAT</w:instrText>
    </w:r>
    <w:r>
      <w:rPr>
        <w:rFonts w:cs="Ya-Ali"/>
        <w:noProof/>
        <w:szCs w:val="28"/>
        <w:rtl/>
      </w:rPr>
      <w:instrText xml:space="preserve"> </w:instrTex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281</w:t>
    </w:r>
    <w:r w:rsidRPr="000037AD">
      <w:rPr>
        <w:noProof/>
        <w:szCs w:val="28"/>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75136" behindDoc="0" locked="0" layoutInCell="1" allowOverlap="1" wp14:anchorId="5E168A6B" wp14:editId="21C90922">
              <wp:simplePos x="0" y="0"/>
              <wp:positionH relativeFrom="margin">
                <wp:align>center</wp:align>
              </wp:positionH>
              <wp:positionV relativeFrom="paragraph">
                <wp:posOffset>276225</wp:posOffset>
              </wp:positionV>
              <wp:extent cx="4320000" cy="0"/>
              <wp:effectExtent l="0" t="0" r="23495" b="190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EDF1F2" id="_x0000_t32" coordsize="21600,21600" o:spt="32" o:oned="t" path="m,l21600,21600e" filled="f">
              <v:path arrowok="t" fillok="f" o:connecttype="none"/>
              <o:lock v:ext="edit" shapetype="t"/>
            </v:shapetype>
            <v:shape id="Straight Arrow Connector 45" o:spid="_x0000_s1026" type="#_x0000_t32" style="position:absolute;margin-left:0;margin-top:21.75pt;width:340.15pt;height:0;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Bxa9VEnAIAAIYFAAAOAAAAAAAAAAAAAAAAAC4CAABkcnMvZTJv&#10;RG9jLnhtbFBLAQItABQABgAIAAAAIQB+/8Ao3AAAAAYBAAAPAAAAAAAAAAAAAAAAAPYEAABkcnMv&#10;ZG93bnJldi54bWxQSwUGAAAAAAQABADzAAAA/wU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292</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71040" behindDoc="0" locked="0" layoutInCell="1" allowOverlap="1" wp14:anchorId="41280552" wp14:editId="3760FF1E">
              <wp:simplePos x="0" y="0"/>
              <wp:positionH relativeFrom="margin">
                <wp:align>center</wp:align>
              </wp:positionH>
              <wp:positionV relativeFrom="paragraph">
                <wp:posOffset>276225</wp:posOffset>
              </wp:positionV>
              <wp:extent cx="4320000" cy="0"/>
              <wp:effectExtent l="0" t="0" r="23495" b="190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61A6D4" id="_x0000_t32" coordsize="21600,21600" o:spt="32" o:oned="t" path="m,l21600,21600e" filled="f">
              <v:path arrowok="t" fillok="f" o:connecttype="none"/>
              <o:lock v:ext="edit" shapetype="t"/>
            </v:shapetype>
            <v:shape id="Straight Arrow Connector 46" o:spid="_x0000_s1026" type="#_x0000_t32" style="position:absolute;margin-left:0;margin-top:21.75pt;width:340.15pt;height:0;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FFc53K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noProof/>
        <w:szCs w:val="28"/>
      </w:rPr>
      <w:instrText xml:space="preserve">STYLEREF  "Heading </w:instrText>
    </w:r>
    <w:r>
      <w:rPr>
        <w:rFonts w:cs="Ya-Ali"/>
        <w:noProof/>
        <w:szCs w:val="28"/>
        <w:rtl/>
      </w:rPr>
      <w:instrText>2</w:instrText>
    </w:r>
    <w:r>
      <w:rPr>
        <w:rFonts w:cs="Ya-Ali"/>
        <w:noProof/>
        <w:szCs w:val="28"/>
      </w:rPr>
      <w:instrText>"  \* MERGEFORMAT</w:instrText>
    </w:r>
    <w:r>
      <w:rPr>
        <w:rFonts w:cs="Ya-Ali"/>
        <w:noProof/>
        <w:szCs w:val="28"/>
        <w:rtl/>
      </w:rPr>
      <w:instrText xml:space="preserve"> </w:instrText>
    </w:r>
    <w:r w:rsidR="005E56C5">
      <w:rPr>
        <w:rFonts w:cs="Ya-Ali"/>
        <w:noProof/>
        <w:szCs w:val="28"/>
        <w:rtl/>
      </w:rPr>
      <w:fldChar w:fldCharType="separate"/>
    </w:r>
    <w:r w:rsidR="005E56C5">
      <w:rPr>
        <w:rFonts w:cs="Ya-Ali" w:hint="eastAsia"/>
        <w:noProof/>
        <w:szCs w:val="28"/>
        <w:rtl/>
      </w:rPr>
      <w:t>الفصل</w:t>
    </w:r>
    <w:r w:rsidR="005E56C5">
      <w:rPr>
        <w:rFonts w:cs="Ya-Ali"/>
        <w:noProof/>
        <w:szCs w:val="28"/>
        <w:rtl/>
      </w:rPr>
      <w:t xml:space="preserve"> </w:t>
    </w:r>
    <w:r w:rsidR="005E56C5">
      <w:rPr>
        <w:rFonts w:cs="Ya-Ali" w:hint="eastAsia"/>
        <w:noProof/>
        <w:szCs w:val="28"/>
        <w:rtl/>
      </w:rPr>
      <w:t>السادس</w:t>
    </w:r>
    <w:r w:rsidR="005E56C5">
      <w:rPr>
        <w:rFonts w:cs="Ya-Ali"/>
        <w:noProof/>
        <w:szCs w:val="28"/>
        <w:rtl/>
      </w:rPr>
      <w:t xml:space="preserve"> </w:t>
    </w:r>
    <w:r w:rsidR="005E56C5">
      <w:rPr>
        <w:rFonts w:cs="Ya-Ali" w:hint="eastAsia"/>
        <w:noProof/>
        <w:szCs w:val="28"/>
        <w:rtl/>
      </w:rPr>
      <w:t>عشر</w:t>
    </w:r>
    <w:r w:rsidR="005E56C5">
      <w:rPr>
        <w:rFonts w:cs="Ya-Ali"/>
        <w:noProof/>
        <w:szCs w:val="28"/>
        <w:rtl/>
      </w:rPr>
      <w:t xml:space="preserve">: </w:t>
    </w:r>
    <w:r w:rsidR="005E56C5">
      <w:rPr>
        <w:rFonts w:cs="Ya-Ali" w:hint="eastAsia"/>
        <w:noProof/>
        <w:szCs w:val="28"/>
        <w:rtl/>
      </w:rPr>
      <w:t>أصل</w:t>
    </w:r>
    <w:r w:rsidR="005E56C5">
      <w:rPr>
        <w:rFonts w:cs="Ya-Ali"/>
        <w:noProof/>
        <w:szCs w:val="28"/>
        <w:rtl/>
      </w:rPr>
      <w:t xml:space="preserve"> </w:t>
    </w:r>
    <w:r w:rsidR="005E56C5">
      <w:rPr>
        <w:rFonts w:cs="Ya-Ali" w:hint="eastAsia"/>
        <w:noProof/>
        <w:szCs w:val="28"/>
        <w:rtl/>
      </w:rPr>
      <w:t>عدم</w:t>
    </w:r>
    <w:r w:rsidR="005E56C5">
      <w:rPr>
        <w:rFonts w:cs="Ya-Ali"/>
        <w:noProof/>
        <w:szCs w:val="28"/>
        <w:rtl/>
      </w:rPr>
      <w:t xml:space="preserve"> </w:t>
    </w:r>
    <w:r w:rsidR="005E56C5">
      <w:rPr>
        <w:rFonts w:cs="Ya-Ali" w:hint="eastAsia"/>
        <w:noProof/>
        <w:szCs w:val="28"/>
        <w:rtl/>
      </w:rPr>
      <w:t>الولاية</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291</w:t>
    </w:r>
    <w:r w:rsidRPr="000037AD">
      <w:rPr>
        <w:noProof/>
        <w:szCs w:val="28"/>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80256" behindDoc="0" locked="0" layoutInCell="1" allowOverlap="1" wp14:anchorId="3C1181F1" wp14:editId="06B2DBD0">
              <wp:simplePos x="0" y="0"/>
              <wp:positionH relativeFrom="margin">
                <wp:align>center</wp:align>
              </wp:positionH>
              <wp:positionV relativeFrom="paragraph">
                <wp:posOffset>276225</wp:posOffset>
              </wp:positionV>
              <wp:extent cx="4320000" cy="0"/>
              <wp:effectExtent l="0" t="0" r="2349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EEAEB9" id="_x0000_t32" coordsize="21600,21600" o:spt="32" o:oned="t" path="m,l21600,21600e" filled="f">
              <v:path arrowok="t" fillok="f" o:connecttype="none"/>
              <o:lock v:ext="edit" shapetype="t"/>
            </v:shapetype>
            <v:shape id="Straight Arrow Connector 19" o:spid="_x0000_s1026" type="#_x0000_t32" style="position:absolute;margin-left:0;margin-top:21.75pt;width:340.15pt;height:0;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PCA9dG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330</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53632" behindDoc="0" locked="0" layoutInCell="1" allowOverlap="1" wp14:anchorId="2BB4CD7C" wp14:editId="523BDC59">
              <wp:simplePos x="0" y="0"/>
              <wp:positionH relativeFrom="margin">
                <wp:align>center</wp:align>
              </wp:positionH>
              <wp:positionV relativeFrom="paragraph">
                <wp:posOffset>276225</wp:posOffset>
              </wp:positionV>
              <wp:extent cx="4320000" cy="0"/>
              <wp:effectExtent l="0" t="0" r="2349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23BDD4" id="_x0000_t32" coordsize="21600,21600" o:spt="32" o:oned="t" path="m,l21600,21600e" filled="f">
              <v:path arrowok="t" fillok="f" o:connecttype="none"/>
              <o:lock v:ext="edit" shapetype="t"/>
            </v:shapetype>
            <v:shape id="Straight Arrow Connector 18" o:spid="_x0000_s1026" type="#_x0000_t32" style="position:absolute;margin-left:0;margin-top:21.75pt;width:340.15pt;height:0;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C+QNHW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noProof/>
        <w:szCs w:val="28"/>
      </w:rPr>
      <w:instrText xml:space="preserve">STYLEREF  "Heading </w:instrText>
    </w:r>
    <w:r>
      <w:rPr>
        <w:rFonts w:cs="Ya-Ali"/>
        <w:noProof/>
        <w:szCs w:val="28"/>
        <w:rtl/>
      </w:rPr>
      <w:instrText>2</w:instrText>
    </w:r>
    <w:r>
      <w:rPr>
        <w:rFonts w:cs="Ya-Ali"/>
        <w:noProof/>
        <w:szCs w:val="28"/>
      </w:rPr>
      <w:instrText>"  \* MERGEFORMAT</w:instrText>
    </w:r>
    <w:r>
      <w:rPr>
        <w:rFonts w:cs="Ya-Ali"/>
        <w:noProof/>
        <w:szCs w:val="28"/>
        <w:rtl/>
      </w:rPr>
      <w:instrText xml:space="preserve"> </w:instrText>
    </w:r>
    <w:r w:rsidR="005E56C5">
      <w:rPr>
        <w:rFonts w:cs="Ya-Ali"/>
        <w:noProof/>
        <w:szCs w:val="28"/>
        <w:rtl/>
      </w:rPr>
      <w:fldChar w:fldCharType="separate"/>
    </w:r>
    <w:r w:rsidR="005E56C5">
      <w:rPr>
        <w:rFonts w:cs="Ya-Ali" w:hint="eastAsia"/>
        <w:noProof/>
        <w:szCs w:val="28"/>
        <w:rtl/>
      </w:rPr>
      <w:t>الفصل</w:t>
    </w:r>
    <w:r w:rsidR="005E56C5">
      <w:rPr>
        <w:rFonts w:cs="Ya-Ali"/>
        <w:noProof/>
        <w:szCs w:val="28"/>
        <w:rtl/>
      </w:rPr>
      <w:t xml:space="preserve"> </w:t>
    </w:r>
    <w:r w:rsidR="005E56C5">
      <w:rPr>
        <w:rFonts w:cs="Ya-Ali" w:hint="eastAsia"/>
        <w:noProof/>
        <w:szCs w:val="28"/>
        <w:rtl/>
      </w:rPr>
      <w:t>السابع</w:t>
    </w:r>
    <w:r w:rsidR="005E56C5">
      <w:rPr>
        <w:rFonts w:cs="Ya-Ali"/>
        <w:noProof/>
        <w:szCs w:val="28"/>
        <w:rtl/>
      </w:rPr>
      <w:t xml:space="preserve"> </w:t>
    </w:r>
    <w:r w:rsidR="005E56C5">
      <w:rPr>
        <w:rFonts w:cs="Ya-Ali" w:hint="eastAsia"/>
        <w:noProof/>
        <w:szCs w:val="28"/>
        <w:rtl/>
      </w:rPr>
      <w:t>عشر</w:t>
    </w:r>
    <w:r w:rsidR="005E56C5">
      <w:rPr>
        <w:rFonts w:cs="Ya-Ali"/>
        <w:noProof/>
        <w:szCs w:val="28"/>
        <w:rtl/>
      </w:rPr>
      <w:t xml:space="preserve">: </w:t>
    </w:r>
    <w:r w:rsidR="005E56C5">
      <w:rPr>
        <w:rFonts w:cs="Ya-Ali" w:hint="eastAsia"/>
        <w:noProof/>
        <w:szCs w:val="28"/>
        <w:rtl/>
      </w:rPr>
      <w:t>أدلّة</w:t>
    </w:r>
    <w:r w:rsidR="005E56C5">
      <w:rPr>
        <w:rFonts w:cs="Ya-Ali"/>
        <w:noProof/>
        <w:szCs w:val="28"/>
        <w:rtl/>
      </w:rPr>
      <w:t xml:space="preserve"> </w:t>
    </w:r>
    <w:r w:rsidR="005E56C5">
      <w:rPr>
        <w:rFonts w:cs="Ya-Ali" w:hint="eastAsia"/>
        <w:noProof/>
        <w:szCs w:val="28"/>
        <w:rtl/>
      </w:rPr>
      <w:t>ولاية</w:t>
    </w:r>
    <w:r w:rsidR="005E56C5">
      <w:rPr>
        <w:rFonts w:cs="Ya-Ali"/>
        <w:noProof/>
        <w:szCs w:val="28"/>
        <w:rtl/>
      </w:rPr>
      <w:t xml:space="preserve"> </w:t>
    </w:r>
    <w:r w:rsidR="005E56C5">
      <w:rPr>
        <w:rFonts w:cs="Ya-Ali" w:hint="eastAsia"/>
        <w:noProof/>
        <w:szCs w:val="28"/>
        <w:rtl/>
      </w:rPr>
      <w:t>الفقيه</w:t>
    </w:r>
    <w:r w:rsidR="005E56C5">
      <w:rPr>
        <w:rFonts w:cs="Ya-Ali"/>
        <w:noProof/>
        <w:szCs w:val="28"/>
        <w:rtl/>
      </w:rPr>
      <w:t xml:space="preserve"> </w:t>
    </w:r>
    <w:r w:rsidR="005E56C5">
      <w:rPr>
        <w:rFonts w:cs="Ya-Ali" w:hint="eastAsia"/>
        <w:noProof/>
        <w:szCs w:val="28"/>
        <w:rtl/>
      </w:rPr>
      <w:t>في</w:t>
    </w:r>
    <w:r w:rsidR="005E56C5">
      <w:rPr>
        <w:rFonts w:cs="Ya-Ali"/>
        <w:noProof/>
        <w:szCs w:val="28"/>
        <w:rtl/>
      </w:rPr>
      <w:t xml:space="preserve"> </w:t>
    </w:r>
    <w:r w:rsidR="005E56C5">
      <w:rPr>
        <w:rFonts w:cs="Ya-Ali" w:hint="eastAsia"/>
        <w:noProof/>
        <w:szCs w:val="28"/>
        <w:rtl/>
      </w:rPr>
      <w:t>الروايات</w:t>
    </w:r>
    <w:r w:rsidR="005E56C5">
      <w:rPr>
        <w:rFonts w:cs="Ya-Ali"/>
        <w:noProof/>
        <w:szCs w:val="28"/>
        <w:rtl/>
      </w:rPr>
      <w:t xml:space="preserve"> </w:t>
    </w:r>
    <w:r w:rsidR="005E56C5">
      <w:rPr>
        <w:rFonts w:cs="Ya-Ali" w:hint="eastAsia"/>
        <w:noProof/>
        <w:szCs w:val="28"/>
        <w:rtl/>
      </w:rPr>
      <w:t>المرويّة</w:t>
    </w:r>
    <w:r w:rsidR="005E56C5">
      <w:rPr>
        <w:rFonts w:cs="Ya-Ali"/>
        <w:noProof/>
        <w:szCs w:val="28"/>
        <w:rtl/>
      </w:rPr>
      <w:t xml:space="preserve"> </w:t>
    </w:r>
    <w:r w:rsidR="005E56C5">
      <w:rPr>
        <w:rFonts w:cs="Ya-Ali" w:hint="eastAsia"/>
        <w:noProof/>
        <w:szCs w:val="28"/>
        <w:rtl/>
      </w:rPr>
      <w:t>عن</w:t>
    </w:r>
    <w:r w:rsidR="005E56C5">
      <w:rPr>
        <w:rFonts w:cs="Ya-Ali"/>
        <w:noProof/>
        <w:szCs w:val="28"/>
        <w:rtl/>
      </w:rPr>
      <w:t xml:space="preserve"> </w:t>
    </w:r>
    <w:r w:rsidR="005E56C5">
      <w:rPr>
        <w:rFonts w:cs="Ya-Ali" w:hint="eastAsia"/>
        <w:noProof/>
        <w:szCs w:val="28"/>
        <w:rtl/>
      </w:rPr>
      <w:t>النبيّ</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331</w:t>
    </w:r>
    <w:r w:rsidRPr="000037AD">
      <w:rPr>
        <w:noProof/>
        <w:szCs w:val="28"/>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52608" behindDoc="0" locked="0" layoutInCell="1" allowOverlap="1" wp14:anchorId="1E8090E4" wp14:editId="4543380B">
              <wp:simplePos x="0" y="0"/>
              <wp:positionH relativeFrom="margin">
                <wp:align>center</wp:align>
              </wp:positionH>
              <wp:positionV relativeFrom="paragraph">
                <wp:posOffset>276225</wp:posOffset>
              </wp:positionV>
              <wp:extent cx="4320000" cy="0"/>
              <wp:effectExtent l="0" t="0" r="23495"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6209A3" id="_x0000_t32" coordsize="21600,21600" o:spt="32" o:oned="t" path="m,l21600,21600e" filled="f">
              <v:path arrowok="t" fillok="f" o:connecttype="none"/>
              <o:lock v:ext="edit" shapetype="t"/>
            </v:shapetype>
            <v:shape id="Straight Arrow Connector 16" o:spid="_x0000_s1026" type="#_x0000_t32" style="position:absolute;margin-left:0;margin-top:21.75pt;width:340.15pt;height:0;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FBrDz+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342</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2F249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38272" behindDoc="0" locked="0" layoutInCell="1" allowOverlap="1" wp14:anchorId="2D23CB85" wp14:editId="51436998">
              <wp:simplePos x="0" y="0"/>
              <wp:positionH relativeFrom="margin">
                <wp:align>center</wp:align>
              </wp:positionH>
              <wp:positionV relativeFrom="paragraph">
                <wp:posOffset>276225</wp:posOffset>
              </wp:positionV>
              <wp:extent cx="4320000" cy="0"/>
              <wp:effectExtent l="0" t="0" r="2349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16719C" id="_x0000_t32" coordsize="21600,21600" o:spt="32" o:oned="t" path="m,l21600,21600e" filled="f">
              <v:path arrowok="t" fillok="f" o:connecttype="none"/>
              <o:lock v:ext="edit" shapetype="t"/>
            </v:shapetype>
            <v:shape id="Straight Arrow Connector 12" o:spid="_x0000_s1026" type="#_x0000_t32" style="position:absolute;margin-left:0;margin-top:21.75pt;width:340.15pt;height:0;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O8imMG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hint="cs"/>
        <w:noProof/>
        <w:szCs w:val="28"/>
        <w:rtl/>
      </w:rPr>
      <w:t>الفصل 18: أدلّة ولاية الفقيه في الروايات المنقولة عن علي والحسين.</w:t>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341</w:t>
    </w:r>
    <w:r w:rsidRPr="000037AD">
      <w:rPr>
        <w:noProof/>
        <w:szCs w:val="28"/>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72064" behindDoc="0" locked="0" layoutInCell="1" allowOverlap="1" wp14:anchorId="328885A1" wp14:editId="3A7B39DF">
              <wp:simplePos x="0" y="0"/>
              <wp:positionH relativeFrom="margin">
                <wp:align>center</wp:align>
              </wp:positionH>
              <wp:positionV relativeFrom="paragraph">
                <wp:posOffset>276225</wp:posOffset>
              </wp:positionV>
              <wp:extent cx="4320000" cy="0"/>
              <wp:effectExtent l="0" t="0" r="2349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7C05C9" id="_x0000_t32" coordsize="21600,21600" o:spt="32" o:oned="t" path="m,l21600,21600e" filled="f">
              <v:path arrowok="t" fillok="f" o:connecttype="none"/>
              <o:lock v:ext="edit" shapetype="t"/>
            </v:shapetype>
            <v:shape id="Straight Arrow Connector 20" o:spid="_x0000_s1026" type="#_x0000_t32" style="position:absolute;margin-left:0;margin-top:21.75pt;width:340.15pt;height:0;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O8XM2i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374</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2F249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39296" behindDoc="0" locked="0" layoutInCell="1" allowOverlap="1" wp14:anchorId="1DB10082" wp14:editId="2A6D2F01">
              <wp:simplePos x="0" y="0"/>
              <wp:positionH relativeFrom="margin">
                <wp:align>center</wp:align>
              </wp:positionH>
              <wp:positionV relativeFrom="paragraph">
                <wp:posOffset>276225</wp:posOffset>
              </wp:positionV>
              <wp:extent cx="4320000" cy="0"/>
              <wp:effectExtent l="0" t="0" r="2349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34EB4E" id="_x0000_t32" coordsize="21600,21600" o:spt="32" o:oned="t" path="m,l21600,21600e" filled="f">
              <v:path arrowok="t" fillok="f" o:connecttype="none"/>
              <o:lock v:ext="edit" shapetype="t"/>
            </v:shapetype>
            <v:shape id="Straight Arrow Connector 22" o:spid="_x0000_s1026" type="#_x0000_t32" style="position:absolute;margin-left:0;margin-top:21.75pt;width:340.15pt;height:0;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AQMMD6nAIAAIYFAAAOAAAAAAAAAAAAAAAAAC4CAABkcnMvZTJv&#10;RG9jLnhtbFBLAQItABQABgAIAAAAIQB+/8Ao3AAAAAYBAAAPAAAAAAAAAAAAAAAAAPYEAABkcnMv&#10;ZG93bnJldi54bWxQSwUGAAAAAAQABADzAAAA/wUAAAAA&#10;" strokeweight="1.2pt">
              <v:shadow color="#868686"/>
              <w10:wrap anchorx="margin"/>
            </v:shape>
          </w:pict>
        </mc:Fallback>
      </mc:AlternateContent>
    </w:r>
    <w:r>
      <w:rPr>
        <w:rFonts w:cs="Ya-Ali" w:hint="cs"/>
        <w:noProof/>
        <w:szCs w:val="28"/>
        <w:rtl/>
      </w:rPr>
      <w:t>الفصل 19: أدلّة ولاية الفقيه في الروايات المنقولة عن الصادق والكاظم...</w:t>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373</w:t>
    </w:r>
    <w:r w:rsidRPr="000037AD">
      <w:rPr>
        <w:noProof/>
        <w:szCs w:val="28"/>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76160" behindDoc="0" locked="0" layoutInCell="1" allowOverlap="1" wp14:anchorId="1EF31775" wp14:editId="6ED7A656">
              <wp:simplePos x="0" y="0"/>
              <wp:positionH relativeFrom="margin">
                <wp:align>center</wp:align>
              </wp:positionH>
              <wp:positionV relativeFrom="paragraph">
                <wp:posOffset>276225</wp:posOffset>
              </wp:positionV>
              <wp:extent cx="4320000" cy="0"/>
              <wp:effectExtent l="0" t="0" r="2349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5B1F9B" id="_x0000_t32" coordsize="21600,21600" o:spt="32" o:oned="t" path="m,l21600,21600e" filled="f">
              <v:path arrowok="t" fillok="f" o:connecttype="none"/>
              <o:lock v:ext="edit" shapetype="t"/>
            </v:shapetype>
            <v:shape id="Straight Arrow Connector 23" o:spid="_x0000_s1026" type="#_x0000_t32" style="position:absolute;margin-left:0;margin-top:21.75pt;width:340.15pt;height:0;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M8gAV6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392</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D79F5">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77184" behindDoc="0" locked="0" layoutInCell="1" allowOverlap="1" wp14:anchorId="7C1279F5" wp14:editId="6BDDAB74">
              <wp:simplePos x="0" y="0"/>
              <wp:positionH relativeFrom="margin">
                <wp:align>center</wp:align>
              </wp:positionH>
              <wp:positionV relativeFrom="paragraph">
                <wp:posOffset>276225</wp:posOffset>
              </wp:positionV>
              <wp:extent cx="4320000" cy="0"/>
              <wp:effectExtent l="0" t="0" r="2349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0527A" id="_x0000_t32" coordsize="21600,21600" o:spt="32" o:oned="t" path="m,l21600,21600e" filled="f">
              <v:path arrowok="t" fillok="f" o:connecttype="none"/>
              <o:lock v:ext="edit" shapetype="t"/>
            </v:shapetype>
            <v:shape id="Straight Arrow Connector 24" o:spid="_x0000_s1026" type="#_x0000_t32" style="position:absolute;margin-left:0;margin-top:21.75pt;width:340.15pt;height:0;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BQXqSWnAIAAIYFAAAOAAAAAAAAAAAAAAAAAC4CAABkcnMvZTJv&#10;RG9jLnhtbFBLAQItABQABgAIAAAAIQB+/8Ao3AAAAAYBAAAPAAAAAAAAAAAAAAAAAPYEAABkcnMv&#10;ZG93bnJldi54bWxQSwUGAAAAAAQABADzAAAA/wUAAAAA&#10;" strokeweight="1.2pt">
              <v:shadow color="#868686"/>
              <w10:wrap anchorx="margin"/>
            </v:shape>
          </w:pict>
        </mc:Fallback>
      </mc:AlternateContent>
    </w:r>
    <w:r>
      <w:rPr>
        <w:rFonts w:cs="Ya-Ali" w:hint="cs"/>
        <w:noProof/>
        <w:szCs w:val="28"/>
        <w:rtl/>
      </w:rPr>
      <w:t>الفصل 20: أدلّة ولاية الفقيه من الروايات المنقولة عن الإمام المهدي</w:t>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393</w:t>
    </w:r>
    <w:r w:rsidRPr="000037AD">
      <w:rPr>
        <w:noProof/>
        <w:szCs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81280" behindDoc="0" locked="0" layoutInCell="1" allowOverlap="1" wp14:anchorId="7A4E5537" wp14:editId="2A2819B7">
              <wp:simplePos x="0" y="0"/>
              <wp:positionH relativeFrom="margin">
                <wp:align>center</wp:align>
              </wp:positionH>
              <wp:positionV relativeFrom="paragraph">
                <wp:posOffset>276225</wp:posOffset>
              </wp:positionV>
              <wp:extent cx="4320000" cy="0"/>
              <wp:effectExtent l="0" t="0" r="2349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40096B" id="_x0000_t32" coordsize="21600,21600" o:spt="32" o:oned="t" path="m,l21600,21600e" filled="f">
              <v:path arrowok="t" fillok="f" o:connecttype="none"/>
              <o:lock v:ext="edit" shapetype="t"/>
            </v:shapetype>
            <v:shape id="Straight Arrow Connector 30" o:spid="_x0000_s1026" type="#_x0000_t32" style="position:absolute;margin-left:0;margin-top:21.75pt;width:340.15pt;height:0;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LoZ+36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30</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78208" behindDoc="0" locked="0" layoutInCell="1" allowOverlap="1" wp14:anchorId="258361CA" wp14:editId="3C4B4179">
              <wp:simplePos x="0" y="0"/>
              <wp:positionH relativeFrom="margin">
                <wp:align>center</wp:align>
              </wp:positionH>
              <wp:positionV relativeFrom="paragraph">
                <wp:posOffset>276225</wp:posOffset>
              </wp:positionV>
              <wp:extent cx="4320000" cy="0"/>
              <wp:effectExtent l="0" t="0" r="23495"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308A71" id="_x0000_t32" coordsize="21600,21600" o:spt="32" o:oned="t" path="m,l21600,21600e" filled="f">
              <v:path arrowok="t" fillok="f" o:connecttype="none"/>
              <o:lock v:ext="edit" shapetype="t"/>
            </v:shapetype>
            <v:shape id="Straight Arrow Connector 25" o:spid="_x0000_s1026" type="#_x0000_t32" style="position:absolute;margin-left:0;margin-top:21.75pt;width:340.15pt;height:0;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CPTmUynAIAAIYFAAAOAAAAAAAAAAAAAAAAAC4CAABkcnMvZTJv&#10;RG9jLnhtbFBLAQItABQABgAIAAAAIQB+/8Ao3AAAAAYBAAAPAAAAAAAAAAAAAAAAAPYEAABkcnMv&#10;ZG93bnJldi54bWxQSwUGAAAAAAQABADzAAAA/wU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432</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63872" behindDoc="0" locked="0" layoutInCell="1" allowOverlap="1" wp14:anchorId="736B5FA8" wp14:editId="7941B853">
              <wp:simplePos x="0" y="0"/>
              <wp:positionH relativeFrom="margin">
                <wp:align>center</wp:align>
              </wp:positionH>
              <wp:positionV relativeFrom="paragraph">
                <wp:posOffset>276225</wp:posOffset>
              </wp:positionV>
              <wp:extent cx="4320000" cy="0"/>
              <wp:effectExtent l="0" t="0" r="2349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1AB29A" id="_x0000_t32" coordsize="21600,21600" o:spt="32" o:oned="t" path="m,l21600,21600e" filled="f">
              <v:path arrowok="t" fillok="f" o:connecttype="none"/>
              <o:lock v:ext="edit" shapetype="t"/>
            </v:shapetype>
            <v:shape id="Straight Arrow Connector 26" o:spid="_x0000_s1026" type="#_x0000_t32" style="position:absolute;margin-left:0;margin-top:21.75pt;width:340.15pt;height:0;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CveVcEnAIAAIYFAAAOAAAAAAAAAAAAAAAAAC4CAABkcnMvZTJv&#10;RG9jLnhtbFBLAQItABQABgAIAAAAIQB+/8Ao3AAAAAYBAAAPAAAAAAAAAAAAAAAAAPYEAABkcnMv&#10;ZG93bnJldi54bWxQSwUGAAAAAAQABADzAAAA/wU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noProof/>
        <w:szCs w:val="28"/>
      </w:rPr>
      <w:instrText xml:space="preserve">STYLEREF  "Heading </w:instrText>
    </w:r>
    <w:r>
      <w:rPr>
        <w:rFonts w:cs="Ya-Ali"/>
        <w:noProof/>
        <w:szCs w:val="28"/>
        <w:rtl/>
      </w:rPr>
      <w:instrText>2</w:instrText>
    </w:r>
    <w:r>
      <w:rPr>
        <w:rFonts w:cs="Ya-Ali"/>
        <w:noProof/>
        <w:szCs w:val="28"/>
      </w:rPr>
      <w:instrText>"  \* MERGEFORMAT</w:instrText>
    </w:r>
    <w:r>
      <w:rPr>
        <w:rFonts w:cs="Ya-Ali"/>
        <w:noProof/>
        <w:szCs w:val="28"/>
        <w:rtl/>
      </w:rPr>
      <w:instrText xml:space="preserve"> </w:instrText>
    </w:r>
    <w:r w:rsidR="005E56C5">
      <w:rPr>
        <w:rFonts w:cs="Ya-Ali"/>
        <w:noProof/>
        <w:szCs w:val="28"/>
        <w:rtl/>
      </w:rPr>
      <w:fldChar w:fldCharType="separate"/>
    </w:r>
    <w:r w:rsidR="005E56C5">
      <w:rPr>
        <w:rFonts w:cs="Ya-Ali" w:hint="eastAsia"/>
        <w:noProof/>
        <w:szCs w:val="28"/>
        <w:rtl/>
      </w:rPr>
      <w:t>الفصل</w:t>
    </w:r>
    <w:r w:rsidR="005E56C5">
      <w:rPr>
        <w:rFonts w:cs="Ya-Ali"/>
        <w:noProof/>
        <w:szCs w:val="28"/>
        <w:rtl/>
      </w:rPr>
      <w:t xml:space="preserve"> </w:t>
    </w:r>
    <w:r w:rsidR="005E56C5">
      <w:rPr>
        <w:rFonts w:cs="Ya-Ali" w:hint="eastAsia"/>
        <w:noProof/>
        <w:szCs w:val="28"/>
        <w:rtl/>
      </w:rPr>
      <w:t>الثالث</w:t>
    </w:r>
    <w:r w:rsidR="005E56C5">
      <w:rPr>
        <w:rFonts w:cs="Ya-Ali"/>
        <w:noProof/>
        <w:szCs w:val="28"/>
        <w:rtl/>
      </w:rPr>
      <w:t xml:space="preserve"> </w:t>
    </w:r>
    <w:r w:rsidR="005E56C5">
      <w:rPr>
        <w:rFonts w:cs="Ya-Ali" w:hint="eastAsia"/>
        <w:noProof/>
        <w:szCs w:val="28"/>
        <w:rtl/>
      </w:rPr>
      <w:t>والعشرون</w:t>
    </w:r>
    <w:r w:rsidR="005E56C5">
      <w:rPr>
        <w:rFonts w:cs="Ya-Ali"/>
        <w:noProof/>
        <w:szCs w:val="28"/>
        <w:rtl/>
      </w:rPr>
      <w:t xml:space="preserve">: </w:t>
    </w:r>
    <w:r w:rsidR="005E56C5">
      <w:rPr>
        <w:rFonts w:cs="Ya-Ali" w:hint="eastAsia"/>
        <w:noProof/>
        <w:szCs w:val="28"/>
        <w:rtl/>
      </w:rPr>
      <w:t>الأدلة</w:t>
    </w:r>
    <w:r w:rsidR="005E56C5">
      <w:rPr>
        <w:rFonts w:cs="Ya-Ali"/>
        <w:noProof/>
        <w:szCs w:val="28"/>
        <w:rtl/>
      </w:rPr>
      <w:t xml:space="preserve"> </w:t>
    </w:r>
    <w:r w:rsidR="005E56C5">
      <w:rPr>
        <w:rFonts w:cs="Ya-Ali" w:hint="eastAsia"/>
        <w:noProof/>
        <w:szCs w:val="28"/>
        <w:rtl/>
      </w:rPr>
      <w:t>العقليّة</w:t>
    </w:r>
    <w:r w:rsidR="005E56C5">
      <w:rPr>
        <w:rFonts w:cs="Ya-Ali"/>
        <w:noProof/>
        <w:szCs w:val="28"/>
        <w:rtl/>
      </w:rPr>
      <w:t xml:space="preserve"> </w:t>
    </w:r>
    <w:r w:rsidR="005E56C5">
      <w:rPr>
        <w:rFonts w:cs="Ya-Ali" w:hint="eastAsia"/>
        <w:noProof/>
        <w:szCs w:val="28"/>
        <w:rtl/>
      </w:rPr>
      <w:t>المستقلة</w:t>
    </w:r>
    <w:r w:rsidR="005E56C5">
      <w:rPr>
        <w:rFonts w:cs="Ya-Ali"/>
        <w:noProof/>
        <w:szCs w:val="28"/>
        <w:rtl/>
      </w:rPr>
      <w:t xml:space="preserve"> </w:t>
    </w:r>
    <w:r w:rsidR="005E56C5">
      <w:rPr>
        <w:rFonts w:cs="Ya-Ali" w:hint="eastAsia"/>
        <w:noProof/>
        <w:szCs w:val="28"/>
        <w:rtl/>
      </w:rPr>
      <w:t>على</w:t>
    </w:r>
    <w:r w:rsidR="005E56C5">
      <w:rPr>
        <w:rFonts w:cs="Ya-Ali"/>
        <w:noProof/>
        <w:szCs w:val="28"/>
        <w:rtl/>
      </w:rPr>
      <w:t xml:space="preserve"> </w:t>
    </w:r>
    <w:r w:rsidR="005E56C5">
      <w:rPr>
        <w:rFonts w:cs="Ya-Ali" w:hint="eastAsia"/>
        <w:noProof/>
        <w:szCs w:val="28"/>
        <w:rtl/>
      </w:rPr>
      <w:t>ولاية</w:t>
    </w:r>
    <w:r w:rsidR="005E56C5">
      <w:rPr>
        <w:rFonts w:cs="Ya-Ali"/>
        <w:noProof/>
        <w:szCs w:val="28"/>
        <w:rtl/>
      </w:rPr>
      <w:t xml:space="preserve"> </w:t>
    </w:r>
    <w:r w:rsidR="005E56C5">
      <w:rPr>
        <w:rFonts w:cs="Ya-Ali" w:hint="eastAsia"/>
        <w:noProof/>
        <w:szCs w:val="28"/>
        <w:rtl/>
      </w:rPr>
      <w:t>الفقيه</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431</w:t>
    </w:r>
    <w:r w:rsidRPr="000037AD">
      <w:rPr>
        <w:noProof/>
        <w:szCs w:val="28"/>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82304" behindDoc="0" locked="0" layoutInCell="1" allowOverlap="1" wp14:anchorId="6DDA3434" wp14:editId="6711ABCB">
              <wp:simplePos x="0" y="0"/>
              <wp:positionH relativeFrom="margin">
                <wp:align>center</wp:align>
              </wp:positionH>
              <wp:positionV relativeFrom="paragraph">
                <wp:posOffset>276225</wp:posOffset>
              </wp:positionV>
              <wp:extent cx="4320000" cy="0"/>
              <wp:effectExtent l="0" t="0" r="23495"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140B06" id="_x0000_t32" coordsize="21600,21600" o:spt="32" o:oned="t" path="m,l21600,21600e" filled="f">
              <v:path arrowok="t" fillok="f" o:connecttype="none"/>
              <o:lock v:ext="edit" shapetype="t"/>
            </v:shapetype>
            <v:shape id="Straight Arrow Connector 50" o:spid="_x0000_s1026" type="#_x0000_t32" style="position:absolute;margin-left:0;margin-top:21.75pt;width:340.15pt;height:0;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EQ8Swi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456</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55680" behindDoc="0" locked="0" layoutInCell="1" allowOverlap="1" wp14:anchorId="0D273F79" wp14:editId="35BAC971">
              <wp:simplePos x="0" y="0"/>
              <wp:positionH relativeFrom="margin">
                <wp:align>center</wp:align>
              </wp:positionH>
              <wp:positionV relativeFrom="paragraph">
                <wp:posOffset>276225</wp:posOffset>
              </wp:positionV>
              <wp:extent cx="4320000" cy="0"/>
              <wp:effectExtent l="0" t="0" r="23495"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B4537E" id="_x0000_t32" coordsize="21600,21600" o:spt="32" o:oned="t" path="m,l21600,21600e" filled="f">
              <v:path arrowok="t" fillok="f" o:connecttype="none"/>
              <o:lock v:ext="edit" shapetype="t"/>
            </v:shapetype>
            <v:shape id="Straight Arrow Connector 49" o:spid="_x0000_s1026" type="#_x0000_t32" style="position:absolute;margin-left:0;margin-top:21.75pt;width:340.15pt;height:0;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PG3HZy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noProof/>
        <w:szCs w:val="28"/>
      </w:rPr>
      <w:instrText xml:space="preserve">STYLEREF  "Heading </w:instrText>
    </w:r>
    <w:r>
      <w:rPr>
        <w:rFonts w:cs="Ya-Ali"/>
        <w:noProof/>
        <w:szCs w:val="28"/>
        <w:rtl/>
      </w:rPr>
      <w:instrText>2</w:instrText>
    </w:r>
    <w:r>
      <w:rPr>
        <w:rFonts w:cs="Ya-Ali"/>
        <w:noProof/>
        <w:szCs w:val="28"/>
      </w:rPr>
      <w:instrText>"  \* MERGEFORMAT</w:instrText>
    </w:r>
    <w:r>
      <w:rPr>
        <w:rFonts w:cs="Ya-Ali"/>
        <w:noProof/>
        <w:szCs w:val="28"/>
        <w:rtl/>
      </w:rPr>
      <w:instrText xml:space="preserve"> </w:instrText>
    </w:r>
    <w:r>
      <w:rPr>
        <w:rFonts w:cs="Ya-Ali"/>
        <w:noProof/>
        <w:szCs w:val="28"/>
        <w:rtl/>
      </w:rPr>
      <w:fldChar w:fldCharType="separate"/>
    </w:r>
    <w:r w:rsidR="005E56C5">
      <w:rPr>
        <w:rFonts w:cs="Ya-Ali" w:hint="eastAsia"/>
        <w:noProof/>
        <w:szCs w:val="28"/>
        <w:rtl/>
      </w:rPr>
      <w:t>الفصل</w:t>
    </w:r>
    <w:r w:rsidR="005E56C5">
      <w:rPr>
        <w:rFonts w:cs="Ya-Ali"/>
        <w:noProof/>
        <w:szCs w:val="28"/>
        <w:rtl/>
      </w:rPr>
      <w:t xml:space="preserve"> </w:t>
    </w:r>
    <w:r w:rsidR="005E56C5">
      <w:rPr>
        <w:rFonts w:cs="Ya-Ali" w:hint="eastAsia"/>
        <w:noProof/>
        <w:szCs w:val="28"/>
        <w:rtl/>
      </w:rPr>
      <w:t>الرابع</w:t>
    </w:r>
    <w:r w:rsidR="005E56C5">
      <w:rPr>
        <w:rFonts w:cs="Ya-Ali"/>
        <w:noProof/>
        <w:szCs w:val="28"/>
        <w:rtl/>
      </w:rPr>
      <w:t xml:space="preserve"> </w:t>
    </w:r>
    <w:r w:rsidR="005E56C5">
      <w:rPr>
        <w:rFonts w:cs="Ya-Ali" w:hint="eastAsia"/>
        <w:noProof/>
        <w:szCs w:val="28"/>
        <w:rtl/>
      </w:rPr>
      <w:t>والعشرون</w:t>
    </w:r>
    <w:r w:rsidR="005E56C5">
      <w:rPr>
        <w:rFonts w:cs="Ya-Ali"/>
        <w:noProof/>
        <w:szCs w:val="28"/>
        <w:rtl/>
      </w:rPr>
      <w:t xml:space="preserve">: </w:t>
    </w:r>
    <w:r w:rsidR="005E56C5">
      <w:rPr>
        <w:rFonts w:cs="Ya-Ali" w:hint="eastAsia"/>
        <w:noProof/>
        <w:szCs w:val="28"/>
        <w:rtl/>
      </w:rPr>
      <w:t>الأدلّة</w:t>
    </w:r>
    <w:r w:rsidR="005E56C5">
      <w:rPr>
        <w:rFonts w:cs="Ya-Ali"/>
        <w:noProof/>
        <w:szCs w:val="28"/>
        <w:rtl/>
      </w:rPr>
      <w:t xml:space="preserve"> </w:t>
    </w:r>
    <w:r w:rsidR="005E56C5">
      <w:rPr>
        <w:rFonts w:cs="Ya-Ali" w:hint="eastAsia"/>
        <w:noProof/>
        <w:szCs w:val="28"/>
        <w:rtl/>
      </w:rPr>
      <w:t>العقليّة</w:t>
    </w:r>
    <w:r w:rsidR="005E56C5">
      <w:rPr>
        <w:rFonts w:cs="Ya-Ali"/>
        <w:noProof/>
        <w:szCs w:val="28"/>
        <w:rtl/>
      </w:rPr>
      <w:t xml:space="preserve"> </w:t>
    </w:r>
    <w:r w:rsidR="005E56C5">
      <w:rPr>
        <w:rFonts w:cs="Ya-Ali" w:hint="eastAsia"/>
        <w:noProof/>
        <w:szCs w:val="28"/>
        <w:rtl/>
      </w:rPr>
      <w:t>غير</w:t>
    </w:r>
    <w:r w:rsidR="005E56C5">
      <w:rPr>
        <w:rFonts w:cs="Ya-Ali"/>
        <w:noProof/>
        <w:szCs w:val="28"/>
        <w:rtl/>
      </w:rPr>
      <w:t xml:space="preserve"> </w:t>
    </w:r>
    <w:r w:rsidR="005E56C5">
      <w:rPr>
        <w:rFonts w:cs="Ya-Ali" w:hint="eastAsia"/>
        <w:noProof/>
        <w:szCs w:val="28"/>
        <w:rtl/>
      </w:rPr>
      <w:t>المستقلّة</w:t>
    </w:r>
    <w:r w:rsidR="005E56C5">
      <w:rPr>
        <w:rFonts w:cs="Ya-Ali"/>
        <w:noProof/>
        <w:szCs w:val="28"/>
        <w:rtl/>
      </w:rPr>
      <w:t xml:space="preserve"> </w:t>
    </w:r>
    <w:r w:rsidR="005E56C5">
      <w:rPr>
        <w:rFonts w:cs="Ya-Ali" w:hint="eastAsia"/>
        <w:noProof/>
        <w:szCs w:val="28"/>
        <w:rtl/>
      </w:rPr>
      <w:t>على</w:t>
    </w:r>
    <w:r w:rsidR="005E56C5">
      <w:rPr>
        <w:rFonts w:cs="Ya-Ali"/>
        <w:noProof/>
        <w:szCs w:val="28"/>
        <w:rtl/>
      </w:rPr>
      <w:t xml:space="preserve"> </w:t>
    </w:r>
    <w:r w:rsidR="005E56C5">
      <w:rPr>
        <w:rFonts w:cs="Ya-Ali" w:hint="eastAsia"/>
        <w:noProof/>
        <w:szCs w:val="28"/>
        <w:rtl/>
      </w:rPr>
      <w:t>ولاية</w:t>
    </w:r>
    <w:r w:rsidR="005E56C5">
      <w:rPr>
        <w:rFonts w:cs="Ya-Ali"/>
        <w:noProof/>
        <w:szCs w:val="28"/>
        <w:rtl/>
      </w:rPr>
      <w:t xml:space="preserve"> </w:t>
    </w:r>
    <w:r w:rsidR="005E56C5">
      <w:rPr>
        <w:rFonts w:cs="Ya-Ali" w:hint="eastAsia"/>
        <w:noProof/>
        <w:szCs w:val="28"/>
        <w:rtl/>
      </w:rPr>
      <w:t>الفقيه</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457</w:t>
    </w:r>
    <w:r w:rsidRPr="000037AD">
      <w:rPr>
        <w:noProof/>
        <w:szCs w:val="28"/>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59776" behindDoc="0" locked="0" layoutInCell="1" allowOverlap="1" wp14:anchorId="4ABFF528" wp14:editId="412CD254">
              <wp:simplePos x="0" y="0"/>
              <wp:positionH relativeFrom="margin">
                <wp:align>center</wp:align>
              </wp:positionH>
              <wp:positionV relativeFrom="paragraph">
                <wp:posOffset>276225</wp:posOffset>
              </wp:positionV>
              <wp:extent cx="4320000" cy="0"/>
              <wp:effectExtent l="0" t="0" r="23495"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F49B19" id="_x0000_t32" coordsize="21600,21600" o:spt="32" o:oned="t" path="m,l21600,21600e" filled="f">
              <v:path arrowok="t" fillok="f" o:connecttype="none"/>
              <o:lock v:ext="edit" shapetype="t"/>
            </v:shapetype>
            <v:shape id="Straight Arrow Connector 48" o:spid="_x0000_s1026" type="#_x0000_t32" style="position:absolute;margin-left:0;margin-top:21.75pt;width:340.15pt;height:0;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C6n3DibAgAAhgUAAA4AAAAAAAAAAAAAAAAALgIAAGRycy9lMm9E&#10;b2MueG1sUEsBAi0AFAAGAAgAAAAhAH7/wCjcAAAABgEAAA8AAAAAAAAAAAAAAAAA9QQAAGRycy9k&#10;b3ducmV2LnhtbFBLBQYAAAAABAAEAPMAAAD+BQ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486</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56704" behindDoc="0" locked="0" layoutInCell="1" allowOverlap="1" wp14:anchorId="141F40F6" wp14:editId="0E0BD1BF">
              <wp:simplePos x="0" y="0"/>
              <wp:positionH relativeFrom="margin">
                <wp:align>center</wp:align>
              </wp:positionH>
              <wp:positionV relativeFrom="paragraph">
                <wp:posOffset>276225</wp:posOffset>
              </wp:positionV>
              <wp:extent cx="4320000" cy="0"/>
              <wp:effectExtent l="0" t="0" r="23495" b="190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D80F23" id="_x0000_t32" coordsize="21600,21600" o:spt="32" o:oned="t" path="m,l21600,21600e" filled="f">
              <v:path arrowok="t" fillok="f" o:connecttype="none"/>
              <o:lock v:ext="edit" shapetype="t"/>
            </v:shapetype>
            <v:shape id="Straight Arrow Connector 47" o:spid="_x0000_s1026" type="#_x0000_t32" style="position:absolute;margin-left:0;margin-top:21.75pt;width:340.15pt;height:0;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COTCbWnAIAAIYFAAAOAAAAAAAAAAAAAAAAAC4CAABkcnMvZTJv&#10;RG9jLnhtbFBLAQItABQABgAIAAAAIQB+/8Ao3AAAAAYBAAAPAAAAAAAAAAAAAAAAAPYEAABkcnMv&#10;ZG93bnJldi54bWxQSwUGAAAAAAQABADzAAAA/wUAAAAA&#10;" strokeweight="1.2pt">
              <v:shadow color="#868686"/>
              <w10:wrap anchorx="margin"/>
            </v:shape>
          </w:pict>
        </mc:Fallback>
      </mc:AlternateContent>
    </w:r>
    <w:r>
      <w:rPr>
        <w:rFonts w:cs="Ya-Ali" w:hint="cs"/>
        <w:noProof/>
        <w:szCs w:val="28"/>
        <w:rtl/>
      </w:rPr>
      <w:t>فهرس المصادر</w:t>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485</w:t>
    </w:r>
    <w:r w:rsidRPr="000037AD">
      <w:rPr>
        <w:noProof/>
        <w:szCs w:val="28"/>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7A340E">
    <w:pPr>
      <w:tabs>
        <w:tab w:val="right" w:leader="dot" w:pos="6803"/>
      </w:tabs>
      <w:spacing w:line="264" w:lineRule="auto"/>
      <w:ind w:firstLine="0"/>
      <w:rPr>
        <w:szCs w:val="28"/>
        <w:rtl/>
      </w:rPr>
    </w:pPr>
    <w:r w:rsidRPr="00EA09EB">
      <w:rPr>
        <w:rFonts w:cs="Ya-Ali"/>
        <w:noProof/>
        <w:szCs w:val="28"/>
        <w:rtl/>
      </w:rPr>
      <mc:AlternateContent>
        <mc:Choice Requires="wps">
          <w:drawing>
            <wp:anchor distT="0" distB="0" distL="114300" distR="114300" simplePos="0" relativeHeight="251650560" behindDoc="0" locked="0" layoutInCell="1" allowOverlap="1" wp14:anchorId="2135413A" wp14:editId="13142178">
              <wp:simplePos x="0" y="0"/>
              <wp:positionH relativeFrom="margin">
                <wp:align>center</wp:align>
              </wp:positionH>
              <wp:positionV relativeFrom="paragraph">
                <wp:posOffset>276225</wp:posOffset>
              </wp:positionV>
              <wp:extent cx="4320000" cy="0"/>
              <wp:effectExtent l="0" t="0" r="23495"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E0682A" id="_x0000_t32" coordsize="21600,21600" o:spt="32" o:oned="t" path="m,l21600,21600e" filled="f">
              <v:path arrowok="t" fillok="f" o:connecttype="none"/>
              <o:lock v:ext="edit" shapetype="t"/>
            </v:shapetype>
            <v:shape id="Straight Arrow Connector 29" o:spid="_x0000_s1026" type="#_x0000_t32" style="position:absolute;margin-left:0;margin-top:21.75pt;width:340.15pt;height:0;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A+Sreq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hint="cs"/>
        <w:noProof/>
        <w:szCs w:val="28"/>
      </w:rPr>
      <w:instrText xml:space="preserve">STYLEREF  "Heading </w:instrText>
    </w:r>
    <w:r>
      <w:rPr>
        <w:rFonts w:cs="Ya-Ali" w:hint="cs"/>
        <w:noProof/>
        <w:szCs w:val="28"/>
        <w:rtl/>
      </w:rPr>
      <w:instrText>2</w:instrText>
    </w:r>
    <w:r>
      <w:rPr>
        <w:rFonts w:cs="Ya-Ali" w:hint="cs"/>
        <w:noProof/>
        <w:szCs w:val="28"/>
      </w:rPr>
      <w:instrText>"  \* MERGEFORMAT</w:instrText>
    </w:r>
    <w:r>
      <w:rPr>
        <w:rFonts w:cs="Ya-Ali"/>
        <w:noProof/>
        <w:szCs w:val="28"/>
        <w:rtl/>
      </w:rPr>
      <w:instrText xml:space="preserve"> </w:instrText>
    </w:r>
    <w:r w:rsidR="005E56C5">
      <w:rPr>
        <w:rFonts w:cs="Ya-Ali"/>
        <w:noProof/>
        <w:szCs w:val="28"/>
        <w:rtl/>
      </w:rPr>
      <w:fldChar w:fldCharType="separate"/>
    </w:r>
    <w:r w:rsidR="005E56C5">
      <w:rPr>
        <w:rFonts w:cs="Ya-Ali" w:hint="eastAsia"/>
        <w:noProof/>
        <w:szCs w:val="28"/>
        <w:rtl/>
      </w:rPr>
      <w:t>الديباجة</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31</w:t>
    </w:r>
    <w:r w:rsidRPr="000037AD">
      <w:rPr>
        <w:noProof/>
        <w:szCs w:val="28"/>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810B7A">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68992" behindDoc="0" locked="0" layoutInCell="1" allowOverlap="1" wp14:anchorId="58B8AD30" wp14:editId="3FD8ED6B">
              <wp:simplePos x="0" y="0"/>
              <wp:positionH relativeFrom="margin">
                <wp:align>center</wp:align>
              </wp:positionH>
              <wp:positionV relativeFrom="paragraph">
                <wp:posOffset>276225</wp:posOffset>
              </wp:positionV>
              <wp:extent cx="4320000" cy="0"/>
              <wp:effectExtent l="0" t="0" r="23495" b="190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545741" id="_x0000_t32" coordsize="21600,21600" o:spt="32" o:oned="t" path="m,l21600,21600e" filled="f">
              <v:path arrowok="t" fillok="f" o:connecttype="none"/>
              <o:lock v:ext="edit" shapetype="t"/>
            </v:shapetype>
            <v:shape id="Straight Arrow Connector 57" o:spid="_x0000_s1026" type="#_x0000_t32" style="position:absolute;margin-left:0;margin-top:21.75pt;width:340.15pt;height:0;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538</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810B7A">
    <w:pPr>
      <w:tabs>
        <w:tab w:val="right" w:leader="dot" w:pos="6803"/>
      </w:tabs>
      <w:spacing w:line="264" w:lineRule="auto"/>
      <w:ind w:firstLine="0"/>
      <w:rPr>
        <w:szCs w:val="28"/>
        <w:rtl/>
      </w:rPr>
    </w:pPr>
    <w:r w:rsidRPr="000037AD">
      <w:rPr>
        <w:rFonts w:cs="AF_Najed"/>
        <w:noProof/>
        <w:szCs w:val="28"/>
        <w:rtl/>
      </w:rPr>
      <w:t xml:space="preserve"> </w:t>
    </w:r>
    <w:r w:rsidRPr="00EA09EB">
      <w:rPr>
        <w:rFonts w:cs="Ya-Ali"/>
        <w:noProof/>
        <w:szCs w:val="28"/>
        <w:rtl/>
      </w:rPr>
      <mc:AlternateContent>
        <mc:Choice Requires="wps">
          <w:drawing>
            <wp:anchor distT="0" distB="0" distL="114300" distR="114300" simplePos="0" relativeHeight="251660800" behindDoc="0" locked="0" layoutInCell="1" allowOverlap="1" wp14:anchorId="0A129F47" wp14:editId="077516C0">
              <wp:simplePos x="0" y="0"/>
              <wp:positionH relativeFrom="margin">
                <wp:align>center</wp:align>
              </wp:positionH>
              <wp:positionV relativeFrom="paragraph">
                <wp:posOffset>276225</wp:posOffset>
              </wp:positionV>
              <wp:extent cx="4320000" cy="0"/>
              <wp:effectExtent l="0" t="0" r="23495"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FEDC60" id="_x0000_t32" coordsize="21600,21600" o:spt="32" o:oned="t" path="m,l21600,21600e" filled="f">
              <v:path arrowok="t" fillok="f" o:connecttype="none"/>
              <o:lock v:ext="edit" shapetype="t"/>
            </v:shapetype>
            <v:shape id="Straight Arrow Connector 56" o:spid="_x0000_s1026" type="#_x0000_t32" style="position:absolute;margin-left:0;margin-top:21.75pt;width:340.15pt;height:0;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ARSL2S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hint="cs"/>
        <w:noProof/>
        <w:szCs w:val="28"/>
      </w:rPr>
      <w:instrText>STYLEREF  "Heading 2"  \* MERGEFORMAT</w:instrText>
    </w:r>
    <w:r>
      <w:rPr>
        <w:rFonts w:cs="Ya-Ali"/>
        <w:noProof/>
        <w:szCs w:val="28"/>
        <w:rtl/>
      </w:rPr>
      <w:instrText xml:space="preserve"> </w:instrText>
    </w:r>
    <w:r w:rsidR="005E56C5">
      <w:rPr>
        <w:rFonts w:cs="Ya-Ali"/>
        <w:noProof/>
        <w:szCs w:val="28"/>
        <w:rtl/>
      </w:rPr>
      <w:fldChar w:fldCharType="separate"/>
    </w:r>
    <w:r w:rsidR="005E56C5">
      <w:rPr>
        <w:rFonts w:cs="Ya-Ali" w:hint="eastAsia"/>
        <w:noProof/>
        <w:szCs w:val="28"/>
        <w:rtl/>
      </w:rPr>
      <w:t>فهرس</w:t>
    </w:r>
    <w:r w:rsidR="005E56C5">
      <w:rPr>
        <w:rFonts w:cs="Ya-Ali"/>
        <w:noProof/>
        <w:szCs w:val="28"/>
        <w:rtl/>
      </w:rPr>
      <w:t xml:space="preserve"> </w:t>
    </w:r>
    <w:r w:rsidR="005E56C5">
      <w:rPr>
        <w:rFonts w:cs="Ya-Ali" w:hint="eastAsia"/>
        <w:noProof/>
        <w:szCs w:val="28"/>
        <w:rtl/>
      </w:rPr>
      <w:t>الكتب</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535</w:t>
    </w:r>
    <w:r w:rsidRPr="000037AD">
      <w:rPr>
        <w:noProof/>
        <w:szCs w:val="28"/>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810B7A">
    <w:pPr>
      <w:tabs>
        <w:tab w:val="right" w:leader="dot" w:pos="6803"/>
      </w:tabs>
      <w:spacing w:line="264" w:lineRule="auto"/>
      <w:ind w:firstLine="0"/>
      <w:rPr>
        <w:szCs w:val="28"/>
        <w:rtl/>
      </w:rPr>
    </w:pPr>
    <w:r w:rsidRPr="000037AD">
      <w:rPr>
        <w:rFonts w:cs="AF_Najed"/>
        <w:noProof/>
        <w:szCs w:val="28"/>
        <w:rtl/>
      </w:rPr>
      <w:t xml:space="preserve"> </w:t>
    </w:r>
    <w:r w:rsidRPr="00EA09EB">
      <w:rPr>
        <w:rFonts w:cs="Ya-Ali"/>
        <w:noProof/>
        <w:szCs w:val="28"/>
        <w:rtl/>
      </w:rPr>
      <mc:AlternateContent>
        <mc:Choice Requires="wps">
          <w:drawing>
            <wp:anchor distT="0" distB="0" distL="114300" distR="114300" simplePos="0" relativeHeight="251673088" behindDoc="0" locked="0" layoutInCell="1" allowOverlap="1" wp14:anchorId="7A218674" wp14:editId="733004E0">
              <wp:simplePos x="0" y="0"/>
              <wp:positionH relativeFrom="margin">
                <wp:align>center</wp:align>
              </wp:positionH>
              <wp:positionV relativeFrom="paragraph">
                <wp:posOffset>276225</wp:posOffset>
              </wp:positionV>
              <wp:extent cx="4320000" cy="0"/>
              <wp:effectExtent l="0" t="0" r="23495" b="190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804680" id="_x0000_t32" coordsize="21600,21600" o:spt="32" o:oned="t" path="m,l21600,21600e" filled="f">
              <v:path arrowok="t" fillok="f" o:connecttype="none"/>
              <o:lock v:ext="edit" shapetype="t"/>
            </v:shapetype>
            <v:shape id="Straight Arrow Connector 58" o:spid="_x0000_s1026" type="#_x0000_t32" style="position:absolute;margin-left:0;margin-top:21.75pt;width:340.15pt;height:0;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" strokeweight="1.2pt">
              <v:shadow color="#868686"/>
              <w10:wrap anchorx="margin"/>
            </v:shape>
          </w:pict>
        </mc:Fallback>
      </mc:AlternateContent>
    </w:r>
    <w:r>
      <w:rPr>
        <w:rFonts w:cs="Ya-Ali"/>
        <w:noProof/>
        <w:szCs w:val="28"/>
        <w:rtl/>
      </w:rPr>
      <w:fldChar w:fldCharType="begin"/>
    </w:r>
    <w:r>
      <w:rPr>
        <w:rFonts w:cs="Ya-Ali"/>
        <w:noProof/>
        <w:szCs w:val="28"/>
        <w:rtl/>
      </w:rPr>
      <w:instrText xml:space="preserve"> </w:instrText>
    </w:r>
    <w:r>
      <w:rPr>
        <w:rFonts w:cs="Ya-Ali" w:hint="cs"/>
        <w:noProof/>
        <w:szCs w:val="28"/>
      </w:rPr>
      <w:instrText>STYLEREF  "Heading 2"  \* MERGEFORMAT</w:instrText>
    </w:r>
    <w:r>
      <w:rPr>
        <w:rFonts w:cs="Ya-Ali"/>
        <w:noProof/>
        <w:szCs w:val="28"/>
        <w:rtl/>
      </w:rPr>
      <w:instrText xml:space="preserve"> </w:instrText>
    </w:r>
    <w:r>
      <w:rPr>
        <w:rFonts w:cs="Ya-Ali"/>
        <w:noProof/>
        <w:szCs w:val="28"/>
        <w:rtl/>
      </w:rPr>
      <w:fldChar w:fldCharType="separate"/>
    </w:r>
    <w:r w:rsidR="005E56C5">
      <w:rPr>
        <w:rFonts w:cs="Ya-Ali" w:hint="eastAsia"/>
        <w:noProof/>
        <w:szCs w:val="28"/>
        <w:rtl/>
      </w:rPr>
      <w:t>فهرس</w:t>
    </w:r>
    <w:r w:rsidR="005E56C5">
      <w:rPr>
        <w:rFonts w:cs="Ya-Ali"/>
        <w:noProof/>
        <w:szCs w:val="28"/>
        <w:rtl/>
      </w:rPr>
      <w:t xml:space="preserve"> </w:t>
    </w:r>
    <w:r w:rsidR="005E56C5">
      <w:rPr>
        <w:rFonts w:cs="Ya-Ali" w:hint="eastAsia"/>
        <w:noProof/>
        <w:szCs w:val="28"/>
        <w:rtl/>
      </w:rPr>
      <w:t>المحتويات</w:t>
    </w:r>
    <w:r>
      <w:rPr>
        <w:rFonts w:cs="Ya-Ali"/>
        <w:noProof/>
        <w:szCs w:val="28"/>
        <w:rtl/>
      </w:rPr>
      <w:fldChar w:fldCharType="end"/>
    </w:r>
    <w:r w:rsidRPr="000037AD">
      <w:rPr>
        <w:rFonts w:cs="AF_Najed" w:hint="cs"/>
        <w:noProof/>
        <w:szCs w:val="28"/>
        <w:rtl/>
      </w:rPr>
      <w:tab/>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539</w:t>
    </w:r>
    <w:r w:rsidRPr="000037AD">
      <w:rPr>
        <w:noProof/>
        <w:szCs w:val="28"/>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810B7A" w:rsidRDefault="00F93F13" w:rsidP="00810B7A">
    <w:pPr>
      <w:pStyle w:val="Header"/>
      <w:rPr>
        <w:szCs w:val="28"/>
        <w:rtl/>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810B7A" w:rsidRDefault="00F93F13" w:rsidP="00810B7A">
    <w:pPr>
      <w:pStyle w:val="Header"/>
      <w:rPr>
        <w:szCs w:val="28"/>
        <w:rtl/>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Default="00F93F1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F13" w:rsidRPr="000037AD" w:rsidRDefault="00F93F13" w:rsidP="00EA09EB">
    <w:pPr>
      <w:tabs>
        <w:tab w:val="right" w:leader="dot" w:pos="6803"/>
      </w:tabs>
      <w:spacing w:line="264" w:lineRule="auto"/>
      <w:ind w:firstLine="0"/>
      <w:rPr>
        <w:szCs w:val="28"/>
        <w:rtl/>
      </w:rPr>
    </w:pPr>
    <w:r w:rsidRPr="000037AD">
      <w:rPr>
        <w:rFonts w:cs="AF_Najed"/>
        <w:noProof/>
        <w:szCs w:val="28"/>
        <w:rtl/>
      </w:rPr>
      <mc:AlternateContent>
        <mc:Choice Requires="wps">
          <w:drawing>
            <wp:anchor distT="0" distB="0" distL="114300" distR="114300" simplePos="0" relativeHeight="251641344" behindDoc="0" locked="0" layoutInCell="1" allowOverlap="1" wp14:anchorId="08F25B56" wp14:editId="54A6B048">
              <wp:simplePos x="0" y="0"/>
              <wp:positionH relativeFrom="margin">
                <wp:align>center</wp:align>
              </wp:positionH>
              <wp:positionV relativeFrom="paragraph">
                <wp:posOffset>276225</wp:posOffset>
              </wp:positionV>
              <wp:extent cx="4320000" cy="0"/>
              <wp:effectExtent l="0" t="0" r="2349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3EF8A8" id="_x0000_t32" coordsize="21600,21600" o:spt="32" o:oned="t" path="m,l21600,21600e" filled="f">
              <v:path arrowok="t" fillok="f" o:connecttype="none"/>
              <o:lock v:ext="edit" shapetype="t"/>
            </v:shapetype>
            <v:shape id="Straight Arrow Connector 4" o:spid="_x0000_s1026" type="#_x0000_t32" style="position:absolute;margin-left:0;margin-top:21.75pt;width:340.15pt;height:0;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" strokeweight="1.2pt">
              <v:shadow color="#868686"/>
              <w10:wrap anchorx="margin"/>
            </v:shape>
          </w:pict>
        </mc:Fallback>
      </mc:AlternateContent>
    </w:r>
    <w:r w:rsidRPr="000037AD">
      <w:rPr>
        <w:szCs w:val="28"/>
      </w:rPr>
      <w:fldChar w:fldCharType="begin"/>
    </w:r>
    <w:r w:rsidRPr="000037AD">
      <w:rPr>
        <w:szCs w:val="28"/>
      </w:rPr>
      <w:instrText xml:space="preserve"> PAGE   \* MERGEFORMAT </w:instrText>
    </w:r>
    <w:r w:rsidRPr="000037AD">
      <w:rPr>
        <w:szCs w:val="28"/>
      </w:rPr>
      <w:fldChar w:fldCharType="separate"/>
    </w:r>
    <w:r w:rsidR="005E56C5">
      <w:rPr>
        <w:noProof/>
        <w:szCs w:val="28"/>
        <w:rtl/>
      </w:rPr>
      <w:t>36</w:t>
    </w:r>
    <w:r w:rsidRPr="000037AD">
      <w:rPr>
        <w:noProof/>
        <w:szCs w:val="28"/>
      </w:rPr>
      <w:fldChar w:fldCharType="end"/>
    </w:r>
    <w:r w:rsidRPr="000037AD">
      <w:rPr>
        <w:rFonts w:hint="cs"/>
        <w:szCs w:val="28"/>
        <w:rtl/>
      </w:rPr>
      <w:tab/>
    </w:r>
    <w:r>
      <w:rPr>
        <w:rFonts w:cs="AF_Najed" w:hint="cs"/>
        <w:noProof/>
        <w:szCs w:val="28"/>
        <w:rtl/>
      </w:rPr>
      <w:t>الحكومة الولائية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4C60962"/>
    <w:lvl w:ilvl="0">
      <w:start w:val="1"/>
      <w:numFmt w:val="bullet"/>
      <w:lvlText w:val=""/>
      <w:lvlJc w:val="left"/>
      <w:pPr>
        <w:tabs>
          <w:tab w:val="num" w:pos="360"/>
        </w:tabs>
        <w:ind w:left="360" w:hanging="360"/>
      </w:pPr>
      <w:rPr>
        <w:rFonts w:ascii="Symbol" w:hAnsi="Symbol" w:hint="default"/>
      </w:rPr>
    </w:lvl>
  </w:abstractNum>
  <w:abstractNum w:abstractNumId="1">
    <w:nsid w:val="1D464AD2"/>
    <w:multiLevelType w:val="hybridMultilevel"/>
    <w:tmpl w:val="4FD2C19A"/>
    <w:lvl w:ilvl="0" w:tplc="04090001">
      <w:start w:val="1"/>
      <w:numFmt w:val="bullet"/>
      <w:lvlText w:val=""/>
      <w:lvlJc w:val="left"/>
      <w:pPr>
        <w:ind w:left="644" w:hanging="360"/>
      </w:pPr>
      <w:rPr>
        <w:rFonts w:ascii="Symbol" w:hAnsi="Symbol"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
    <w:nsid w:val="5BB441D4"/>
    <w:multiLevelType w:val="hybridMultilevel"/>
    <w:tmpl w:val="573E7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7F523A15"/>
    <w:multiLevelType w:val="hybridMultilevel"/>
    <w:tmpl w:val="D1868D88"/>
    <w:lvl w:ilvl="0" w:tplc="04090001">
      <w:start w:val="1"/>
      <w:numFmt w:val="bullet"/>
      <w:lvlText w:val=""/>
      <w:lvlJc w:val="left"/>
      <w:pPr>
        <w:ind w:left="644" w:hanging="360"/>
      </w:pPr>
      <w:rPr>
        <w:rFonts w:ascii="Symbol" w:hAnsi="Symbol"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abstractNumId w:val="2"/>
  </w:num>
  <w:num w:numId="2">
    <w:abstractNumId w:val="3"/>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0721"/>
  </w:hdrShapeDefaults>
  <w:footnotePr>
    <w:numRestart w:val="eachPage"/>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0D1"/>
    <w:rsid w:val="00000942"/>
    <w:rsid w:val="00000B44"/>
    <w:rsid w:val="00000C1E"/>
    <w:rsid w:val="00000D9C"/>
    <w:rsid w:val="00002B08"/>
    <w:rsid w:val="00002EF0"/>
    <w:rsid w:val="0000435C"/>
    <w:rsid w:val="00004568"/>
    <w:rsid w:val="00005DF7"/>
    <w:rsid w:val="00007408"/>
    <w:rsid w:val="00007A34"/>
    <w:rsid w:val="000100EF"/>
    <w:rsid w:val="00010308"/>
    <w:rsid w:val="00010983"/>
    <w:rsid w:val="000109AC"/>
    <w:rsid w:val="00011CDE"/>
    <w:rsid w:val="00012161"/>
    <w:rsid w:val="000122F8"/>
    <w:rsid w:val="00013037"/>
    <w:rsid w:val="000132E3"/>
    <w:rsid w:val="00014B1E"/>
    <w:rsid w:val="00014CD4"/>
    <w:rsid w:val="00015084"/>
    <w:rsid w:val="0001515E"/>
    <w:rsid w:val="00015594"/>
    <w:rsid w:val="00015603"/>
    <w:rsid w:val="0001581E"/>
    <w:rsid w:val="000176AD"/>
    <w:rsid w:val="00017892"/>
    <w:rsid w:val="00017E10"/>
    <w:rsid w:val="00020921"/>
    <w:rsid w:val="000227F0"/>
    <w:rsid w:val="00022F99"/>
    <w:rsid w:val="00023FC3"/>
    <w:rsid w:val="00025D23"/>
    <w:rsid w:val="00026626"/>
    <w:rsid w:val="000268DF"/>
    <w:rsid w:val="0002703E"/>
    <w:rsid w:val="000270DE"/>
    <w:rsid w:val="00027513"/>
    <w:rsid w:val="000279C7"/>
    <w:rsid w:val="00027E0B"/>
    <w:rsid w:val="00030D3C"/>
    <w:rsid w:val="00031571"/>
    <w:rsid w:val="00032CE3"/>
    <w:rsid w:val="00035DC8"/>
    <w:rsid w:val="00035E61"/>
    <w:rsid w:val="00036045"/>
    <w:rsid w:val="00036A5D"/>
    <w:rsid w:val="0003796A"/>
    <w:rsid w:val="00040AE7"/>
    <w:rsid w:val="00043123"/>
    <w:rsid w:val="0004521C"/>
    <w:rsid w:val="0005013B"/>
    <w:rsid w:val="00051A45"/>
    <w:rsid w:val="0005288A"/>
    <w:rsid w:val="00052DBB"/>
    <w:rsid w:val="00053207"/>
    <w:rsid w:val="000536C0"/>
    <w:rsid w:val="00053D6C"/>
    <w:rsid w:val="00053E65"/>
    <w:rsid w:val="00054F6C"/>
    <w:rsid w:val="00055CF3"/>
    <w:rsid w:val="00055EF2"/>
    <w:rsid w:val="00057327"/>
    <w:rsid w:val="0006099A"/>
    <w:rsid w:val="00061489"/>
    <w:rsid w:val="00061994"/>
    <w:rsid w:val="000626EC"/>
    <w:rsid w:val="00063C20"/>
    <w:rsid w:val="00064619"/>
    <w:rsid w:val="00065402"/>
    <w:rsid w:val="000702BB"/>
    <w:rsid w:val="00070335"/>
    <w:rsid w:val="00070427"/>
    <w:rsid w:val="00070A05"/>
    <w:rsid w:val="00072010"/>
    <w:rsid w:val="00072C1F"/>
    <w:rsid w:val="00073464"/>
    <w:rsid w:val="00074A9B"/>
    <w:rsid w:val="00074DA4"/>
    <w:rsid w:val="0007510C"/>
    <w:rsid w:val="00076BCF"/>
    <w:rsid w:val="00076DD7"/>
    <w:rsid w:val="000776FA"/>
    <w:rsid w:val="00080494"/>
    <w:rsid w:val="00081628"/>
    <w:rsid w:val="00081BC7"/>
    <w:rsid w:val="00083FCC"/>
    <w:rsid w:val="000841A9"/>
    <w:rsid w:val="000841C9"/>
    <w:rsid w:val="0008431E"/>
    <w:rsid w:val="0008460B"/>
    <w:rsid w:val="00084C16"/>
    <w:rsid w:val="0008546A"/>
    <w:rsid w:val="0008571F"/>
    <w:rsid w:val="000857C8"/>
    <w:rsid w:val="00086235"/>
    <w:rsid w:val="00086CDA"/>
    <w:rsid w:val="000900FE"/>
    <w:rsid w:val="00090E8D"/>
    <w:rsid w:val="00092369"/>
    <w:rsid w:val="00093938"/>
    <w:rsid w:val="00093CD1"/>
    <w:rsid w:val="00093DF1"/>
    <w:rsid w:val="00095D9A"/>
    <w:rsid w:val="000979EF"/>
    <w:rsid w:val="00097FED"/>
    <w:rsid w:val="000A0538"/>
    <w:rsid w:val="000A0DEB"/>
    <w:rsid w:val="000A18C6"/>
    <w:rsid w:val="000A1FF4"/>
    <w:rsid w:val="000A283A"/>
    <w:rsid w:val="000A2945"/>
    <w:rsid w:val="000A4204"/>
    <w:rsid w:val="000A5C17"/>
    <w:rsid w:val="000A7095"/>
    <w:rsid w:val="000A7133"/>
    <w:rsid w:val="000B0154"/>
    <w:rsid w:val="000B0876"/>
    <w:rsid w:val="000B17DE"/>
    <w:rsid w:val="000B1BC1"/>
    <w:rsid w:val="000B2652"/>
    <w:rsid w:val="000B28B8"/>
    <w:rsid w:val="000B2C4B"/>
    <w:rsid w:val="000B2C92"/>
    <w:rsid w:val="000B3C1D"/>
    <w:rsid w:val="000B4112"/>
    <w:rsid w:val="000B4316"/>
    <w:rsid w:val="000B4890"/>
    <w:rsid w:val="000B5060"/>
    <w:rsid w:val="000B538F"/>
    <w:rsid w:val="000B60A9"/>
    <w:rsid w:val="000B6272"/>
    <w:rsid w:val="000B646A"/>
    <w:rsid w:val="000B7044"/>
    <w:rsid w:val="000B79A0"/>
    <w:rsid w:val="000C1E58"/>
    <w:rsid w:val="000C266C"/>
    <w:rsid w:val="000C3ACF"/>
    <w:rsid w:val="000C4032"/>
    <w:rsid w:val="000C44D1"/>
    <w:rsid w:val="000C4840"/>
    <w:rsid w:val="000C5942"/>
    <w:rsid w:val="000C5FBB"/>
    <w:rsid w:val="000C6E90"/>
    <w:rsid w:val="000C7A2F"/>
    <w:rsid w:val="000D075E"/>
    <w:rsid w:val="000D087F"/>
    <w:rsid w:val="000D1455"/>
    <w:rsid w:val="000D1E47"/>
    <w:rsid w:val="000D23E0"/>
    <w:rsid w:val="000D25CE"/>
    <w:rsid w:val="000D35C9"/>
    <w:rsid w:val="000D3D8B"/>
    <w:rsid w:val="000D3E35"/>
    <w:rsid w:val="000D7CAA"/>
    <w:rsid w:val="000D7D14"/>
    <w:rsid w:val="000E2E56"/>
    <w:rsid w:val="000E2FBC"/>
    <w:rsid w:val="000E5EF9"/>
    <w:rsid w:val="000E60DE"/>
    <w:rsid w:val="000E7178"/>
    <w:rsid w:val="000E75F2"/>
    <w:rsid w:val="000F014B"/>
    <w:rsid w:val="000F3EB0"/>
    <w:rsid w:val="000F4020"/>
    <w:rsid w:val="000F4B03"/>
    <w:rsid w:val="000F4F98"/>
    <w:rsid w:val="000F50F0"/>
    <w:rsid w:val="000F5FE3"/>
    <w:rsid w:val="000F675F"/>
    <w:rsid w:val="000F6AA9"/>
    <w:rsid w:val="00100782"/>
    <w:rsid w:val="001008A4"/>
    <w:rsid w:val="00102218"/>
    <w:rsid w:val="00102CBB"/>
    <w:rsid w:val="001041F2"/>
    <w:rsid w:val="00104286"/>
    <w:rsid w:val="001069C7"/>
    <w:rsid w:val="00106FBB"/>
    <w:rsid w:val="001070D5"/>
    <w:rsid w:val="00107C9A"/>
    <w:rsid w:val="001101FB"/>
    <w:rsid w:val="00110A42"/>
    <w:rsid w:val="001124FE"/>
    <w:rsid w:val="00113174"/>
    <w:rsid w:val="001133FC"/>
    <w:rsid w:val="00114A34"/>
    <w:rsid w:val="00114FC1"/>
    <w:rsid w:val="0011510D"/>
    <w:rsid w:val="00116117"/>
    <w:rsid w:val="00120A21"/>
    <w:rsid w:val="00122AED"/>
    <w:rsid w:val="001236C5"/>
    <w:rsid w:val="0012386C"/>
    <w:rsid w:val="0012492E"/>
    <w:rsid w:val="0012615C"/>
    <w:rsid w:val="001300F8"/>
    <w:rsid w:val="00130427"/>
    <w:rsid w:val="00130CAF"/>
    <w:rsid w:val="00131329"/>
    <w:rsid w:val="00134AA5"/>
    <w:rsid w:val="00135019"/>
    <w:rsid w:val="00135365"/>
    <w:rsid w:val="00135787"/>
    <w:rsid w:val="00137D4F"/>
    <w:rsid w:val="00141597"/>
    <w:rsid w:val="00142197"/>
    <w:rsid w:val="00142737"/>
    <w:rsid w:val="00142832"/>
    <w:rsid w:val="00142B29"/>
    <w:rsid w:val="00144239"/>
    <w:rsid w:val="0014503E"/>
    <w:rsid w:val="00145246"/>
    <w:rsid w:val="00145DBD"/>
    <w:rsid w:val="00146CED"/>
    <w:rsid w:val="00147AF7"/>
    <w:rsid w:val="001512DF"/>
    <w:rsid w:val="0015154B"/>
    <w:rsid w:val="00151E7E"/>
    <w:rsid w:val="00153A71"/>
    <w:rsid w:val="00153DCF"/>
    <w:rsid w:val="00155BE1"/>
    <w:rsid w:val="00155E19"/>
    <w:rsid w:val="001608D4"/>
    <w:rsid w:val="00161586"/>
    <w:rsid w:val="00162110"/>
    <w:rsid w:val="0016322F"/>
    <w:rsid w:val="00163D5C"/>
    <w:rsid w:val="00163E52"/>
    <w:rsid w:val="001641D1"/>
    <w:rsid w:val="0016440C"/>
    <w:rsid w:val="00165290"/>
    <w:rsid w:val="00165429"/>
    <w:rsid w:val="0016795E"/>
    <w:rsid w:val="00167EAB"/>
    <w:rsid w:val="00170DCD"/>
    <w:rsid w:val="00171F96"/>
    <w:rsid w:val="00172BC9"/>
    <w:rsid w:val="00175994"/>
    <w:rsid w:val="0017609B"/>
    <w:rsid w:val="00176924"/>
    <w:rsid w:val="0017760B"/>
    <w:rsid w:val="0018089C"/>
    <w:rsid w:val="001821A6"/>
    <w:rsid w:val="00182532"/>
    <w:rsid w:val="00184251"/>
    <w:rsid w:val="001860D9"/>
    <w:rsid w:val="00186FE5"/>
    <w:rsid w:val="00187711"/>
    <w:rsid w:val="001878E6"/>
    <w:rsid w:val="0019016F"/>
    <w:rsid w:val="001928FE"/>
    <w:rsid w:val="00195638"/>
    <w:rsid w:val="00197690"/>
    <w:rsid w:val="00197CC9"/>
    <w:rsid w:val="001A299D"/>
    <w:rsid w:val="001A3711"/>
    <w:rsid w:val="001A37C7"/>
    <w:rsid w:val="001A38A6"/>
    <w:rsid w:val="001A46C1"/>
    <w:rsid w:val="001A5111"/>
    <w:rsid w:val="001A5731"/>
    <w:rsid w:val="001A6589"/>
    <w:rsid w:val="001A73BA"/>
    <w:rsid w:val="001A76E3"/>
    <w:rsid w:val="001A773E"/>
    <w:rsid w:val="001B0A0B"/>
    <w:rsid w:val="001B38E1"/>
    <w:rsid w:val="001B5581"/>
    <w:rsid w:val="001B663B"/>
    <w:rsid w:val="001B79F7"/>
    <w:rsid w:val="001C1314"/>
    <w:rsid w:val="001C190D"/>
    <w:rsid w:val="001C1E29"/>
    <w:rsid w:val="001C28F4"/>
    <w:rsid w:val="001C2C34"/>
    <w:rsid w:val="001C4E0D"/>
    <w:rsid w:val="001C677B"/>
    <w:rsid w:val="001C6BC7"/>
    <w:rsid w:val="001C6E78"/>
    <w:rsid w:val="001D22E0"/>
    <w:rsid w:val="001D2612"/>
    <w:rsid w:val="001D304B"/>
    <w:rsid w:val="001D33D0"/>
    <w:rsid w:val="001D3C9A"/>
    <w:rsid w:val="001D3DA9"/>
    <w:rsid w:val="001D3DDD"/>
    <w:rsid w:val="001D4A1C"/>
    <w:rsid w:val="001D5792"/>
    <w:rsid w:val="001D6793"/>
    <w:rsid w:val="001D724A"/>
    <w:rsid w:val="001D7C49"/>
    <w:rsid w:val="001E0393"/>
    <w:rsid w:val="001E0717"/>
    <w:rsid w:val="001E108A"/>
    <w:rsid w:val="001E24DF"/>
    <w:rsid w:val="001E3718"/>
    <w:rsid w:val="001E39D8"/>
    <w:rsid w:val="001E6AA5"/>
    <w:rsid w:val="001E7EFE"/>
    <w:rsid w:val="001F035B"/>
    <w:rsid w:val="001F2DDE"/>
    <w:rsid w:val="001F3F3D"/>
    <w:rsid w:val="001F56C3"/>
    <w:rsid w:val="001F636B"/>
    <w:rsid w:val="001F68AC"/>
    <w:rsid w:val="002002F4"/>
    <w:rsid w:val="00200C67"/>
    <w:rsid w:val="00202C9B"/>
    <w:rsid w:val="0020348C"/>
    <w:rsid w:val="0020490B"/>
    <w:rsid w:val="00204E65"/>
    <w:rsid w:val="00205486"/>
    <w:rsid w:val="00205726"/>
    <w:rsid w:val="00205915"/>
    <w:rsid w:val="002070C7"/>
    <w:rsid w:val="0021326E"/>
    <w:rsid w:val="00214514"/>
    <w:rsid w:val="00214569"/>
    <w:rsid w:val="002156A8"/>
    <w:rsid w:val="002216B1"/>
    <w:rsid w:val="0022187D"/>
    <w:rsid w:val="0022255D"/>
    <w:rsid w:val="00222922"/>
    <w:rsid w:val="00223656"/>
    <w:rsid w:val="0022398C"/>
    <w:rsid w:val="00224C73"/>
    <w:rsid w:val="002252F8"/>
    <w:rsid w:val="00225EB0"/>
    <w:rsid w:val="00226653"/>
    <w:rsid w:val="00227402"/>
    <w:rsid w:val="0023236B"/>
    <w:rsid w:val="00233F41"/>
    <w:rsid w:val="002349E8"/>
    <w:rsid w:val="00234D4B"/>
    <w:rsid w:val="00235BEF"/>
    <w:rsid w:val="00235F36"/>
    <w:rsid w:val="0023699A"/>
    <w:rsid w:val="002377AC"/>
    <w:rsid w:val="00237A5A"/>
    <w:rsid w:val="002416F5"/>
    <w:rsid w:val="00241B3D"/>
    <w:rsid w:val="00242730"/>
    <w:rsid w:val="00243BC7"/>
    <w:rsid w:val="00244113"/>
    <w:rsid w:val="00244206"/>
    <w:rsid w:val="00244332"/>
    <w:rsid w:val="00245364"/>
    <w:rsid w:val="00246BA2"/>
    <w:rsid w:val="00247632"/>
    <w:rsid w:val="00250522"/>
    <w:rsid w:val="00250F87"/>
    <w:rsid w:val="00251C9B"/>
    <w:rsid w:val="00251E19"/>
    <w:rsid w:val="002564DE"/>
    <w:rsid w:val="00256621"/>
    <w:rsid w:val="002567A4"/>
    <w:rsid w:val="002574E0"/>
    <w:rsid w:val="00257900"/>
    <w:rsid w:val="00260295"/>
    <w:rsid w:val="00260FF7"/>
    <w:rsid w:val="002617EB"/>
    <w:rsid w:val="00261E67"/>
    <w:rsid w:val="002620C7"/>
    <w:rsid w:val="00262446"/>
    <w:rsid w:val="00263722"/>
    <w:rsid w:val="00264BA9"/>
    <w:rsid w:val="00264C29"/>
    <w:rsid w:val="00265245"/>
    <w:rsid w:val="00266796"/>
    <w:rsid w:val="00266F2E"/>
    <w:rsid w:val="00267382"/>
    <w:rsid w:val="00267C61"/>
    <w:rsid w:val="0027171D"/>
    <w:rsid w:val="00271EE6"/>
    <w:rsid w:val="00272776"/>
    <w:rsid w:val="002731F7"/>
    <w:rsid w:val="00274B59"/>
    <w:rsid w:val="00274D38"/>
    <w:rsid w:val="002767C0"/>
    <w:rsid w:val="00276C27"/>
    <w:rsid w:val="0028102C"/>
    <w:rsid w:val="00281280"/>
    <w:rsid w:val="00282451"/>
    <w:rsid w:val="00282DC8"/>
    <w:rsid w:val="00284A72"/>
    <w:rsid w:val="00284E8A"/>
    <w:rsid w:val="00284F51"/>
    <w:rsid w:val="00285837"/>
    <w:rsid w:val="00286A14"/>
    <w:rsid w:val="00286ACE"/>
    <w:rsid w:val="00286FDC"/>
    <w:rsid w:val="0028726D"/>
    <w:rsid w:val="00287D0B"/>
    <w:rsid w:val="002902A8"/>
    <w:rsid w:val="00290797"/>
    <w:rsid w:val="00291FCA"/>
    <w:rsid w:val="00291FE6"/>
    <w:rsid w:val="002922ED"/>
    <w:rsid w:val="00292CAC"/>
    <w:rsid w:val="00293A17"/>
    <w:rsid w:val="002946EE"/>
    <w:rsid w:val="00296B58"/>
    <w:rsid w:val="00296BC7"/>
    <w:rsid w:val="002A024C"/>
    <w:rsid w:val="002A0585"/>
    <w:rsid w:val="002A1C26"/>
    <w:rsid w:val="002A209D"/>
    <w:rsid w:val="002A20A0"/>
    <w:rsid w:val="002A2310"/>
    <w:rsid w:val="002A36A7"/>
    <w:rsid w:val="002A4F48"/>
    <w:rsid w:val="002A52B2"/>
    <w:rsid w:val="002A6517"/>
    <w:rsid w:val="002A6BC1"/>
    <w:rsid w:val="002B00D1"/>
    <w:rsid w:val="002B0566"/>
    <w:rsid w:val="002B0F1D"/>
    <w:rsid w:val="002B185A"/>
    <w:rsid w:val="002B42E7"/>
    <w:rsid w:val="002B4372"/>
    <w:rsid w:val="002B53CE"/>
    <w:rsid w:val="002B59A8"/>
    <w:rsid w:val="002B690A"/>
    <w:rsid w:val="002C0ACA"/>
    <w:rsid w:val="002C0B8E"/>
    <w:rsid w:val="002C1902"/>
    <w:rsid w:val="002C20E0"/>
    <w:rsid w:val="002C2776"/>
    <w:rsid w:val="002C2939"/>
    <w:rsid w:val="002C2E39"/>
    <w:rsid w:val="002C32C5"/>
    <w:rsid w:val="002C3D3C"/>
    <w:rsid w:val="002C3F1C"/>
    <w:rsid w:val="002C5049"/>
    <w:rsid w:val="002C58D9"/>
    <w:rsid w:val="002C6330"/>
    <w:rsid w:val="002C74F8"/>
    <w:rsid w:val="002D0DA7"/>
    <w:rsid w:val="002D1821"/>
    <w:rsid w:val="002D3648"/>
    <w:rsid w:val="002D38A4"/>
    <w:rsid w:val="002D43AC"/>
    <w:rsid w:val="002D4A78"/>
    <w:rsid w:val="002D571D"/>
    <w:rsid w:val="002D66CB"/>
    <w:rsid w:val="002D7FA0"/>
    <w:rsid w:val="002E08E3"/>
    <w:rsid w:val="002E16D9"/>
    <w:rsid w:val="002E1794"/>
    <w:rsid w:val="002E3055"/>
    <w:rsid w:val="002E39EA"/>
    <w:rsid w:val="002E5B37"/>
    <w:rsid w:val="002E6EA2"/>
    <w:rsid w:val="002E7B86"/>
    <w:rsid w:val="002E7C63"/>
    <w:rsid w:val="002F04C8"/>
    <w:rsid w:val="002F0906"/>
    <w:rsid w:val="002F0C78"/>
    <w:rsid w:val="002F1545"/>
    <w:rsid w:val="002F249E"/>
    <w:rsid w:val="002F4265"/>
    <w:rsid w:val="002F54F6"/>
    <w:rsid w:val="002F5628"/>
    <w:rsid w:val="002F5B92"/>
    <w:rsid w:val="002F5C88"/>
    <w:rsid w:val="002F70F5"/>
    <w:rsid w:val="002F7E8E"/>
    <w:rsid w:val="002F7F8F"/>
    <w:rsid w:val="00300545"/>
    <w:rsid w:val="00301ACF"/>
    <w:rsid w:val="00302DEA"/>
    <w:rsid w:val="00303C0E"/>
    <w:rsid w:val="003042BB"/>
    <w:rsid w:val="00304A84"/>
    <w:rsid w:val="00305078"/>
    <w:rsid w:val="003062B4"/>
    <w:rsid w:val="003067C7"/>
    <w:rsid w:val="00307D1F"/>
    <w:rsid w:val="00307E96"/>
    <w:rsid w:val="0031043F"/>
    <w:rsid w:val="003112D4"/>
    <w:rsid w:val="003115C1"/>
    <w:rsid w:val="003127B4"/>
    <w:rsid w:val="00312D1B"/>
    <w:rsid w:val="00313B6E"/>
    <w:rsid w:val="00315620"/>
    <w:rsid w:val="00317148"/>
    <w:rsid w:val="00317DFC"/>
    <w:rsid w:val="00320294"/>
    <w:rsid w:val="003205C6"/>
    <w:rsid w:val="003221C9"/>
    <w:rsid w:val="00322EC7"/>
    <w:rsid w:val="00323023"/>
    <w:rsid w:val="00325569"/>
    <w:rsid w:val="00325C35"/>
    <w:rsid w:val="0032726A"/>
    <w:rsid w:val="00330103"/>
    <w:rsid w:val="00330CBE"/>
    <w:rsid w:val="00330D6E"/>
    <w:rsid w:val="0033123A"/>
    <w:rsid w:val="00331D97"/>
    <w:rsid w:val="003326A9"/>
    <w:rsid w:val="00333DFC"/>
    <w:rsid w:val="003341BD"/>
    <w:rsid w:val="00341AAB"/>
    <w:rsid w:val="00342382"/>
    <w:rsid w:val="00343CD0"/>
    <w:rsid w:val="00344557"/>
    <w:rsid w:val="00344964"/>
    <w:rsid w:val="00345379"/>
    <w:rsid w:val="003465DA"/>
    <w:rsid w:val="00350ED2"/>
    <w:rsid w:val="0035130C"/>
    <w:rsid w:val="0035228B"/>
    <w:rsid w:val="003526A0"/>
    <w:rsid w:val="0035325B"/>
    <w:rsid w:val="00354C27"/>
    <w:rsid w:val="003554AC"/>
    <w:rsid w:val="00355E11"/>
    <w:rsid w:val="003570A1"/>
    <w:rsid w:val="003579A3"/>
    <w:rsid w:val="00357CF0"/>
    <w:rsid w:val="003618F3"/>
    <w:rsid w:val="003627EA"/>
    <w:rsid w:val="00363213"/>
    <w:rsid w:val="00363394"/>
    <w:rsid w:val="003636A7"/>
    <w:rsid w:val="00363824"/>
    <w:rsid w:val="00364C32"/>
    <w:rsid w:val="00365B63"/>
    <w:rsid w:val="00367B92"/>
    <w:rsid w:val="00367FC9"/>
    <w:rsid w:val="0037019B"/>
    <w:rsid w:val="00372BFB"/>
    <w:rsid w:val="003733A5"/>
    <w:rsid w:val="003743AA"/>
    <w:rsid w:val="00375680"/>
    <w:rsid w:val="00375DC2"/>
    <w:rsid w:val="003767C7"/>
    <w:rsid w:val="003803F8"/>
    <w:rsid w:val="00380C95"/>
    <w:rsid w:val="00380F38"/>
    <w:rsid w:val="0038118E"/>
    <w:rsid w:val="003824AD"/>
    <w:rsid w:val="00382666"/>
    <w:rsid w:val="0038288F"/>
    <w:rsid w:val="00383A7D"/>
    <w:rsid w:val="003843A1"/>
    <w:rsid w:val="00385330"/>
    <w:rsid w:val="003861AD"/>
    <w:rsid w:val="0038642B"/>
    <w:rsid w:val="00386E3A"/>
    <w:rsid w:val="003910AF"/>
    <w:rsid w:val="00391C40"/>
    <w:rsid w:val="00391D04"/>
    <w:rsid w:val="00392C3F"/>
    <w:rsid w:val="003930C0"/>
    <w:rsid w:val="003935B7"/>
    <w:rsid w:val="00393BA4"/>
    <w:rsid w:val="003952F5"/>
    <w:rsid w:val="00395856"/>
    <w:rsid w:val="003A0DA6"/>
    <w:rsid w:val="003A108B"/>
    <w:rsid w:val="003A2661"/>
    <w:rsid w:val="003A284C"/>
    <w:rsid w:val="003A3139"/>
    <w:rsid w:val="003A40AA"/>
    <w:rsid w:val="003A4133"/>
    <w:rsid w:val="003A4A9C"/>
    <w:rsid w:val="003A531A"/>
    <w:rsid w:val="003A5442"/>
    <w:rsid w:val="003A5F7A"/>
    <w:rsid w:val="003A5FF0"/>
    <w:rsid w:val="003A64C8"/>
    <w:rsid w:val="003B07A6"/>
    <w:rsid w:val="003B2DA9"/>
    <w:rsid w:val="003B3D8D"/>
    <w:rsid w:val="003B4D1C"/>
    <w:rsid w:val="003B521E"/>
    <w:rsid w:val="003C222C"/>
    <w:rsid w:val="003C2237"/>
    <w:rsid w:val="003C2B3A"/>
    <w:rsid w:val="003C30D7"/>
    <w:rsid w:val="003C4A26"/>
    <w:rsid w:val="003C50CD"/>
    <w:rsid w:val="003C55A5"/>
    <w:rsid w:val="003C68A8"/>
    <w:rsid w:val="003D078A"/>
    <w:rsid w:val="003D09CD"/>
    <w:rsid w:val="003D129C"/>
    <w:rsid w:val="003D19D3"/>
    <w:rsid w:val="003D2C35"/>
    <w:rsid w:val="003D33C8"/>
    <w:rsid w:val="003D3B91"/>
    <w:rsid w:val="003D4581"/>
    <w:rsid w:val="003D5BFC"/>
    <w:rsid w:val="003D628D"/>
    <w:rsid w:val="003D686C"/>
    <w:rsid w:val="003D6EFB"/>
    <w:rsid w:val="003E288C"/>
    <w:rsid w:val="003E31CE"/>
    <w:rsid w:val="003E3230"/>
    <w:rsid w:val="003E4814"/>
    <w:rsid w:val="003E485A"/>
    <w:rsid w:val="003E52FD"/>
    <w:rsid w:val="003E6E5E"/>
    <w:rsid w:val="003F191B"/>
    <w:rsid w:val="003F31D1"/>
    <w:rsid w:val="003F3DC1"/>
    <w:rsid w:val="003F484E"/>
    <w:rsid w:val="003F536F"/>
    <w:rsid w:val="003F5840"/>
    <w:rsid w:val="003F5A1C"/>
    <w:rsid w:val="003F5FD2"/>
    <w:rsid w:val="003F61C8"/>
    <w:rsid w:val="003F76A2"/>
    <w:rsid w:val="004019E1"/>
    <w:rsid w:val="0040271F"/>
    <w:rsid w:val="00402CD1"/>
    <w:rsid w:val="00403123"/>
    <w:rsid w:val="00403464"/>
    <w:rsid w:val="004065E3"/>
    <w:rsid w:val="00406FCC"/>
    <w:rsid w:val="00410CA7"/>
    <w:rsid w:val="00410E60"/>
    <w:rsid w:val="00412FB3"/>
    <w:rsid w:val="00414928"/>
    <w:rsid w:val="00414956"/>
    <w:rsid w:val="00415433"/>
    <w:rsid w:val="004156D3"/>
    <w:rsid w:val="00416427"/>
    <w:rsid w:val="0041708C"/>
    <w:rsid w:val="00421F42"/>
    <w:rsid w:val="00423C1F"/>
    <w:rsid w:val="004244F6"/>
    <w:rsid w:val="004254EE"/>
    <w:rsid w:val="00425B3D"/>
    <w:rsid w:val="0043005B"/>
    <w:rsid w:val="004307EA"/>
    <w:rsid w:val="00431466"/>
    <w:rsid w:val="004322F4"/>
    <w:rsid w:val="00432821"/>
    <w:rsid w:val="00433CE9"/>
    <w:rsid w:val="00433DAF"/>
    <w:rsid w:val="00433DD4"/>
    <w:rsid w:val="004344DA"/>
    <w:rsid w:val="004346F9"/>
    <w:rsid w:val="00434C71"/>
    <w:rsid w:val="00434F4C"/>
    <w:rsid w:val="0043687D"/>
    <w:rsid w:val="00436C4C"/>
    <w:rsid w:val="004373B3"/>
    <w:rsid w:val="00440740"/>
    <w:rsid w:val="00441002"/>
    <w:rsid w:val="004410D1"/>
    <w:rsid w:val="00441497"/>
    <w:rsid w:val="00441617"/>
    <w:rsid w:val="0044168E"/>
    <w:rsid w:val="0044204A"/>
    <w:rsid w:val="004423ED"/>
    <w:rsid w:val="00442D88"/>
    <w:rsid w:val="004446A0"/>
    <w:rsid w:val="004446E6"/>
    <w:rsid w:val="00445407"/>
    <w:rsid w:val="00450ED8"/>
    <w:rsid w:val="0045307E"/>
    <w:rsid w:val="00454303"/>
    <w:rsid w:val="004549A3"/>
    <w:rsid w:val="00455718"/>
    <w:rsid w:val="00456065"/>
    <w:rsid w:val="00456921"/>
    <w:rsid w:val="004573B3"/>
    <w:rsid w:val="00460E9D"/>
    <w:rsid w:val="0046225A"/>
    <w:rsid w:val="00462E3D"/>
    <w:rsid w:val="00463C05"/>
    <w:rsid w:val="004645B4"/>
    <w:rsid w:val="00466252"/>
    <w:rsid w:val="00466675"/>
    <w:rsid w:val="00467380"/>
    <w:rsid w:val="00467386"/>
    <w:rsid w:val="00467390"/>
    <w:rsid w:val="00471802"/>
    <w:rsid w:val="00472AB9"/>
    <w:rsid w:val="00473094"/>
    <w:rsid w:val="00473C5F"/>
    <w:rsid w:val="00477A4D"/>
    <w:rsid w:val="00481B16"/>
    <w:rsid w:val="00481C5E"/>
    <w:rsid w:val="00483EF9"/>
    <w:rsid w:val="004845EC"/>
    <w:rsid w:val="00490165"/>
    <w:rsid w:val="00490742"/>
    <w:rsid w:val="00490C04"/>
    <w:rsid w:val="00490F1D"/>
    <w:rsid w:val="004911EE"/>
    <w:rsid w:val="004933DF"/>
    <w:rsid w:val="00494710"/>
    <w:rsid w:val="004948D5"/>
    <w:rsid w:val="004950FB"/>
    <w:rsid w:val="00495CB2"/>
    <w:rsid w:val="00497A59"/>
    <w:rsid w:val="004A0368"/>
    <w:rsid w:val="004A13CD"/>
    <w:rsid w:val="004A1896"/>
    <w:rsid w:val="004A21F1"/>
    <w:rsid w:val="004A2940"/>
    <w:rsid w:val="004A3AC0"/>
    <w:rsid w:val="004A50C5"/>
    <w:rsid w:val="004A61CA"/>
    <w:rsid w:val="004A693A"/>
    <w:rsid w:val="004A74AF"/>
    <w:rsid w:val="004A7826"/>
    <w:rsid w:val="004A7DF2"/>
    <w:rsid w:val="004B2099"/>
    <w:rsid w:val="004B2664"/>
    <w:rsid w:val="004B3A98"/>
    <w:rsid w:val="004B6717"/>
    <w:rsid w:val="004B6793"/>
    <w:rsid w:val="004B6E4C"/>
    <w:rsid w:val="004B6F39"/>
    <w:rsid w:val="004C06A0"/>
    <w:rsid w:val="004C0C4A"/>
    <w:rsid w:val="004C429A"/>
    <w:rsid w:val="004C4D54"/>
    <w:rsid w:val="004C55E6"/>
    <w:rsid w:val="004C57C3"/>
    <w:rsid w:val="004C583D"/>
    <w:rsid w:val="004C6546"/>
    <w:rsid w:val="004C6757"/>
    <w:rsid w:val="004D1946"/>
    <w:rsid w:val="004D21D2"/>
    <w:rsid w:val="004D22CE"/>
    <w:rsid w:val="004D3DD6"/>
    <w:rsid w:val="004D45CF"/>
    <w:rsid w:val="004D5671"/>
    <w:rsid w:val="004D6527"/>
    <w:rsid w:val="004E16C2"/>
    <w:rsid w:val="004E2EB9"/>
    <w:rsid w:val="004E3384"/>
    <w:rsid w:val="004E3835"/>
    <w:rsid w:val="004E3B71"/>
    <w:rsid w:val="004E4253"/>
    <w:rsid w:val="004E5A1C"/>
    <w:rsid w:val="004E65BB"/>
    <w:rsid w:val="004E68FD"/>
    <w:rsid w:val="004E7140"/>
    <w:rsid w:val="004F22D2"/>
    <w:rsid w:val="004F23C8"/>
    <w:rsid w:val="004F24CF"/>
    <w:rsid w:val="004F4405"/>
    <w:rsid w:val="004F4E8E"/>
    <w:rsid w:val="004F4F75"/>
    <w:rsid w:val="004F5B90"/>
    <w:rsid w:val="004F66A7"/>
    <w:rsid w:val="004F6FA2"/>
    <w:rsid w:val="004F7FC6"/>
    <w:rsid w:val="00501551"/>
    <w:rsid w:val="00502DE0"/>
    <w:rsid w:val="0050408E"/>
    <w:rsid w:val="00504ADB"/>
    <w:rsid w:val="00504BFD"/>
    <w:rsid w:val="00505D86"/>
    <w:rsid w:val="0050662A"/>
    <w:rsid w:val="00507051"/>
    <w:rsid w:val="00510536"/>
    <w:rsid w:val="00512672"/>
    <w:rsid w:val="00512A35"/>
    <w:rsid w:val="00512A46"/>
    <w:rsid w:val="0051361C"/>
    <w:rsid w:val="00515EA9"/>
    <w:rsid w:val="00517628"/>
    <w:rsid w:val="005176D8"/>
    <w:rsid w:val="00517D1A"/>
    <w:rsid w:val="00517F5E"/>
    <w:rsid w:val="00521227"/>
    <w:rsid w:val="005215EC"/>
    <w:rsid w:val="00521635"/>
    <w:rsid w:val="005222B7"/>
    <w:rsid w:val="00522E54"/>
    <w:rsid w:val="005237A8"/>
    <w:rsid w:val="00523F07"/>
    <w:rsid w:val="00524759"/>
    <w:rsid w:val="00525C4A"/>
    <w:rsid w:val="005260EA"/>
    <w:rsid w:val="00526984"/>
    <w:rsid w:val="00526B15"/>
    <w:rsid w:val="005279B0"/>
    <w:rsid w:val="00527DD2"/>
    <w:rsid w:val="00527FA2"/>
    <w:rsid w:val="00527FB6"/>
    <w:rsid w:val="005304B0"/>
    <w:rsid w:val="005319CF"/>
    <w:rsid w:val="00531AD3"/>
    <w:rsid w:val="005328C6"/>
    <w:rsid w:val="005339F1"/>
    <w:rsid w:val="00533F9F"/>
    <w:rsid w:val="00535768"/>
    <w:rsid w:val="00536EB5"/>
    <w:rsid w:val="00537D8D"/>
    <w:rsid w:val="0054004D"/>
    <w:rsid w:val="0054077B"/>
    <w:rsid w:val="00542529"/>
    <w:rsid w:val="00542AB7"/>
    <w:rsid w:val="00543395"/>
    <w:rsid w:val="0054346B"/>
    <w:rsid w:val="005446AD"/>
    <w:rsid w:val="00544702"/>
    <w:rsid w:val="00545109"/>
    <w:rsid w:val="0054524E"/>
    <w:rsid w:val="005454DD"/>
    <w:rsid w:val="0054569B"/>
    <w:rsid w:val="00545E4C"/>
    <w:rsid w:val="00546164"/>
    <w:rsid w:val="0055014B"/>
    <w:rsid w:val="005505F0"/>
    <w:rsid w:val="00550E2A"/>
    <w:rsid w:val="00551185"/>
    <w:rsid w:val="005514D8"/>
    <w:rsid w:val="00553289"/>
    <w:rsid w:val="00553512"/>
    <w:rsid w:val="00557837"/>
    <w:rsid w:val="00557AE6"/>
    <w:rsid w:val="00557BB3"/>
    <w:rsid w:val="00560C5F"/>
    <w:rsid w:val="00561101"/>
    <w:rsid w:val="00561DBD"/>
    <w:rsid w:val="00562935"/>
    <w:rsid w:val="00562BCD"/>
    <w:rsid w:val="005630DC"/>
    <w:rsid w:val="0056338A"/>
    <w:rsid w:val="00563D66"/>
    <w:rsid w:val="00564C8F"/>
    <w:rsid w:val="00565037"/>
    <w:rsid w:val="00565B99"/>
    <w:rsid w:val="005668A5"/>
    <w:rsid w:val="00570628"/>
    <w:rsid w:val="0057174A"/>
    <w:rsid w:val="00571C30"/>
    <w:rsid w:val="00572C7C"/>
    <w:rsid w:val="00572DA7"/>
    <w:rsid w:val="0057328E"/>
    <w:rsid w:val="00574156"/>
    <w:rsid w:val="005742E4"/>
    <w:rsid w:val="005753C2"/>
    <w:rsid w:val="00575789"/>
    <w:rsid w:val="00575EFC"/>
    <w:rsid w:val="00576439"/>
    <w:rsid w:val="005770AD"/>
    <w:rsid w:val="005771C1"/>
    <w:rsid w:val="005775CF"/>
    <w:rsid w:val="00577ED9"/>
    <w:rsid w:val="0058188A"/>
    <w:rsid w:val="00581B5E"/>
    <w:rsid w:val="00581C11"/>
    <w:rsid w:val="00582B58"/>
    <w:rsid w:val="0058405B"/>
    <w:rsid w:val="00585262"/>
    <w:rsid w:val="00585FC1"/>
    <w:rsid w:val="00586583"/>
    <w:rsid w:val="00587667"/>
    <w:rsid w:val="0059058C"/>
    <w:rsid w:val="005910B2"/>
    <w:rsid w:val="0059178F"/>
    <w:rsid w:val="0059248A"/>
    <w:rsid w:val="00592E86"/>
    <w:rsid w:val="00593E6E"/>
    <w:rsid w:val="00594E40"/>
    <w:rsid w:val="00595C36"/>
    <w:rsid w:val="005A02DF"/>
    <w:rsid w:val="005A0AA0"/>
    <w:rsid w:val="005A11AC"/>
    <w:rsid w:val="005A1759"/>
    <w:rsid w:val="005A37DB"/>
    <w:rsid w:val="005A3AE3"/>
    <w:rsid w:val="005A3E41"/>
    <w:rsid w:val="005A3ECC"/>
    <w:rsid w:val="005A466D"/>
    <w:rsid w:val="005A4DB1"/>
    <w:rsid w:val="005A5E6C"/>
    <w:rsid w:val="005A6827"/>
    <w:rsid w:val="005A6C91"/>
    <w:rsid w:val="005A6F63"/>
    <w:rsid w:val="005A7B11"/>
    <w:rsid w:val="005B1DDE"/>
    <w:rsid w:val="005B2513"/>
    <w:rsid w:val="005B3626"/>
    <w:rsid w:val="005B5CA2"/>
    <w:rsid w:val="005B6DC8"/>
    <w:rsid w:val="005B771F"/>
    <w:rsid w:val="005B7D86"/>
    <w:rsid w:val="005C3406"/>
    <w:rsid w:val="005C4CE9"/>
    <w:rsid w:val="005C533F"/>
    <w:rsid w:val="005C6641"/>
    <w:rsid w:val="005C7066"/>
    <w:rsid w:val="005C7DD6"/>
    <w:rsid w:val="005D034C"/>
    <w:rsid w:val="005D0D26"/>
    <w:rsid w:val="005D348A"/>
    <w:rsid w:val="005D3F25"/>
    <w:rsid w:val="005D67F1"/>
    <w:rsid w:val="005D7D73"/>
    <w:rsid w:val="005E0235"/>
    <w:rsid w:val="005E055A"/>
    <w:rsid w:val="005E0971"/>
    <w:rsid w:val="005E20B0"/>
    <w:rsid w:val="005E216C"/>
    <w:rsid w:val="005E2A7F"/>
    <w:rsid w:val="005E2BB9"/>
    <w:rsid w:val="005E33DD"/>
    <w:rsid w:val="005E4898"/>
    <w:rsid w:val="005E5522"/>
    <w:rsid w:val="005E56C5"/>
    <w:rsid w:val="005E5B01"/>
    <w:rsid w:val="005E62A3"/>
    <w:rsid w:val="005E6BBA"/>
    <w:rsid w:val="005E7397"/>
    <w:rsid w:val="005F10A9"/>
    <w:rsid w:val="005F2041"/>
    <w:rsid w:val="005F2298"/>
    <w:rsid w:val="005F418E"/>
    <w:rsid w:val="005F4E5B"/>
    <w:rsid w:val="005F513B"/>
    <w:rsid w:val="005F5151"/>
    <w:rsid w:val="005F5A21"/>
    <w:rsid w:val="005F6A9B"/>
    <w:rsid w:val="005F7458"/>
    <w:rsid w:val="005F7F7F"/>
    <w:rsid w:val="00601E68"/>
    <w:rsid w:val="00601FFE"/>
    <w:rsid w:val="00602298"/>
    <w:rsid w:val="0060242A"/>
    <w:rsid w:val="006029CE"/>
    <w:rsid w:val="00602AF7"/>
    <w:rsid w:val="006030B8"/>
    <w:rsid w:val="00603747"/>
    <w:rsid w:val="0060663E"/>
    <w:rsid w:val="00606D4A"/>
    <w:rsid w:val="00607427"/>
    <w:rsid w:val="00607E83"/>
    <w:rsid w:val="0061178C"/>
    <w:rsid w:val="00611FA7"/>
    <w:rsid w:val="00613057"/>
    <w:rsid w:val="006133C7"/>
    <w:rsid w:val="00613788"/>
    <w:rsid w:val="00614B8E"/>
    <w:rsid w:val="00615306"/>
    <w:rsid w:val="00617242"/>
    <w:rsid w:val="0062045C"/>
    <w:rsid w:val="00621D28"/>
    <w:rsid w:val="00621F65"/>
    <w:rsid w:val="00622D90"/>
    <w:rsid w:val="00622FCD"/>
    <w:rsid w:val="0062346D"/>
    <w:rsid w:val="006240EC"/>
    <w:rsid w:val="0062417E"/>
    <w:rsid w:val="006241FE"/>
    <w:rsid w:val="006244D2"/>
    <w:rsid w:val="00626FC6"/>
    <w:rsid w:val="00627D0F"/>
    <w:rsid w:val="0063018E"/>
    <w:rsid w:val="006308DE"/>
    <w:rsid w:val="00632789"/>
    <w:rsid w:val="0063287A"/>
    <w:rsid w:val="00634753"/>
    <w:rsid w:val="00634C73"/>
    <w:rsid w:val="00635BE2"/>
    <w:rsid w:val="006364CA"/>
    <w:rsid w:val="00636869"/>
    <w:rsid w:val="006376C5"/>
    <w:rsid w:val="006403FC"/>
    <w:rsid w:val="006422F9"/>
    <w:rsid w:val="006425A6"/>
    <w:rsid w:val="006430CB"/>
    <w:rsid w:val="006430F0"/>
    <w:rsid w:val="0064415C"/>
    <w:rsid w:val="00644A17"/>
    <w:rsid w:val="006452B7"/>
    <w:rsid w:val="00645AF3"/>
    <w:rsid w:val="00645D48"/>
    <w:rsid w:val="00645D5E"/>
    <w:rsid w:val="00647950"/>
    <w:rsid w:val="0065023C"/>
    <w:rsid w:val="00651701"/>
    <w:rsid w:val="006518E7"/>
    <w:rsid w:val="0065211C"/>
    <w:rsid w:val="00652A1F"/>
    <w:rsid w:val="006554FA"/>
    <w:rsid w:val="006555B1"/>
    <w:rsid w:val="00655703"/>
    <w:rsid w:val="0065627E"/>
    <w:rsid w:val="006564F1"/>
    <w:rsid w:val="00656A47"/>
    <w:rsid w:val="00656E97"/>
    <w:rsid w:val="00661D30"/>
    <w:rsid w:val="00661D98"/>
    <w:rsid w:val="00661DFC"/>
    <w:rsid w:val="006643B8"/>
    <w:rsid w:val="00665A02"/>
    <w:rsid w:val="00666AF4"/>
    <w:rsid w:val="00666FBA"/>
    <w:rsid w:val="006719D6"/>
    <w:rsid w:val="0067236F"/>
    <w:rsid w:val="006723F5"/>
    <w:rsid w:val="00673441"/>
    <w:rsid w:val="00673D4E"/>
    <w:rsid w:val="006743E5"/>
    <w:rsid w:val="006743EF"/>
    <w:rsid w:val="00675919"/>
    <w:rsid w:val="00675A2F"/>
    <w:rsid w:val="00675A4C"/>
    <w:rsid w:val="00675C67"/>
    <w:rsid w:val="006762A9"/>
    <w:rsid w:val="00677659"/>
    <w:rsid w:val="00677706"/>
    <w:rsid w:val="006779FF"/>
    <w:rsid w:val="0068119E"/>
    <w:rsid w:val="006815F7"/>
    <w:rsid w:val="00683D2E"/>
    <w:rsid w:val="0068478E"/>
    <w:rsid w:val="00685CA4"/>
    <w:rsid w:val="0068714D"/>
    <w:rsid w:val="0068726C"/>
    <w:rsid w:val="0069027D"/>
    <w:rsid w:val="00690921"/>
    <w:rsid w:val="0069174A"/>
    <w:rsid w:val="00692491"/>
    <w:rsid w:val="00692891"/>
    <w:rsid w:val="00692B41"/>
    <w:rsid w:val="00694711"/>
    <w:rsid w:val="00694F9B"/>
    <w:rsid w:val="006950F1"/>
    <w:rsid w:val="00696489"/>
    <w:rsid w:val="00696844"/>
    <w:rsid w:val="006A0B7E"/>
    <w:rsid w:val="006A10DD"/>
    <w:rsid w:val="006A29F9"/>
    <w:rsid w:val="006A2A32"/>
    <w:rsid w:val="006A2F7F"/>
    <w:rsid w:val="006A4C73"/>
    <w:rsid w:val="006A7899"/>
    <w:rsid w:val="006B05A8"/>
    <w:rsid w:val="006B0DAF"/>
    <w:rsid w:val="006B1101"/>
    <w:rsid w:val="006B1DF4"/>
    <w:rsid w:val="006B269D"/>
    <w:rsid w:val="006B364C"/>
    <w:rsid w:val="006B39E3"/>
    <w:rsid w:val="006B5303"/>
    <w:rsid w:val="006B58FF"/>
    <w:rsid w:val="006B6308"/>
    <w:rsid w:val="006B633F"/>
    <w:rsid w:val="006C1BEF"/>
    <w:rsid w:val="006C219D"/>
    <w:rsid w:val="006C2EB7"/>
    <w:rsid w:val="006C388E"/>
    <w:rsid w:val="006C3C26"/>
    <w:rsid w:val="006C432D"/>
    <w:rsid w:val="006C5C63"/>
    <w:rsid w:val="006C5D4C"/>
    <w:rsid w:val="006C6CB8"/>
    <w:rsid w:val="006D1746"/>
    <w:rsid w:val="006D1B48"/>
    <w:rsid w:val="006D2DB0"/>
    <w:rsid w:val="006D3419"/>
    <w:rsid w:val="006D3F73"/>
    <w:rsid w:val="006D4BB3"/>
    <w:rsid w:val="006D50CE"/>
    <w:rsid w:val="006D5983"/>
    <w:rsid w:val="006D61D5"/>
    <w:rsid w:val="006D6FCB"/>
    <w:rsid w:val="006D764B"/>
    <w:rsid w:val="006D7CDA"/>
    <w:rsid w:val="006E0BA1"/>
    <w:rsid w:val="006E1501"/>
    <w:rsid w:val="006E2071"/>
    <w:rsid w:val="006E36B1"/>
    <w:rsid w:val="006E4118"/>
    <w:rsid w:val="006E4AF4"/>
    <w:rsid w:val="006E5AE2"/>
    <w:rsid w:val="006E5EE8"/>
    <w:rsid w:val="006E6664"/>
    <w:rsid w:val="006E6F49"/>
    <w:rsid w:val="006E7084"/>
    <w:rsid w:val="006E7352"/>
    <w:rsid w:val="006F2A24"/>
    <w:rsid w:val="006F434C"/>
    <w:rsid w:val="006F4A3C"/>
    <w:rsid w:val="006F75E9"/>
    <w:rsid w:val="006F77AB"/>
    <w:rsid w:val="007013B2"/>
    <w:rsid w:val="00704D3C"/>
    <w:rsid w:val="00705648"/>
    <w:rsid w:val="00705D18"/>
    <w:rsid w:val="007102AE"/>
    <w:rsid w:val="0071142D"/>
    <w:rsid w:val="00711C19"/>
    <w:rsid w:val="00712F5B"/>
    <w:rsid w:val="00714EFE"/>
    <w:rsid w:val="00717EFC"/>
    <w:rsid w:val="00717FAA"/>
    <w:rsid w:val="00721210"/>
    <w:rsid w:val="007220F7"/>
    <w:rsid w:val="00722A97"/>
    <w:rsid w:val="0072372D"/>
    <w:rsid w:val="00724829"/>
    <w:rsid w:val="007251D9"/>
    <w:rsid w:val="00726B16"/>
    <w:rsid w:val="00732693"/>
    <w:rsid w:val="00732C88"/>
    <w:rsid w:val="007338B9"/>
    <w:rsid w:val="007365B3"/>
    <w:rsid w:val="00736E07"/>
    <w:rsid w:val="0074053A"/>
    <w:rsid w:val="007419DC"/>
    <w:rsid w:val="0074237A"/>
    <w:rsid w:val="00742532"/>
    <w:rsid w:val="007425AB"/>
    <w:rsid w:val="007433D4"/>
    <w:rsid w:val="00743AF7"/>
    <w:rsid w:val="00744639"/>
    <w:rsid w:val="0074474B"/>
    <w:rsid w:val="00745536"/>
    <w:rsid w:val="00745896"/>
    <w:rsid w:val="00745982"/>
    <w:rsid w:val="00747F58"/>
    <w:rsid w:val="00751356"/>
    <w:rsid w:val="00751ACF"/>
    <w:rsid w:val="00753231"/>
    <w:rsid w:val="007535D9"/>
    <w:rsid w:val="00756BFE"/>
    <w:rsid w:val="007613A1"/>
    <w:rsid w:val="00761896"/>
    <w:rsid w:val="00764064"/>
    <w:rsid w:val="0076569C"/>
    <w:rsid w:val="00765722"/>
    <w:rsid w:val="00766F84"/>
    <w:rsid w:val="007674DF"/>
    <w:rsid w:val="00770011"/>
    <w:rsid w:val="007706A6"/>
    <w:rsid w:val="00771223"/>
    <w:rsid w:val="007717B1"/>
    <w:rsid w:val="00772642"/>
    <w:rsid w:val="00772977"/>
    <w:rsid w:val="007736E8"/>
    <w:rsid w:val="00775371"/>
    <w:rsid w:val="00776589"/>
    <w:rsid w:val="00777254"/>
    <w:rsid w:val="00780D61"/>
    <w:rsid w:val="007825EE"/>
    <w:rsid w:val="00784DF3"/>
    <w:rsid w:val="007918AE"/>
    <w:rsid w:val="007935EC"/>
    <w:rsid w:val="00795FED"/>
    <w:rsid w:val="00797961"/>
    <w:rsid w:val="007979E1"/>
    <w:rsid w:val="007A0AD1"/>
    <w:rsid w:val="007A0CA8"/>
    <w:rsid w:val="007A340E"/>
    <w:rsid w:val="007A38B4"/>
    <w:rsid w:val="007A3E25"/>
    <w:rsid w:val="007A3EE7"/>
    <w:rsid w:val="007A550A"/>
    <w:rsid w:val="007A5870"/>
    <w:rsid w:val="007A5EBC"/>
    <w:rsid w:val="007A6194"/>
    <w:rsid w:val="007B019D"/>
    <w:rsid w:val="007B08CF"/>
    <w:rsid w:val="007B0D18"/>
    <w:rsid w:val="007B1587"/>
    <w:rsid w:val="007B264F"/>
    <w:rsid w:val="007B2708"/>
    <w:rsid w:val="007B29EA"/>
    <w:rsid w:val="007B356D"/>
    <w:rsid w:val="007B471D"/>
    <w:rsid w:val="007B5B5F"/>
    <w:rsid w:val="007C01BE"/>
    <w:rsid w:val="007C0DF7"/>
    <w:rsid w:val="007C1613"/>
    <w:rsid w:val="007C1B3E"/>
    <w:rsid w:val="007C1E13"/>
    <w:rsid w:val="007C2816"/>
    <w:rsid w:val="007C2911"/>
    <w:rsid w:val="007C74DA"/>
    <w:rsid w:val="007C7E03"/>
    <w:rsid w:val="007D0B8D"/>
    <w:rsid w:val="007D64C2"/>
    <w:rsid w:val="007D79F5"/>
    <w:rsid w:val="007E1F54"/>
    <w:rsid w:val="007E239F"/>
    <w:rsid w:val="007E26BA"/>
    <w:rsid w:val="007E315F"/>
    <w:rsid w:val="007E44DB"/>
    <w:rsid w:val="007E4733"/>
    <w:rsid w:val="007F08F7"/>
    <w:rsid w:val="007F11AA"/>
    <w:rsid w:val="007F2257"/>
    <w:rsid w:val="007F2A46"/>
    <w:rsid w:val="007F3A02"/>
    <w:rsid w:val="007F3B1B"/>
    <w:rsid w:val="007F3E69"/>
    <w:rsid w:val="007F58B1"/>
    <w:rsid w:val="007F612F"/>
    <w:rsid w:val="007F676A"/>
    <w:rsid w:val="007F6B96"/>
    <w:rsid w:val="007F6F00"/>
    <w:rsid w:val="007F7BA6"/>
    <w:rsid w:val="00801240"/>
    <w:rsid w:val="00803AED"/>
    <w:rsid w:val="00803FF3"/>
    <w:rsid w:val="008047B7"/>
    <w:rsid w:val="00806263"/>
    <w:rsid w:val="0080673B"/>
    <w:rsid w:val="00806911"/>
    <w:rsid w:val="00810001"/>
    <w:rsid w:val="0081015B"/>
    <w:rsid w:val="00810B7A"/>
    <w:rsid w:val="00810D75"/>
    <w:rsid w:val="008134A4"/>
    <w:rsid w:val="0081417C"/>
    <w:rsid w:val="008144B9"/>
    <w:rsid w:val="008159DF"/>
    <w:rsid w:val="00815E5E"/>
    <w:rsid w:val="00816599"/>
    <w:rsid w:val="008169CF"/>
    <w:rsid w:val="00816FDC"/>
    <w:rsid w:val="008170A0"/>
    <w:rsid w:val="00820113"/>
    <w:rsid w:val="00820A9E"/>
    <w:rsid w:val="00820F1D"/>
    <w:rsid w:val="008212AA"/>
    <w:rsid w:val="008229D8"/>
    <w:rsid w:val="00823B2C"/>
    <w:rsid w:val="00824DFC"/>
    <w:rsid w:val="00825F03"/>
    <w:rsid w:val="00825FC3"/>
    <w:rsid w:val="00826CFA"/>
    <w:rsid w:val="008300E2"/>
    <w:rsid w:val="008305E9"/>
    <w:rsid w:val="00831B9E"/>
    <w:rsid w:val="00831E86"/>
    <w:rsid w:val="0083265E"/>
    <w:rsid w:val="00833717"/>
    <w:rsid w:val="008338EC"/>
    <w:rsid w:val="00833DB5"/>
    <w:rsid w:val="00833E0E"/>
    <w:rsid w:val="008341F9"/>
    <w:rsid w:val="00834DD0"/>
    <w:rsid w:val="00835204"/>
    <w:rsid w:val="00835715"/>
    <w:rsid w:val="00837175"/>
    <w:rsid w:val="008373D3"/>
    <w:rsid w:val="008379FC"/>
    <w:rsid w:val="008414A1"/>
    <w:rsid w:val="00842747"/>
    <w:rsid w:val="00843248"/>
    <w:rsid w:val="00843B70"/>
    <w:rsid w:val="00843DAD"/>
    <w:rsid w:val="008467F2"/>
    <w:rsid w:val="00850500"/>
    <w:rsid w:val="00850A9D"/>
    <w:rsid w:val="008531A0"/>
    <w:rsid w:val="0085431F"/>
    <w:rsid w:val="00855F44"/>
    <w:rsid w:val="00855FCE"/>
    <w:rsid w:val="0085616D"/>
    <w:rsid w:val="008576C0"/>
    <w:rsid w:val="00857B63"/>
    <w:rsid w:val="008607A1"/>
    <w:rsid w:val="00860FF8"/>
    <w:rsid w:val="00861165"/>
    <w:rsid w:val="00861F20"/>
    <w:rsid w:val="0086303D"/>
    <w:rsid w:val="008635CB"/>
    <w:rsid w:val="00863AFB"/>
    <w:rsid w:val="008644C5"/>
    <w:rsid w:val="008650C4"/>
    <w:rsid w:val="00865BDC"/>
    <w:rsid w:val="00865C55"/>
    <w:rsid w:val="008702E0"/>
    <w:rsid w:val="008715A2"/>
    <w:rsid w:val="0087276C"/>
    <w:rsid w:val="00872F44"/>
    <w:rsid w:val="00873B81"/>
    <w:rsid w:val="008747FF"/>
    <w:rsid w:val="00880938"/>
    <w:rsid w:val="0088175A"/>
    <w:rsid w:val="0088186A"/>
    <w:rsid w:val="00881D01"/>
    <w:rsid w:val="00884274"/>
    <w:rsid w:val="00885892"/>
    <w:rsid w:val="00885C32"/>
    <w:rsid w:val="00886393"/>
    <w:rsid w:val="00886F7A"/>
    <w:rsid w:val="008870AB"/>
    <w:rsid w:val="00887CCF"/>
    <w:rsid w:val="008909B6"/>
    <w:rsid w:val="008918C8"/>
    <w:rsid w:val="0089211D"/>
    <w:rsid w:val="00892B36"/>
    <w:rsid w:val="00892B99"/>
    <w:rsid w:val="00893D19"/>
    <w:rsid w:val="008947BE"/>
    <w:rsid w:val="0089532E"/>
    <w:rsid w:val="008965D5"/>
    <w:rsid w:val="0089688D"/>
    <w:rsid w:val="00897B04"/>
    <w:rsid w:val="008A1ACF"/>
    <w:rsid w:val="008A54B3"/>
    <w:rsid w:val="008A62E9"/>
    <w:rsid w:val="008A7ED8"/>
    <w:rsid w:val="008B005A"/>
    <w:rsid w:val="008B042B"/>
    <w:rsid w:val="008B0E02"/>
    <w:rsid w:val="008B1413"/>
    <w:rsid w:val="008B1AAA"/>
    <w:rsid w:val="008B2346"/>
    <w:rsid w:val="008B29EF"/>
    <w:rsid w:val="008B31F1"/>
    <w:rsid w:val="008B3F93"/>
    <w:rsid w:val="008B4604"/>
    <w:rsid w:val="008B592E"/>
    <w:rsid w:val="008B6CDC"/>
    <w:rsid w:val="008B76DB"/>
    <w:rsid w:val="008B7B55"/>
    <w:rsid w:val="008C0B22"/>
    <w:rsid w:val="008C0DEA"/>
    <w:rsid w:val="008C11EE"/>
    <w:rsid w:val="008C3DC3"/>
    <w:rsid w:val="008C411A"/>
    <w:rsid w:val="008C5415"/>
    <w:rsid w:val="008C59F3"/>
    <w:rsid w:val="008C6BB5"/>
    <w:rsid w:val="008D21CF"/>
    <w:rsid w:val="008D4929"/>
    <w:rsid w:val="008D4972"/>
    <w:rsid w:val="008D49D9"/>
    <w:rsid w:val="008D4C4E"/>
    <w:rsid w:val="008D4D37"/>
    <w:rsid w:val="008D51C7"/>
    <w:rsid w:val="008D52B6"/>
    <w:rsid w:val="008D6393"/>
    <w:rsid w:val="008E2806"/>
    <w:rsid w:val="008E2FFC"/>
    <w:rsid w:val="008E3F4A"/>
    <w:rsid w:val="008E5F36"/>
    <w:rsid w:val="008E6644"/>
    <w:rsid w:val="008E66D2"/>
    <w:rsid w:val="008E6818"/>
    <w:rsid w:val="008E6A75"/>
    <w:rsid w:val="008E6B4B"/>
    <w:rsid w:val="008E6DD2"/>
    <w:rsid w:val="008E7920"/>
    <w:rsid w:val="008E7FC5"/>
    <w:rsid w:val="008F0F6E"/>
    <w:rsid w:val="008F1425"/>
    <w:rsid w:val="008F2932"/>
    <w:rsid w:val="008F32A5"/>
    <w:rsid w:val="008F38F2"/>
    <w:rsid w:val="008F3E9F"/>
    <w:rsid w:val="008F3EC0"/>
    <w:rsid w:val="008F4252"/>
    <w:rsid w:val="008F45DF"/>
    <w:rsid w:val="008F792B"/>
    <w:rsid w:val="009002BF"/>
    <w:rsid w:val="009003FC"/>
    <w:rsid w:val="00901896"/>
    <w:rsid w:val="00901E5B"/>
    <w:rsid w:val="00902657"/>
    <w:rsid w:val="00902BE3"/>
    <w:rsid w:val="00902C30"/>
    <w:rsid w:val="00903111"/>
    <w:rsid w:val="009040D6"/>
    <w:rsid w:val="00904166"/>
    <w:rsid w:val="0090520D"/>
    <w:rsid w:val="009053C5"/>
    <w:rsid w:val="009054AD"/>
    <w:rsid w:val="00907DCF"/>
    <w:rsid w:val="00911A92"/>
    <w:rsid w:val="00913D8F"/>
    <w:rsid w:val="00914FC4"/>
    <w:rsid w:val="00917F13"/>
    <w:rsid w:val="00920471"/>
    <w:rsid w:val="00920B3D"/>
    <w:rsid w:val="00920F5C"/>
    <w:rsid w:val="0092258A"/>
    <w:rsid w:val="00922D1B"/>
    <w:rsid w:val="00922EE7"/>
    <w:rsid w:val="00922F20"/>
    <w:rsid w:val="009241BE"/>
    <w:rsid w:val="0092512E"/>
    <w:rsid w:val="0092519E"/>
    <w:rsid w:val="00925B7E"/>
    <w:rsid w:val="00927B88"/>
    <w:rsid w:val="009305A8"/>
    <w:rsid w:val="00930BAB"/>
    <w:rsid w:val="00931C6B"/>
    <w:rsid w:val="00932D8C"/>
    <w:rsid w:val="0093316A"/>
    <w:rsid w:val="00934747"/>
    <w:rsid w:val="00935649"/>
    <w:rsid w:val="009363B8"/>
    <w:rsid w:val="00936BAB"/>
    <w:rsid w:val="00940037"/>
    <w:rsid w:val="00942888"/>
    <w:rsid w:val="00942F9E"/>
    <w:rsid w:val="009430AD"/>
    <w:rsid w:val="00944E07"/>
    <w:rsid w:val="009458C9"/>
    <w:rsid w:val="00945B31"/>
    <w:rsid w:val="00945C9C"/>
    <w:rsid w:val="00947910"/>
    <w:rsid w:val="00947CB3"/>
    <w:rsid w:val="00951DE1"/>
    <w:rsid w:val="009528AA"/>
    <w:rsid w:val="0095326D"/>
    <w:rsid w:val="00953DEF"/>
    <w:rsid w:val="00954531"/>
    <w:rsid w:val="00954574"/>
    <w:rsid w:val="00955042"/>
    <w:rsid w:val="0095567C"/>
    <w:rsid w:val="00955FBA"/>
    <w:rsid w:val="00956EE1"/>
    <w:rsid w:val="00956F83"/>
    <w:rsid w:val="009613B6"/>
    <w:rsid w:val="00961A1A"/>
    <w:rsid w:val="009630B2"/>
    <w:rsid w:val="009632F4"/>
    <w:rsid w:val="00964FA0"/>
    <w:rsid w:val="009653D8"/>
    <w:rsid w:val="00965DC9"/>
    <w:rsid w:val="009670A5"/>
    <w:rsid w:val="00967B62"/>
    <w:rsid w:val="00967E0F"/>
    <w:rsid w:val="0097018C"/>
    <w:rsid w:val="009708CF"/>
    <w:rsid w:val="00971292"/>
    <w:rsid w:val="009714D0"/>
    <w:rsid w:val="00972B60"/>
    <w:rsid w:val="00974BDF"/>
    <w:rsid w:val="0097560A"/>
    <w:rsid w:val="0097656A"/>
    <w:rsid w:val="0097757D"/>
    <w:rsid w:val="0098042E"/>
    <w:rsid w:val="009812F2"/>
    <w:rsid w:val="0098181B"/>
    <w:rsid w:val="00984DFA"/>
    <w:rsid w:val="009859B3"/>
    <w:rsid w:val="0098666B"/>
    <w:rsid w:val="00992B14"/>
    <w:rsid w:val="0099397F"/>
    <w:rsid w:val="0099404D"/>
    <w:rsid w:val="009944C7"/>
    <w:rsid w:val="009945CD"/>
    <w:rsid w:val="0099510C"/>
    <w:rsid w:val="009A11D7"/>
    <w:rsid w:val="009A1708"/>
    <w:rsid w:val="009A2169"/>
    <w:rsid w:val="009A37D5"/>
    <w:rsid w:val="009A3D8C"/>
    <w:rsid w:val="009A64AC"/>
    <w:rsid w:val="009B00E7"/>
    <w:rsid w:val="009B06A8"/>
    <w:rsid w:val="009B0E94"/>
    <w:rsid w:val="009B1C3E"/>
    <w:rsid w:val="009B2CDC"/>
    <w:rsid w:val="009B4E72"/>
    <w:rsid w:val="009B5F5D"/>
    <w:rsid w:val="009B6273"/>
    <w:rsid w:val="009B723B"/>
    <w:rsid w:val="009B7291"/>
    <w:rsid w:val="009B7C3F"/>
    <w:rsid w:val="009C24B8"/>
    <w:rsid w:val="009C368D"/>
    <w:rsid w:val="009C3DCA"/>
    <w:rsid w:val="009C57E0"/>
    <w:rsid w:val="009C736B"/>
    <w:rsid w:val="009C7B1B"/>
    <w:rsid w:val="009D050A"/>
    <w:rsid w:val="009D0C85"/>
    <w:rsid w:val="009D0D2B"/>
    <w:rsid w:val="009D1E34"/>
    <w:rsid w:val="009D20C9"/>
    <w:rsid w:val="009D2212"/>
    <w:rsid w:val="009D3B51"/>
    <w:rsid w:val="009D41F1"/>
    <w:rsid w:val="009D6160"/>
    <w:rsid w:val="009E1062"/>
    <w:rsid w:val="009E2140"/>
    <w:rsid w:val="009E3860"/>
    <w:rsid w:val="009E5815"/>
    <w:rsid w:val="009E60A7"/>
    <w:rsid w:val="009E6AA0"/>
    <w:rsid w:val="009E6BC3"/>
    <w:rsid w:val="009E7CE8"/>
    <w:rsid w:val="009F088B"/>
    <w:rsid w:val="009F0BA7"/>
    <w:rsid w:val="009F1822"/>
    <w:rsid w:val="009F1DA0"/>
    <w:rsid w:val="009F2FBE"/>
    <w:rsid w:val="009F3F5F"/>
    <w:rsid w:val="009F4944"/>
    <w:rsid w:val="009F5686"/>
    <w:rsid w:val="009F6FE2"/>
    <w:rsid w:val="00A01524"/>
    <w:rsid w:val="00A01793"/>
    <w:rsid w:val="00A01BB6"/>
    <w:rsid w:val="00A030CF"/>
    <w:rsid w:val="00A03304"/>
    <w:rsid w:val="00A0347E"/>
    <w:rsid w:val="00A03E5B"/>
    <w:rsid w:val="00A04A3E"/>
    <w:rsid w:val="00A053BB"/>
    <w:rsid w:val="00A0542E"/>
    <w:rsid w:val="00A0548F"/>
    <w:rsid w:val="00A05DDF"/>
    <w:rsid w:val="00A06401"/>
    <w:rsid w:val="00A071C8"/>
    <w:rsid w:val="00A0776A"/>
    <w:rsid w:val="00A11566"/>
    <w:rsid w:val="00A11C6B"/>
    <w:rsid w:val="00A12A12"/>
    <w:rsid w:val="00A12DDE"/>
    <w:rsid w:val="00A13820"/>
    <w:rsid w:val="00A143C1"/>
    <w:rsid w:val="00A14647"/>
    <w:rsid w:val="00A147C1"/>
    <w:rsid w:val="00A15286"/>
    <w:rsid w:val="00A15799"/>
    <w:rsid w:val="00A15A5D"/>
    <w:rsid w:val="00A16B99"/>
    <w:rsid w:val="00A174AB"/>
    <w:rsid w:val="00A20033"/>
    <w:rsid w:val="00A20F9A"/>
    <w:rsid w:val="00A226FF"/>
    <w:rsid w:val="00A2270C"/>
    <w:rsid w:val="00A239B6"/>
    <w:rsid w:val="00A24B39"/>
    <w:rsid w:val="00A256AF"/>
    <w:rsid w:val="00A25943"/>
    <w:rsid w:val="00A25A8A"/>
    <w:rsid w:val="00A25FAF"/>
    <w:rsid w:val="00A27BA0"/>
    <w:rsid w:val="00A3059A"/>
    <w:rsid w:val="00A32763"/>
    <w:rsid w:val="00A347B1"/>
    <w:rsid w:val="00A3555D"/>
    <w:rsid w:val="00A3598A"/>
    <w:rsid w:val="00A3697B"/>
    <w:rsid w:val="00A36B97"/>
    <w:rsid w:val="00A3700D"/>
    <w:rsid w:val="00A37797"/>
    <w:rsid w:val="00A37F2F"/>
    <w:rsid w:val="00A40D74"/>
    <w:rsid w:val="00A416E2"/>
    <w:rsid w:val="00A41892"/>
    <w:rsid w:val="00A42172"/>
    <w:rsid w:val="00A44706"/>
    <w:rsid w:val="00A46A8C"/>
    <w:rsid w:val="00A46EF0"/>
    <w:rsid w:val="00A47077"/>
    <w:rsid w:val="00A508AB"/>
    <w:rsid w:val="00A50E90"/>
    <w:rsid w:val="00A5125B"/>
    <w:rsid w:val="00A51F72"/>
    <w:rsid w:val="00A5275D"/>
    <w:rsid w:val="00A5351D"/>
    <w:rsid w:val="00A53B8F"/>
    <w:rsid w:val="00A5492B"/>
    <w:rsid w:val="00A55CE9"/>
    <w:rsid w:val="00A579B6"/>
    <w:rsid w:val="00A57F1A"/>
    <w:rsid w:val="00A60FB9"/>
    <w:rsid w:val="00A62529"/>
    <w:rsid w:val="00A62658"/>
    <w:rsid w:val="00A62EB1"/>
    <w:rsid w:val="00A63117"/>
    <w:rsid w:val="00A636ED"/>
    <w:rsid w:val="00A64067"/>
    <w:rsid w:val="00A652E6"/>
    <w:rsid w:val="00A656A3"/>
    <w:rsid w:val="00A6600D"/>
    <w:rsid w:val="00A67785"/>
    <w:rsid w:val="00A70908"/>
    <w:rsid w:val="00A7140E"/>
    <w:rsid w:val="00A716DC"/>
    <w:rsid w:val="00A71855"/>
    <w:rsid w:val="00A723B9"/>
    <w:rsid w:val="00A733F9"/>
    <w:rsid w:val="00A7389C"/>
    <w:rsid w:val="00A73AF1"/>
    <w:rsid w:val="00A74883"/>
    <w:rsid w:val="00A8168D"/>
    <w:rsid w:val="00A83EE0"/>
    <w:rsid w:val="00A844DB"/>
    <w:rsid w:val="00A855D0"/>
    <w:rsid w:val="00A878F6"/>
    <w:rsid w:val="00A87C13"/>
    <w:rsid w:val="00A913CE"/>
    <w:rsid w:val="00A92AB8"/>
    <w:rsid w:val="00A94625"/>
    <w:rsid w:val="00A94FED"/>
    <w:rsid w:val="00A95A4F"/>
    <w:rsid w:val="00A97266"/>
    <w:rsid w:val="00A97582"/>
    <w:rsid w:val="00A97F09"/>
    <w:rsid w:val="00AA08D7"/>
    <w:rsid w:val="00AA1353"/>
    <w:rsid w:val="00AA1992"/>
    <w:rsid w:val="00AA2A41"/>
    <w:rsid w:val="00AA2BEA"/>
    <w:rsid w:val="00AA3672"/>
    <w:rsid w:val="00AA3727"/>
    <w:rsid w:val="00AA3B7F"/>
    <w:rsid w:val="00AA412B"/>
    <w:rsid w:val="00AA5471"/>
    <w:rsid w:val="00AA56CB"/>
    <w:rsid w:val="00AA5C9A"/>
    <w:rsid w:val="00AA61F0"/>
    <w:rsid w:val="00AA774B"/>
    <w:rsid w:val="00AA7EDC"/>
    <w:rsid w:val="00AB22BD"/>
    <w:rsid w:val="00AB303E"/>
    <w:rsid w:val="00AB36CC"/>
    <w:rsid w:val="00AB36D6"/>
    <w:rsid w:val="00AB3E66"/>
    <w:rsid w:val="00AB3E6C"/>
    <w:rsid w:val="00AB4380"/>
    <w:rsid w:val="00AB5FFF"/>
    <w:rsid w:val="00AB6192"/>
    <w:rsid w:val="00AB7357"/>
    <w:rsid w:val="00AB787D"/>
    <w:rsid w:val="00AB7A8E"/>
    <w:rsid w:val="00AC026D"/>
    <w:rsid w:val="00AC072E"/>
    <w:rsid w:val="00AC181D"/>
    <w:rsid w:val="00AC20C5"/>
    <w:rsid w:val="00AC2B45"/>
    <w:rsid w:val="00AC2D35"/>
    <w:rsid w:val="00AC33F3"/>
    <w:rsid w:val="00AC3AE2"/>
    <w:rsid w:val="00AC4A51"/>
    <w:rsid w:val="00AC5FC5"/>
    <w:rsid w:val="00AC67EE"/>
    <w:rsid w:val="00AC697E"/>
    <w:rsid w:val="00AC6A85"/>
    <w:rsid w:val="00AC6F75"/>
    <w:rsid w:val="00AC774E"/>
    <w:rsid w:val="00AC7A46"/>
    <w:rsid w:val="00AC7B75"/>
    <w:rsid w:val="00AD3E62"/>
    <w:rsid w:val="00AD4F48"/>
    <w:rsid w:val="00AD5743"/>
    <w:rsid w:val="00AD57C1"/>
    <w:rsid w:val="00AD5D95"/>
    <w:rsid w:val="00AD60BE"/>
    <w:rsid w:val="00AE0426"/>
    <w:rsid w:val="00AE2576"/>
    <w:rsid w:val="00AE2893"/>
    <w:rsid w:val="00AE4457"/>
    <w:rsid w:val="00AE65C4"/>
    <w:rsid w:val="00AE6D65"/>
    <w:rsid w:val="00AE7FB9"/>
    <w:rsid w:val="00AF065A"/>
    <w:rsid w:val="00AF0C86"/>
    <w:rsid w:val="00AF1EC4"/>
    <w:rsid w:val="00AF30AD"/>
    <w:rsid w:val="00AF3467"/>
    <w:rsid w:val="00AF3B1E"/>
    <w:rsid w:val="00AF3D7A"/>
    <w:rsid w:val="00AF3FF1"/>
    <w:rsid w:val="00AF404F"/>
    <w:rsid w:val="00AF52FE"/>
    <w:rsid w:val="00AF6427"/>
    <w:rsid w:val="00AF6C9D"/>
    <w:rsid w:val="00AF7238"/>
    <w:rsid w:val="00AF7474"/>
    <w:rsid w:val="00AF78DD"/>
    <w:rsid w:val="00B00EA0"/>
    <w:rsid w:val="00B015FE"/>
    <w:rsid w:val="00B034DB"/>
    <w:rsid w:val="00B03858"/>
    <w:rsid w:val="00B03CB8"/>
    <w:rsid w:val="00B046BB"/>
    <w:rsid w:val="00B04CE4"/>
    <w:rsid w:val="00B052EE"/>
    <w:rsid w:val="00B0561F"/>
    <w:rsid w:val="00B058DB"/>
    <w:rsid w:val="00B05932"/>
    <w:rsid w:val="00B0619D"/>
    <w:rsid w:val="00B06730"/>
    <w:rsid w:val="00B06FC5"/>
    <w:rsid w:val="00B10FCD"/>
    <w:rsid w:val="00B13052"/>
    <w:rsid w:val="00B142E9"/>
    <w:rsid w:val="00B14748"/>
    <w:rsid w:val="00B14B8E"/>
    <w:rsid w:val="00B1533D"/>
    <w:rsid w:val="00B1582E"/>
    <w:rsid w:val="00B16DBB"/>
    <w:rsid w:val="00B172A2"/>
    <w:rsid w:val="00B20751"/>
    <w:rsid w:val="00B20D6D"/>
    <w:rsid w:val="00B22445"/>
    <w:rsid w:val="00B224C1"/>
    <w:rsid w:val="00B23032"/>
    <w:rsid w:val="00B234F6"/>
    <w:rsid w:val="00B238D1"/>
    <w:rsid w:val="00B25606"/>
    <w:rsid w:val="00B271DC"/>
    <w:rsid w:val="00B30DFD"/>
    <w:rsid w:val="00B320C2"/>
    <w:rsid w:val="00B3259E"/>
    <w:rsid w:val="00B328B5"/>
    <w:rsid w:val="00B332F1"/>
    <w:rsid w:val="00B337C1"/>
    <w:rsid w:val="00B33CE6"/>
    <w:rsid w:val="00B33F2C"/>
    <w:rsid w:val="00B340DD"/>
    <w:rsid w:val="00B343CE"/>
    <w:rsid w:val="00B345C7"/>
    <w:rsid w:val="00B3559A"/>
    <w:rsid w:val="00B35845"/>
    <w:rsid w:val="00B35C3F"/>
    <w:rsid w:val="00B35DBA"/>
    <w:rsid w:val="00B36623"/>
    <w:rsid w:val="00B36AF3"/>
    <w:rsid w:val="00B37AA6"/>
    <w:rsid w:val="00B404CB"/>
    <w:rsid w:val="00B40C07"/>
    <w:rsid w:val="00B41146"/>
    <w:rsid w:val="00B41AA8"/>
    <w:rsid w:val="00B4581D"/>
    <w:rsid w:val="00B46177"/>
    <w:rsid w:val="00B4769B"/>
    <w:rsid w:val="00B5080E"/>
    <w:rsid w:val="00B5161A"/>
    <w:rsid w:val="00B51BB5"/>
    <w:rsid w:val="00B532F4"/>
    <w:rsid w:val="00B5570D"/>
    <w:rsid w:val="00B57158"/>
    <w:rsid w:val="00B57E2A"/>
    <w:rsid w:val="00B60CEA"/>
    <w:rsid w:val="00B629ED"/>
    <w:rsid w:val="00B6342B"/>
    <w:rsid w:val="00B65433"/>
    <w:rsid w:val="00B65E7D"/>
    <w:rsid w:val="00B66F15"/>
    <w:rsid w:val="00B670AD"/>
    <w:rsid w:val="00B670D5"/>
    <w:rsid w:val="00B700F3"/>
    <w:rsid w:val="00B70CE4"/>
    <w:rsid w:val="00B70D6B"/>
    <w:rsid w:val="00B7145E"/>
    <w:rsid w:val="00B71483"/>
    <w:rsid w:val="00B71AB2"/>
    <w:rsid w:val="00B71EDF"/>
    <w:rsid w:val="00B72141"/>
    <w:rsid w:val="00B7256D"/>
    <w:rsid w:val="00B746C7"/>
    <w:rsid w:val="00B75131"/>
    <w:rsid w:val="00B75999"/>
    <w:rsid w:val="00B77C3C"/>
    <w:rsid w:val="00B77C8F"/>
    <w:rsid w:val="00B8088E"/>
    <w:rsid w:val="00B829BC"/>
    <w:rsid w:val="00B8363A"/>
    <w:rsid w:val="00B839BA"/>
    <w:rsid w:val="00B85667"/>
    <w:rsid w:val="00B85FCF"/>
    <w:rsid w:val="00B863B4"/>
    <w:rsid w:val="00B8714A"/>
    <w:rsid w:val="00B90269"/>
    <w:rsid w:val="00B9099B"/>
    <w:rsid w:val="00B9230B"/>
    <w:rsid w:val="00B93C1C"/>
    <w:rsid w:val="00B93EDE"/>
    <w:rsid w:val="00B94CB4"/>
    <w:rsid w:val="00B96092"/>
    <w:rsid w:val="00B965FA"/>
    <w:rsid w:val="00B97D44"/>
    <w:rsid w:val="00BA14B3"/>
    <w:rsid w:val="00BA57C0"/>
    <w:rsid w:val="00BA70DA"/>
    <w:rsid w:val="00BA7DC5"/>
    <w:rsid w:val="00BB01BA"/>
    <w:rsid w:val="00BB0278"/>
    <w:rsid w:val="00BB1763"/>
    <w:rsid w:val="00BB1DCE"/>
    <w:rsid w:val="00BB26AF"/>
    <w:rsid w:val="00BB27FE"/>
    <w:rsid w:val="00BB2E62"/>
    <w:rsid w:val="00BB38F4"/>
    <w:rsid w:val="00BB3C59"/>
    <w:rsid w:val="00BB410C"/>
    <w:rsid w:val="00BB4FD1"/>
    <w:rsid w:val="00BB5DC9"/>
    <w:rsid w:val="00BB7536"/>
    <w:rsid w:val="00BC029F"/>
    <w:rsid w:val="00BC209B"/>
    <w:rsid w:val="00BC4B86"/>
    <w:rsid w:val="00BC55F4"/>
    <w:rsid w:val="00BC5C8F"/>
    <w:rsid w:val="00BC6110"/>
    <w:rsid w:val="00BC704D"/>
    <w:rsid w:val="00BC774F"/>
    <w:rsid w:val="00BC7963"/>
    <w:rsid w:val="00BD117E"/>
    <w:rsid w:val="00BD1F20"/>
    <w:rsid w:val="00BD29AA"/>
    <w:rsid w:val="00BD3543"/>
    <w:rsid w:val="00BD4174"/>
    <w:rsid w:val="00BD487E"/>
    <w:rsid w:val="00BD54AD"/>
    <w:rsid w:val="00BD581A"/>
    <w:rsid w:val="00BD5B45"/>
    <w:rsid w:val="00BE0CFF"/>
    <w:rsid w:val="00BE1D90"/>
    <w:rsid w:val="00BE208E"/>
    <w:rsid w:val="00BE2262"/>
    <w:rsid w:val="00BE3313"/>
    <w:rsid w:val="00BE3504"/>
    <w:rsid w:val="00BE4D67"/>
    <w:rsid w:val="00BE5DFA"/>
    <w:rsid w:val="00BE67E1"/>
    <w:rsid w:val="00BE7D34"/>
    <w:rsid w:val="00BF0B6E"/>
    <w:rsid w:val="00BF3745"/>
    <w:rsid w:val="00BF3B30"/>
    <w:rsid w:val="00BF402A"/>
    <w:rsid w:val="00BF50DF"/>
    <w:rsid w:val="00BF51E2"/>
    <w:rsid w:val="00BF62F2"/>
    <w:rsid w:val="00BF7134"/>
    <w:rsid w:val="00C00DEA"/>
    <w:rsid w:val="00C01AEB"/>
    <w:rsid w:val="00C03247"/>
    <w:rsid w:val="00C036B3"/>
    <w:rsid w:val="00C0486B"/>
    <w:rsid w:val="00C0727A"/>
    <w:rsid w:val="00C07806"/>
    <w:rsid w:val="00C07975"/>
    <w:rsid w:val="00C101BF"/>
    <w:rsid w:val="00C10E41"/>
    <w:rsid w:val="00C12162"/>
    <w:rsid w:val="00C1243F"/>
    <w:rsid w:val="00C12C73"/>
    <w:rsid w:val="00C146D0"/>
    <w:rsid w:val="00C14FEB"/>
    <w:rsid w:val="00C15BA9"/>
    <w:rsid w:val="00C16202"/>
    <w:rsid w:val="00C16BF5"/>
    <w:rsid w:val="00C20419"/>
    <w:rsid w:val="00C2097A"/>
    <w:rsid w:val="00C20B64"/>
    <w:rsid w:val="00C21D1E"/>
    <w:rsid w:val="00C21D33"/>
    <w:rsid w:val="00C22181"/>
    <w:rsid w:val="00C229BC"/>
    <w:rsid w:val="00C237AD"/>
    <w:rsid w:val="00C23EA9"/>
    <w:rsid w:val="00C250A1"/>
    <w:rsid w:val="00C274A8"/>
    <w:rsid w:val="00C30C64"/>
    <w:rsid w:val="00C31099"/>
    <w:rsid w:val="00C31193"/>
    <w:rsid w:val="00C31CD2"/>
    <w:rsid w:val="00C32CC3"/>
    <w:rsid w:val="00C33277"/>
    <w:rsid w:val="00C33BE4"/>
    <w:rsid w:val="00C34976"/>
    <w:rsid w:val="00C34C96"/>
    <w:rsid w:val="00C35B90"/>
    <w:rsid w:val="00C367A7"/>
    <w:rsid w:val="00C36CF0"/>
    <w:rsid w:val="00C36EE1"/>
    <w:rsid w:val="00C37A31"/>
    <w:rsid w:val="00C37BCC"/>
    <w:rsid w:val="00C37C7B"/>
    <w:rsid w:val="00C37CD3"/>
    <w:rsid w:val="00C42C8B"/>
    <w:rsid w:val="00C4334A"/>
    <w:rsid w:val="00C454EC"/>
    <w:rsid w:val="00C457DC"/>
    <w:rsid w:val="00C465B3"/>
    <w:rsid w:val="00C466FD"/>
    <w:rsid w:val="00C4739B"/>
    <w:rsid w:val="00C474A8"/>
    <w:rsid w:val="00C478F8"/>
    <w:rsid w:val="00C51714"/>
    <w:rsid w:val="00C52431"/>
    <w:rsid w:val="00C5282F"/>
    <w:rsid w:val="00C542BD"/>
    <w:rsid w:val="00C54674"/>
    <w:rsid w:val="00C5539D"/>
    <w:rsid w:val="00C602C6"/>
    <w:rsid w:val="00C60C53"/>
    <w:rsid w:val="00C64A2F"/>
    <w:rsid w:val="00C66032"/>
    <w:rsid w:val="00C66352"/>
    <w:rsid w:val="00C67355"/>
    <w:rsid w:val="00C67596"/>
    <w:rsid w:val="00C67F64"/>
    <w:rsid w:val="00C732FD"/>
    <w:rsid w:val="00C75761"/>
    <w:rsid w:val="00C760E9"/>
    <w:rsid w:val="00C76E62"/>
    <w:rsid w:val="00C77A5D"/>
    <w:rsid w:val="00C801C4"/>
    <w:rsid w:val="00C80C7C"/>
    <w:rsid w:val="00C80DA7"/>
    <w:rsid w:val="00C81CB9"/>
    <w:rsid w:val="00C84CF2"/>
    <w:rsid w:val="00C850E7"/>
    <w:rsid w:val="00C85ED6"/>
    <w:rsid w:val="00C86119"/>
    <w:rsid w:val="00C86F15"/>
    <w:rsid w:val="00C874B2"/>
    <w:rsid w:val="00C8776F"/>
    <w:rsid w:val="00C9108B"/>
    <w:rsid w:val="00C910D0"/>
    <w:rsid w:val="00C919AD"/>
    <w:rsid w:val="00C92FCC"/>
    <w:rsid w:val="00C943A9"/>
    <w:rsid w:val="00C94673"/>
    <w:rsid w:val="00C96796"/>
    <w:rsid w:val="00C96DC0"/>
    <w:rsid w:val="00C97804"/>
    <w:rsid w:val="00C97A6D"/>
    <w:rsid w:val="00CA1BAB"/>
    <w:rsid w:val="00CA22F4"/>
    <w:rsid w:val="00CA3E89"/>
    <w:rsid w:val="00CA3ED6"/>
    <w:rsid w:val="00CA499D"/>
    <w:rsid w:val="00CA5311"/>
    <w:rsid w:val="00CA6772"/>
    <w:rsid w:val="00CA6E34"/>
    <w:rsid w:val="00CB1FB7"/>
    <w:rsid w:val="00CB28B9"/>
    <w:rsid w:val="00CB2986"/>
    <w:rsid w:val="00CB2DC8"/>
    <w:rsid w:val="00CB44B1"/>
    <w:rsid w:val="00CB5974"/>
    <w:rsid w:val="00CC23E1"/>
    <w:rsid w:val="00CC26B7"/>
    <w:rsid w:val="00CC2B1F"/>
    <w:rsid w:val="00CC38E1"/>
    <w:rsid w:val="00CC4D75"/>
    <w:rsid w:val="00CC601B"/>
    <w:rsid w:val="00CC69B7"/>
    <w:rsid w:val="00CC7A9D"/>
    <w:rsid w:val="00CD248D"/>
    <w:rsid w:val="00CD26E3"/>
    <w:rsid w:val="00CD4249"/>
    <w:rsid w:val="00CD4898"/>
    <w:rsid w:val="00CD513D"/>
    <w:rsid w:val="00CD6A53"/>
    <w:rsid w:val="00CE023C"/>
    <w:rsid w:val="00CE0A1D"/>
    <w:rsid w:val="00CE0ACD"/>
    <w:rsid w:val="00CE0D0B"/>
    <w:rsid w:val="00CE1BE3"/>
    <w:rsid w:val="00CE2DA0"/>
    <w:rsid w:val="00CE4342"/>
    <w:rsid w:val="00CE4743"/>
    <w:rsid w:val="00CE4AB2"/>
    <w:rsid w:val="00CE4F9B"/>
    <w:rsid w:val="00CE4FCD"/>
    <w:rsid w:val="00CE5219"/>
    <w:rsid w:val="00CE55FF"/>
    <w:rsid w:val="00CE5DD6"/>
    <w:rsid w:val="00CE7A94"/>
    <w:rsid w:val="00CE7AD6"/>
    <w:rsid w:val="00CF0906"/>
    <w:rsid w:val="00CF0BE5"/>
    <w:rsid w:val="00CF1315"/>
    <w:rsid w:val="00CF14A2"/>
    <w:rsid w:val="00CF1E15"/>
    <w:rsid w:val="00CF2FEC"/>
    <w:rsid w:val="00CF4851"/>
    <w:rsid w:val="00CF4E57"/>
    <w:rsid w:val="00CF54EE"/>
    <w:rsid w:val="00CF6991"/>
    <w:rsid w:val="00CF69C3"/>
    <w:rsid w:val="00D00895"/>
    <w:rsid w:val="00D01789"/>
    <w:rsid w:val="00D01A9F"/>
    <w:rsid w:val="00D01BB0"/>
    <w:rsid w:val="00D022F1"/>
    <w:rsid w:val="00D029A9"/>
    <w:rsid w:val="00D038CF"/>
    <w:rsid w:val="00D040A9"/>
    <w:rsid w:val="00D04CAC"/>
    <w:rsid w:val="00D04F23"/>
    <w:rsid w:val="00D05CAD"/>
    <w:rsid w:val="00D05D09"/>
    <w:rsid w:val="00D05FF1"/>
    <w:rsid w:val="00D06379"/>
    <w:rsid w:val="00D064DB"/>
    <w:rsid w:val="00D11BA7"/>
    <w:rsid w:val="00D12E62"/>
    <w:rsid w:val="00D13587"/>
    <w:rsid w:val="00D13C2D"/>
    <w:rsid w:val="00D14075"/>
    <w:rsid w:val="00D14E38"/>
    <w:rsid w:val="00D1536E"/>
    <w:rsid w:val="00D15CDC"/>
    <w:rsid w:val="00D163BC"/>
    <w:rsid w:val="00D210BA"/>
    <w:rsid w:val="00D21602"/>
    <w:rsid w:val="00D2355A"/>
    <w:rsid w:val="00D247FE"/>
    <w:rsid w:val="00D24870"/>
    <w:rsid w:val="00D2591A"/>
    <w:rsid w:val="00D25BCE"/>
    <w:rsid w:val="00D26340"/>
    <w:rsid w:val="00D26517"/>
    <w:rsid w:val="00D26982"/>
    <w:rsid w:val="00D2729D"/>
    <w:rsid w:val="00D276EC"/>
    <w:rsid w:val="00D27AF8"/>
    <w:rsid w:val="00D27C27"/>
    <w:rsid w:val="00D30A5D"/>
    <w:rsid w:val="00D31192"/>
    <w:rsid w:val="00D33D48"/>
    <w:rsid w:val="00D34BC0"/>
    <w:rsid w:val="00D34DFC"/>
    <w:rsid w:val="00D34E79"/>
    <w:rsid w:val="00D3500D"/>
    <w:rsid w:val="00D3507E"/>
    <w:rsid w:val="00D350AF"/>
    <w:rsid w:val="00D3513B"/>
    <w:rsid w:val="00D37609"/>
    <w:rsid w:val="00D376B2"/>
    <w:rsid w:val="00D37C31"/>
    <w:rsid w:val="00D404A4"/>
    <w:rsid w:val="00D40E8B"/>
    <w:rsid w:val="00D40EE9"/>
    <w:rsid w:val="00D4283A"/>
    <w:rsid w:val="00D42D80"/>
    <w:rsid w:val="00D436A9"/>
    <w:rsid w:val="00D445F0"/>
    <w:rsid w:val="00D44BEB"/>
    <w:rsid w:val="00D4705B"/>
    <w:rsid w:val="00D47AC9"/>
    <w:rsid w:val="00D47FB4"/>
    <w:rsid w:val="00D51639"/>
    <w:rsid w:val="00D52C34"/>
    <w:rsid w:val="00D52F71"/>
    <w:rsid w:val="00D53AB0"/>
    <w:rsid w:val="00D54EB8"/>
    <w:rsid w:val="00D5654B"/>
    <w:rsid w:val="00D5678D"/>
    <w:rsid w:val="00D567D8"/>
    <w:rsid w:val="00D601E5"/>
    <w:rsid w:val="00D61860"/>
    <w:rsid w:val="00D618EC"/>
    <w:rsid w:val="00D61D6F"/>
    <w:rsid w:val="00D61E6A"/>
    <w:rsid w:val="00D62115"/>
    <w:rsid w:val="00D62A20"/>
    <w:rsid w:val="00D64F47"/>
    <w:rsid w:val="00D7104B"/>
    <w:rsid w:val="00D71D78"/>
    <w:rsid w:val="00D72FF0"/>
    <w:rsid w:val="00D746B7"/>
    <w:rsid w:val="00D755E8"/>
    <w:rsid w:val="00D75E95"/>
    <w:rsid w:val="00D83076"/>
    <w:rsid w:val="00D84000"/>
    <w:rsid w:val="00D84003"/>
    <w:rsid w:val="00D841ED"/>
    <w:rsid w:val="00D84512"/>
    <w:rsid w:val="00D86CDD"/>
    <w:rsid w:val="00D86E35"/>
    <w:rsid w:val="00D876C6"/>
    <w:rsid w:val="00D901B8"/>
    <w:rsid w:val="00D911CB"/>
    <w:rsid w:val="00D9234F"/>
    <w:rsid w:val="00D9405E"/>
    <w:rsid w:val="00D9425C"/>
    <w:rsid w:val="00D949A9"/>
    <w:rsid w:val="00D95CB9"/>
    <w:rsid w:val="00D96832"/>
    <w:rsid w:val="00DA0678"/>
    <w:rsid w:val="00DA1A04"/>
    <w:rsid w:val="00DA45A5"/>
    <w:rsid w:val="00DA4B78"/>
    <w:rsid w:val="00DA5D4B"/>
    <w:rsid w:val="00DA65F1"/>
    <w:rsid w:val="00DA6650"/>
    <w:rsid w:val="00DA69DC"/>
    <w:rsid w:val="00DA6EC7"/>
    <w:rsid w:val="00DB06F8"/>
    <w:rsid w:val="00DB0F6E"/>
    <w:rsid w:val="00DB0FF6"/>
    <w:rsid w:val="00DB13C2"/>
    <w:rsid w:val="00DB1E2D"/>
    <w:rsid w:val="00DB1F08"/>
    <w:rsid w:val="00DB2112"/>
    <w:rsid w:val="00DB266E"/>
    <w:rsid w:val="00DB3647"/>
    <w:rsid w:val="00DB3CBA"/>
    <w:rsid w:val="00DB4056"/>
    <w:rsid w:val="00DB4683"/>
    <w:rsid w:val="00DB509E"/>
    <w:rsid w:val="00DB5515"/>
    <w:rsid w:val="00DB5AEC"/>
    <w:rsid w:val="00DB7959"/>
    <w:rsid w:val="00DC13F9"/>
    <w:rsid w:val="00DC2082"/>
    <w:rsid w:val="00DC22C0"/>
    <w:rsid w:val="00DC3333"/>
    <w:rsid w:val="00DC463F"/>
    <w:rsid w:val="00DC57B4"/>
    <w:rsid w:val="00DC5971"/>
    <w:rsid w:val="00DC624A"/>
    <w:rsid w:val="00DC68E5"/>
    <w:rsid w:val="00DC6DB9"/>
    <w:rsid w:val="00DC7A41"/>
    <w:rsid w:val="00DC7D09"/>
    <w:rsid w:val="00DD033D"/>
    <w:rsid w:val="00DD148B"/>
    <w:rsid w:val="00DD15B1"/>
    <w:rsid w:val="00DD1858"/>
    <w:rsid w:val="00DD2A48"/>
    <w:rsid w:val="00DD3C9E"/>
    <w:rsid w:val="00DD445A"/>
    <w:rsid w:val="00DD49A9"/>
    <w:rsid w:val="00DD58EB"/>
    <w:rsid w:val="00DD6F2C"/>
    <w:rsid w:val="00DD707E"/>
    <w:rsid w:val="00DD7399"/>
    <w:rsid w:val="00DE09FF"/>
    <w:rsid w:val="00DE0A81"/>
    <w:rsid w:val="00DE111B"/>
    <w:rsid w:val="00DE118B"/>
    <w:rsid w:val="00DE12F5"/>
    <w:rsid w:val="00DE1D9A"/>
    <w:rsid w:val="00DE1DC9"/>
    <w:rsid w:val="00DE26A0"/>
    <w:rsid w:val="00DE2878"/>
    <w:rsid w:val="00DE3E97"/>
    <w:rsid w:val="00DE414D"/>
    <w:rsid w:val="00DE6F57"/>
    <w:rsid w:val="00DE7ED1"/>
    <w:rsid w:val="00DE7FC2"/>
    <w:rsid w:val="00DF038D"/>
    <w:rsid w:val="00DF0462"/>
    <w:rsid w:val="00DF16BD"/>
    <w:rsid w:val="00DF2613"/>
    <w:rsid w:val="00DF2AB1"/>
    <w:rsid w:val="00DF2D9F"/>
    <w:rsid w:val="00DF3385"/>
    <w:rsid w:val="00DF7074"/>
    <w:rsid w:val="00E018E2"/>
    <w:rsid w:val="00E01B29"/>
    <w:rsid w:val="00E021F9"/>
    <w:rsid w:val="00E0256B"/>
    <w:rsid w:val="00E037F1"/>
    <w:rsid w:val="00E03BA2"/>
    <w:rsid w:val="00E03CF3"/>
    <w:rsid w:val="00E0412B"/>
    <w:rsid w:val="00E04830"/>
    <w:rsid w:val="00E06ED5"/>
    <w:rsid w:val="00E10F75"/>
    <w:rsid w:val="00E1138B"/>
    <w:rsid w:val="00E131DB"/>
    <w:rsid w:val="00E13CE5"/>
    <w:rsid w:val="00E147DE"/>
    <w:rsid w:val="00E1561A"/>
    <w:rsid w:val="00E156DF"/>
    <w:rsid w:val="00E15D4B"/>
    <w:rsid w:val="00E17510"/>
    <w:rsid w:val="00E2038B"/>
    <w:rsid w:val="00E20679"/>
    <w:rsid w:val="00E233B3"/>
    <w:rsid w:val="00E235F2"/>
    <w:rsid w:val="00E239B5"/>
    <w:rsid w:val="00E253F1"/>
    <w:rsid w:val="00E25BF7"/>
    <w:rsid w:val="00E261E2"/>
    <w:rsid w:val="00E26998"/>
    <w:rsid w:val="00E272B2"/>
    <w:rsid w:val="00E27CEA"/>
    <w:rsid w:val="00E27DF8"/>
    <w:rsid w:val="00E30462"/>
    <w:rsid w:val="00E30613"/>
    <w:rsid w:val="00E3232B"/>
    <w:rsid w:val="00E32487"/>
    <w:rsid w:val="00E32ACB"/>
    <w:rsid w:val="00E33A06"/>
    <w:rsid w:val="00E374EB"/>
    <w:rsid w:val="00E436F7"/>
    <w:rsid w:val="00E475D5"/>
    <w:rsid w:val="00E477DF"/>
    <w:rsid w:val="00E52776"/>
    <w:rsid w:val="00E53B57"/>
    <w:rsid w:val="00E5443C"/>
    <w:rsid w:val="00E57109"/>
    <w:rsid w:val="00E5741E"/>
    <w:rsid w:val="00E57F52"/>
    <w:rsid w:val="00E60DE1"/>
    <w:rsid w:val="00E610DF"/>
    <w:rsid w:val="00E622F0"/>
    <w:rsid w:val="00E63D8A"/>
    <w:rsid w:val="00E64D90"/>
    <w:rsid w:val="00E64DCC"/>
    <w:rsid w:val="00E65C04"/>
    <w:rsid w:val="00E65CA3"/>
    <w:rsid w:val="00E66DCE"/>
    <w:rsid w:val="00E66FC9"/>
    <w:rsid w:val="00E67C24"/>
    <w:rsid w:val="00E70943"/>
    <w:rsid w:val="00E7339A"/>
    <w:rsid w:val="00E73869"/>
    <w:rsid w:val="00E74B19"/>
    <w:rsid w:val="00E761C3"/>
    <w:rsid w:val="00E76548"/>
    <w:rsid w:val="00E779E2"/>
    <w:rsid w:val="00E77C20"/>
    <w:rsid w:val="00E8001D"/>
    <w:rsid w:val="00E8141B"/>
    <w:rsid w:val="00E816D9"/>
    <w:rsid w:val="00E81C80"/>
    <w:rsid w:val="00E81E6A"/>
    <w:rsid w:val="00E82F24"/>
    <w:rsid w:val="00E83AB1"/>
    <w:rsid w:val="00E8501A"/>
    <w:rsid w:val="00E85B65"/>
    <w:rsid w:val="00E85E4F"/>
    <w:rsid w:val="00E86770"/>
    <w:rsid w:val="00E917F5"/>
    <w:rsid w:val="00E91A34"/>
    <w:rsid w:val="00E939D7"/>
    <w:rsid w:val="00E93B6E"/>
    <w:rsid w:val="00E945E8"/>
    <w:rsid w:val="00E94B9A"/>
    <w:rsid w:val="00E94CE5"/>
    <w:rsid w:val="00E954FC"/>
    <w:rsid w:val="00E95CC8"/>
    <w:rsid w:val="00E95DB6"/>
    <w:rsid w:val="00E96588"/>
    <w:rsid w:val="00E965D3"/>
    <w:rsid w:val="00E96A8A"/>
    <w:rsid w:val="00E96D9B"/>
    <w:rsid w:val="00E97292"/>
    <w:rsid w:val="00EA09EB"/>
    <w:rsid w:val="00EA0DB7"/>
    <w:rsid w:val="00EA1C07"/>
    <w:rsid w:val="00EA3840"/>
    <w:rsid w:val="00EA3992"/>
    <w:rsid w:val="00EA3C87"/>
    <w:rsid w:val="00EA51F2"/>
    <w:rsid w:val="00EA622E"/>
    <w:rsid w:val="00EB126E"/>
    <w:rsid w:val="00EB2159"/>
    <w:rsid w:val="00EB244B"/>
    <w:rsid w:val="00EB366D"/>
    <w:rsid w:val="00EB3C0D"/>
    <w:rsid w:val="00EB3E94"/>
    <w:rsid w:val="00EB4C86"/>
    <w:rsid w:val="00EB6EEE"/>
    <w:rsid w:val="00EB773B"/>
    <w:rsid w:val="00EB7A98"/>
    <w:rsid w:val="00EC02F4"/>
    <w:rsid w:val="00EC0739"/>
    <w:rsid w:val="00EC115A"/>
    <w:rsid w:val="00EC1822"/>
    <w:rsid w:val="00EC1C83"/>
    <w:rsid w:val="00EC1E40"/>
    <w:rsid w:val="00EC234E"/>
    <w:rsid w:val="00EC334F"/>
    <w:rsid w:val="00EC3A43"/>
    <w:rsid w:val="00EC3E01"/>
    <w:rsid w:val="00EC7259"/>
    <w:rsid w:val="00ED2439"/>
    <w:rsid w:val="00ED2D24"/>
    <w:rsid w:val="00ED5F7B"/>
    <w:rsid w:val="00ED6D3B"/>
    <w:rsid w:val="00ED7F1B"/>
    <w:rsid w:val="00EE1056"/>
    <w:rsid w:val="00EE1713"/>
    <w:rsid w:val="00EE17F3"/>
    <w:rsid w:val="00EE18D9"/>
    <w:rsid w:val="00EE208C"/>
    <w:rsid w:val="00EE222A"/>
    <w:rsid w:val="00EE312F"/>
    <w:rsid w:val="00EE3411"/>
    <w:rsid w:val="00EE4351"/>
    <w:rsid w:val="00EE4F70"/>
    <w:rsid w:val="00EE5B26"/>
    <w:rsid w:val="00EE618D"/>
    <w:rsid w:val="00EE661A"/>
    <w:rsid w:val="00EE7A31"/>
    <w:rsid w:val="00EE7E04"/>
    <w:rsid w:val="00EE7E9F"/>
    <w:rsid w:val="00EF11BF"/>
    <w:rsid w:val="00EF2D70"/>
    <w:rsid w:val="00EF6258"/>
    <w:rsid w:val="00EF6B63"/>
    <w:rsid w:val="00EF7B61"/>
    <w:rsid w:val="00EF7BB0"/>
    <w:rsid w:val="00F00764"/>
    <w:rsid w:val="00F00905"/>
    <w:rsid w:val="00F01521"/>
    <w:rsid w:val="00F0233B"/>
    <w:rsid w:val="00F0327C"/>
    <w:rsid w:val="00F03800"/>
    <w:rsid w:val="00F05272"/>
    <w:rsid w:val="00F056EE"/>
    <w:rsid w:val="00F06037"/>
    <w:rsid w:val="00F06257"/>
    <w:rsid w:val="00F06600"/>
    <w:rsid w:val="00F06C6E"/>
    <w:rsid w:val="00F109EE"/>
    <w:rsid w:val="00F10B8D"/>
    <w:rsid w:val="00F11438"/>
    <w:rsid w:val="00F1205F"/>
    <w:rsid w:val="00F1465B"/>
    <w:rsid w:val="00F1723F"/>
    <w:rsid w:val="00F17BA7"/>
    <w:rsid w:val="00F17F68"/>
    <w:rsid w:val="00F21957"/>
    <w:rsid w:val="00F2243F"/>
    <w:rsid w:val="00F22726"/>
    <w:rsid w:val="00F22815"/>
    <w:rsid w:val="00F22CB0"/>
    <w:rsid w:val="00F24A9B"/>
    <w:rsid w:val="00F2642B"/>
    <w:rsid w:val="00F26BD5"/>
    <w:rsid w:val="00F3095B"/>
    <w:rsid w:val="00F3187B"/>
    <w:rsid w:val="00F31983"/>
    <w:rsid w:val="00F32D21"/>
    <w:rsid w:val="00F33175"/>
    <w:rsid w:val="00F356AB"/>
    <w:rsid w:val="00F35E94"/>
    <w:rsid w:val="00F36DEF"/>
    <w:rsid w:val="00F37DAC"/>
    <w:rsid w:val="00F4066B"/>
    <w:rsid w:val="00F44003"/>
    <w:rsid w:val="00F443A1"/>
    <w:rsid w:val="00F44F9F"/>
    <w:rsid w:val="00F45210"/>
    <w:rsid w:val="00F472A2"/>
    <w:rsid w:val="00F47D28"/>
    <w:rsid w:val="00F5219A"/>
    <w:rsid w:val="00F522F4"/>
    <w:rsid w:val="00F5238C"/>
    <w:rsid w:val="00F52A5E"/>
    <w:rsid w:val="00F52B8D"/>
    <w:rsid w:val="00F52E18"/>
    <w:rsid w:val="00F54279"/>
    <w:rsid w:val="00F556A3"/>
    <w:rsid w:val="00F55BEB"/>
    <w:rsid w:val="00F55E47"/>
    <w:rsid w:val="00F56447"/>
    <w:rsid w:val="00F5739E"/>
    <w:rsid w:val="00F609EF"/>
    <w:rsid w:val="00F6185F"/>
    <w:rsid w:val="00F62286"/>
    <w:rsid w:val="00F62FBA"/>
    <w:rsid w:val="00F643CA"/>
    <w:rsid w:val="00F65916"/>
    <w:rsid w:val="00F66ECA"/>
    <w:rsid w:val="00F7274D"/>
    <w:rsid w:val="00F72FFB"/>
    <w:rsid w:val="00F73E54"/>
    <w:rsid w:val="00F741B9"/>
    <w:rsid w:val="00F74565"/>
    <w:rsid w:val="00F75BB8"/>
    <w:rsid w:val="00F75DFA"/>
    <w:rsid w:val="00F76823"/>
    <w:rsid w:val="00F778C0"/>
    <w:rsid w:val="00F77CB1"/>
    <w:rsid w:val="00F8032A"/>
    <w:rsid w:val="00F80D3F"/>
    <w:rsid w:val="00F81967"/>
    <w:rsid w:val="00F81A4B"/>
    <w:rsid w:val="00F8206E"/>
    <w:rsid w:val="00F825C3"/>
    <w:rsid w:val="00F82B0B"/>
    <w:rsid w:val="00F83179"/>
    <w:rsid w:val="00F83210"/>
    <w:rsid w:val="00F83796"/>
    <w:rsid w:val="00F83F64"/>
    <w:rsid w:val="00F844F0"/>
    <w:rsid w:val="00F85899"/>
    <w:rsid w:val="00F9117E"/>
    <w:rsid w:val="00F91690"/>
    <w:rsid w:val="00F939C4"/>
    <w:rsid w:val="00F93C45"/>
    <w:rsid w:val="00F93F13"/>
    <w:rsid w:val="00F94F72"/>
    <w:rsid w:val="00F958DD"/>
    <w:rsid w:val="00F96CE8"/>
    <w:rsid w:val="00F97BFA"/>
    <w:rsid w:val="00F97F34"/>
    <w:rsid w:val="00FA0DAF"/>
    <w:rsid w:val="00FA1E9C"/>
    <w:rsid w:val="00FA5FCE"/>
    <w:rsid w:val="00FA643A"/>
    <w:rsid w:val="00FA6495"/>
    <w:rsid w:val="00FA681B"/>
    <w:rsid w:val="00FA781A"/>
    <w:rsid w:val="00FA7D80"/>
    <w:rsid w:val="00FB02E6"/>
    <w:rsid w:val="00FB032A"/>
    <w:rsid w:val="00FB064B"/>
    <w:rsid w:val="00FB0DCF"/>
    <w:rsid w:val="00FB0E3F"/>
    <w:rsid w:val="00FB1324"/>
    <w:rsid w:val="00FB1AFB"/>
    <w:rsid w:val="00FB4B0E"/>
    <w:rsid w:val="00FB4C9D"/>
    <w:rsid w:val="00FB55CC"/>
    <w:rsid w:val="00FB6E16"/>
    <w:rsid w:val="00FB7CE9"/>
    <w:rsid w:val="00FC1E29"/>
    <w:rsid w:val="00FC294D"/>
    <w:rsid w:val="00FC364C"/>
    <w:rsid w:val="00FC3D26"/>
    <w:rsid w:val="00FC42AD"/>
    <w:rsid w:val="00FC446B"/>
    <w:rsid w:val="00FC68C8"/>
    <w:rsid w:val="00FC7282"/>
    <w:rsid w:val="00FD0198"/>
    <w:rsid w:val="00FD143F"/>
    <w:rsid w:val="00FD150E"/>
    <w:rsid w:val="00FD18AE"/>
    <w:rsid w:val="00FD1DD6"/>
    <w:rsid w:val="00FD3D57"/>
    <w:rsid w:val="00FD6DCA"/>
    <w:rsid w:val="00FD6E6B"/>
    <w:rsid w:val="00FD7772"/>
    <w:rsid w:val="00FE0065"/>
    <w:rsid w:val="00FE01FB"/>
    <w:rsid w:val="00FE1468"/>
    <w:rsid w:val="00FE1894"/>
    <w:rsid w:val="00FE243F"/>
    <w:rsid w:val="00FE4E3A"/>
    <w:rsid w:val="00FE65F2"/>
    <w:rsid w:val="00FE6616"/>
    <w:rsid w:val="00FE73C4"/>
    <w:rsid w:val="00FE7A3D"/>
    <w:rsid w:val="00FF0071"/>
    <w:rsid w:val="00FF0103"/>
    <w:rsid w:val="00FF0931"/>
    <w:rsid w:val="00FF13A2"/>
    <w:rsid w:val="00FF359D"/>
    <w:rsid w:val="00FF3902"/>
    <w:rsid w:val="00FF49FA"/>
    <w:rsid w:val="00FF4B7E"/>
    <w:rsid w:val="00FF4E05"/>
    <w:rsid w:val="00FF59F8"/>
    <w:rsid w:val="00FF65CD"/>
    <w:rsid w:val="00FF6E3C"/>
    <w:rsid w:val="00FF7E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21"/>
    <o:shapelayout v:ext="edit">
      <o:idmap v:ext="edit" data="1"/>
    </o:shapelayout>
  </w:shapeDefaults>
  <w:decimalSymbol w:val="."/>
  <w:listSeparator w:val=","/>
  <w15:docId w15:val="{F7E829A6-8DB3-4F54-83BA-DF18268E8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27A"/>
    <w:pPr>
      <w:widowControl w:val="0"/>
      <w:bidi/>
      <w:spacing w:after="0" w:line="216" w:lineRule="auto"/>
      <w:ind w:firstLine="284"/>
      <w:jc w:val="both"/>
    </w:pPr>
    <w:rPr>
      <w:rFonts w:ascii="Times" w:hAnsi="Times" w:cs="Mosawi"/>
      <w:sz w:val="28"/>
      <w:szCs w:val="30"/>
    </w:rPr>
  </w:style>
  <w:style w:type="paragraph" w:styleId="Heading1">
    <w:name w:val="heading 1"/>
    <w:basedOn w:val="Normal"/>
    <w:next w:val="Normal"/>
    <w:link w:val="Heading1Char"/>
    <w:uiPriority w:val="9"/>
    <w:qFormat/>
    <w:rsid w:val="00901E5B"/>
    <w:pPr>
      <w:keepNext/>
      <w:keepLines/>
      <w:spacing w:line="240" w:lineRule="auto"/>
      <w:ind w:firstLine="0"/>
      <w:jc w:val="center"/>
      <w:outlineLvl w:val="0"/>
    </w:pPr>
    <w:rPr>
      <w:rFonts w:eastAsiaTheme="majorEastAsia" w:cs="AL-Mateen"/>
      <w:b/>
      <w:sz w:val="32"/>
      <w:szCs w:val="70"/>
    </w:rPr>
  </w:style>
  <w:style w:type="paragraph" w:styleId="Heading2">
    <w:name w:val="heading 2"/>
    <w:basedOn w:val="Normal"/>
    <w:next w:val="Normal"/>
    <w:link w:val="Heading2Char"/>
    <w:uiPriority w:val="9"/>
    <w:unhideWhenUsed/>
    <w:qFormat/>
    <w:rsid w:val="00EA09EB"/>
    <w:pPr>
      <w:spacing w:before="480" w:after="40" w:line="192" w:lineRule="auto"/>
      <w:ind w:firstLine="0"/>
      <w:contextualSpacing/>
      <w:outlineLvl w:val="1"/>
    </w:pPr>
    <w:rPr>
      <w:rFonts w:eastAsiaTheme="majorEastAsia" w:cs="AL-Mateen"/>
      <w:color w:val="000000" w:themeColor="text1"/>
      <w:szCs w:val="40"/>
    </w:rPr>
  </w:style>
  <w:style w:type="paragraph" w:styleId="Heading3">
    <w:name w:val="heading 3"/>
    <w:basedOn w:val="Normal"/>
    <w:next w:val="Normal"/>
    <w:link w:val="Heading3Char"/>
    <w:uiPriority w:val="9"/>
    <w:unhideWhenUsed/>
    <w:qFormat/>
    <w:rsid w:val="00414928"/>
    <w:pPr>
      <w:spacing w:after="40" w:line="192" w:lineRule="auto"/>
      <w:ind w:firstLine="0"/>
      <w:outlineLvl w:val="2"/>
    </w:pPr>
    <w:rPr>
      <w:rFonts w:eastAsiaTheme="majorEastAsia" w:cs="AL-Mateen"/>
      <w:color w:val="000000" w:themeColor="text1"/>
      <w:szCs w:val="32"/>
    </w:rPr>
  </w:style>
  <w:style w:type="paragraph" w:styleId="Heading4">
    <w:name w:val="heading 4"/>
    <w:basedOn w:val="Normal"/>
    <w:next w:val="Normal"/>
    <w:link w:val="Heading4Char"/>
    <w:uiPriority w:val="9"/>
    <w:unhideWhenUsed/>
    <w:qFormat/>
    <w:rsid w:val="007A340E"/>
    <w:pPr>
      <w:keepNext/>
      <w:keepLines/>
      <w:outlineLvl w:val="3"/>
    </w:pPr>
    <w:rPr>
      <w:rFonts w:asciiTheme="majorHAnsi" w:eastAsiaTheme="majorEastAsia" w:hAnsiTheme="majorHAnsi" w:cs="AL-Mateen"/>
      <w:b/>
      <w:i/>
      <w:color w:val="000000" w:themeColor="text1"/>
    </w:rPr>
  </w:style>
  <w:style w:type="paragraph" w:styleId="Heading5">
    <w:name w:val="heading 5"/>
    <w:basedOn w:val="Normal"/>
    <w:link w:val="Heading5Char"/>
    <w:uiPriority w:val="9"/>
    <w:qFormat/>
    <w:rsid w:val="00712F5B"/>
    <w:pPr>
      <w:widowControl/>
      <w:bidi w:val="0"/>
      <w:spacing w:before="100" w:beforeAutospacing="1" w:after="100" w:afterAutospacing="1" w:line="240" w:lineRule="auto"/>
      <w:ind w:firstLine="0"/>
      <w:jc w:val="left"/>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581B5E"/>
    <w:pPr>
      <w:keepNext/>
      <w:keepLines/>
      <w:spacing w:before="480"/>
      <w:outlineLvl w:val="5"/>
    </w:pPr>
    <w:rPr>
      <w:rFonts w:asciiTheme="minorHAnsi" w:eastAsiaTheme="majorEastAsia" w:hAnsiTheme="minorHAnsi" w:cs="AL-Mateen"/>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E5B"/>
    <w:rPr>
      <w:rFonts w:ascii="Times" w:eastAsiaTheme="majorEastAsia" w:hAnsi="Times" w:cs="AL-Mateen"/>
      <w:b/>
      <w:sz w:val="32"/>
      <w:szCs w:val="70"/>
    </w:rPr>
  </w:style>
  <w:style w:type="character" w:customStyle="1" w:styleId="Heading2Char">
    <w:name w:val="Heading 2 Char"/>
    <w:basedOn w:val="DefaultParagraphFont"/>
    <w:link w:val="Heading2"/>
    <w:uiPriority w:val="9"/>
    <w:rsid w:val="00EA09EB"/>
    <w:rPr>
      <w:rFonts w:ascii="Times" w:eastAsiaTheme="majorEastAsia" w:hAnsi="Times" w:cs="AL-Mateen"/>
      <w:color w:val="000000" w:themeColor="text1"/>
      <w:sz w:val="28"/>
      <w:szCs w:val="40"/>
    </w:rPr>
  </w:style>
  <w:style w:type="character" w:customStyle="1" w:styleId="Heading3Char">
    <w:name w:val="Heading 3 Char"/>
    <w:basedOn w:val="DefaultParagraphFont"/>
    <w:link w:val="Heading3"/>
    <w:uiPriority w:val="9"/>
    <w:rsid w:val="00414928"/>
    <w:rPr>
      <w:rFonts w:ascii="Times" w:eastAsiaTheme="majorEastAsia" w:hAnsi="Times" w:cs="AL-Mateen"/>
      <w:color w:val="000000" w:themeColor="text1"/>
      <w:sz w:val="28"/>
      <w:szCs w:val="32"/>
    </w:rPr>
  </w:style>
  <w:style w:type="character" w:customStyle="1" w:styleId="Heading5Char">
    <w:name w:val="Heading 5 Char"/>
    <w:basedOn w:val="DefaultParagraphFont"/>
    <w:link w:val="Heading5"/>
    <w:uiPriority w:val="9"/>
    <w:rsid w:val="00712F5B"/>
    <w:rPr>
      <w:rFonts w:ascii="Times New Roman" w:eastAsia="Times New Roman" w:hAnsi="Times New Roman" w:cs="Times New Roman"/>
      <w:b/>
      <w:bCs/>
      <w:sz w:val="20"/>
      <w:szCs w:val="20"/>
    </w:rPr>
  </w:style>
  <w:style w:type="paragraph" w:customStyle="1" w:styleId="Author">
    <w:name w:val="Author"/>
    <w:basedOn w:val="Normal"/>
    <w:uiPriority w:val="99"/>
    <w:qFormat/>
    <w:rsid w:val="000A7133"/>
    <w:pPr>
      <w:spacing w:line="192" w:lineRule="auto"/>
      <w:ind w:firstLine="0"/>
      <w:jc w:val="right"/>
    </w:pPr>
    <w:rPr>
      <w:rFonts w:cs="Ya-Ali"/>
      <w:bCs/>
    </w:rPr>
  </w:style>
  <w:style w:type="character" w:styleId="Strong">
    <w:name w:val="Strong"/>
    <w:basedOn w:val="DefaultParagraphFont"/>
    <w:uiPriority w:val="22"/>
    <w:qFormat/>
    <w:rsid w:val="00FB55CC"/>
    <w:rPr>
      <w:rFonts w:ascii="Times" w:hAnsi="Times" w:cs="Mosawi"/>
      <w:b/>
      <w:bCs/>
      <w:i w:val="0"/>
      <w:iCs w:val="0"/>
      <w:sz w:val="24"/>
      <w:szCs w:val="29"/>
    </w:rPr>
  </w:style>
  <w:style w:type="paragraph" w:styleId="Header">
    <w:name w:val="header"/>
    <w:basedOn w:val="Normal"/>
    <w:link w:val="HeaderChar"/>
    <w:uiPriority w:val="99"/>
    <w:unhideWhenUsed/>
    <w:rsid w:val="00E63D8A"/>
    <w:pPr>
      <w:tabs>
        <w:tab w:val="center" w:pos="4680"/>
        <w:tab w:val="right" w:pos="9360"/>
      </w:tabs>
      <w:spacing w:line="240" w:lineRule="auto"/>
    </w:pPr>
  </w:style>
  <w:style w:type="character" w:customStyle="1" w:styleId="HeaderChar">
    <w:name w:val="Header Char"/>
    <w:basedOn w:val="DefaultParagraphFont"/>
    <w:link w:val="Header"/>
    <w:uiPriority w:val="99"/>
    <w:rsid w:val="00E63D8A"/>
    <w:rPr>
      <w:rFonts w:ascii="Times" w:hAnsi="Times" w:cs="Mosawi"/>
      <w:sz w:val="28"/>
      <w:szCs w:val="30"/>
    </w:rPr>
  </w:style>
  <w:style w:type="paragraph" w:styleId="Footer">
    <w:name w:val="footer"/>
    <w:basedOn w:val="Normal"/>
    <w:link w:val="FooterChar"/>
    <w:uiPriority w:val="99"/>
    <w:unhideWhenUsed/>
    <w:rsid w:val="00E63D8A"/>
    <w:pPr>
      <w:tabs>
        <w:tab w:val="center" w:pos="4680"/>
        <w:tab w:val="right" w:pos="9360"/>
      </w:tabs>
      <w:spacing w:line="240" w:lineRule="auto"/>
    </w:pPr>
  </w:style>
  <w:style w:type="character" w:customStyle="1" w:styleId="FooterChar">
    <w:name w:val="Footer Char"/>
    <w:basedOn w:val="DefaultParagraphFont"/>
    <w:link w:val="Footer"/>
    <w:uiPriority w:val="99"/>
    <w:rsid w:val="00E63D8A"/>
    <w:rPr>
      <w:rFonts w:ascii="Times" w:hAnsi="Times" w:cs="Mosawi"/>
      <w:sz w:val="28"/>
      <w:szCs w:val="30"/>
    </w:rPr>
  </w:style>
  <w:style w:type="paragraph" w:customStyle="1" w:styleId="Footnote">
    <w:name w:val="Footnote"/>
    <w:basedOn w:val="FootnoteText"/>
    <w:link w:val="FootnoteChar"/>
    <w:rsid w:val="0016440C"/>
    <w:pPr>
      <w:ind w:left="170" w:hanging="170"/>
    </w:pPr>
    <w:rPr>
      <w:rFonts w:ascii="Times New Roman" w:eastAsia="Times New Roman" w:hAnsi="Times New Roman"/>
      <w:position w:val="4"/>
      <w:sz w:val="24"/>
      <w:lang w:eastAsia="ar-SA"/>
    </w:rPr>
  </w:style>
  <w:style w:type="paragraph" w:styleId="FootnoteText">
    <w:name w:val="footnote text"/>
    <w:basedOn w:val="Normal"/>
    <w:link w:val="FootnoteTextChar"/>
    <w:uiPriority w:val="99"/>
    <w:unhideWhenUsed/>
    <w:rsid w:val="00064619"/>
    <w:pPr>
      <w:spacing w:line="192" w:lineRule="auto"/>
      <w:ind w:left="284" w:hanging="284"/>
    </w:pPr>
    <w:rPr>
      <w:rFonts w:asciiTheme="minorBidi" w:hAnsiTheme="minorBidi"/>
      <w:sz w:val="20"/>
      <w:szCs w:val="26"/>
    </w:rPr>
  </w:style>
  <w:style w:type="character" w:customStyle="1" w:styleId="FootnoteTextChar">
    <w:name w:val="Footnote Text Char"/>
    <w:basedOn w:val="DefaultParagraphFont"/>
    <w:link w:val="FootnoteText"/>
    <w:uiPriority w:val="99"/>
    <w:rsid w:val="00064619"/>
    <w:rPr>
      <w:rFonts w:asciiTheme="minorBidi" w:hAnsiTheme="minorBidi" w:cs="Mosawi"/>
      <w:sz w:val="20"/>
      <w:szCs w:val="26"/>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iPriority w:val="99"/>
    <w:semiHidden/>
    <w:unhideWhenUsed/>
    <w:rsid w:val="0016440C"/>
    <w:pPr>
      <w:spacing w:line="240" w:lineRule="auto"/>
    </w:pPr>
    <w:rPr>
      <w:sz w:val="20"/>
      <w:szCs w:val="20"/>
    </w:rPr>
  </w:style>
  <w:style w:type="character" w:customStyle="1" w:styleId="EndnoteTextChar">
    <w:name w:val="Endnote Text Char"/>
    <w:basedOn w:val="DefaultParagraphFont"/>
    <w:link w:val="EndnoteText"/>
    <w:uiPriority w:val="99"/>
    <w:semiHidden/>
    <w:rsid w:val="0016440C"/>
    <w:rPr>
      <w:rFonts w:ascii="Times" w:hAnsi="Times" w:cs="Mosawi"/>
      <w:sz w:val="20"/>
      <w:szCs w:val="20"/>
    </w:rPr>
  </w:style>
  <w:style w:type="character" w:styleId="FootnoteReference">
    <w:name w:val="footnote reference"/>
    <w:basedOn w:val="DefaultParagraphFont"/>
    <w:uiPriority w:val="99"/>
    <w:semiHidden/>
    <w:unhideWhenUsed/>
    <w:rsid w:val="0016440C"/>
    <w:rPr>
      <w:vertAlign w:val="superscript"/>
    </w:rPr>
  </w:style>
  <w:style w:type="character" w:styleId="EndnoteReference">
    <w:name w:val="endnote reference"/>
    <w:basedOn w:val="DefaultParagraphFont"/>
    <w:semiHidden/>
    <w:unhideWhenUsed/>
    <w:rsid w:val="0016440C"/>
    <w:rPr>
      <w:vertAlign w:val="superscript"/>
    </w:rPr>
  </w:style>
  <w:style w:type="table" w:styleId="TableGrid">
    <w:name w:val="Table Grid"/>
    <w:basedOn w:val="TableNormal"/>
    <w:rsid w:val="00AF0C86"/>
    <w:pPr>
      <w:spacing w:after="0"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after="0"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uiPriority w:val="99"/>
    <w:qFormat/>
    <w:rsid w:val="00CF2FEC"/>
    <w:pPr>
      <w:spacing w:line="192" w:lineRule="auto"/>
    </w:pPr>
    <w:rPr>
      <w:sz w:val="26"/>
      <w:szCs w:val="26"/>
    </w:rPr>
  </w:style>
  <w:style w:type="paragraph" w:styleId="ListParagraph">
    <w:name w:val="List Paragraph"/>
    <w:basedOn w:val="Normal"/>
    <w:uiPriority w:val="34"/>
    <w:qFormat/>
    <w:rsid w:val="00675919"/>
    <w:pPr>
      <w:ind w:left="720"/>
      <w:contextualSpacing/>
    </w:pPr>
  </w:style>
  <w:style w:type="paragraph" w:customStyle="1" w:styleId="Space1">
    <w:name w:val="Space1"/>
    <w:basedOn w:val="Normal"/>
    <w:uiPriority w:val="99"/>
    <w:qFormat/>
    <w:rsid w:val="006E6664"/>
    <w:pPr>
      <w:spacing w:line="204" w:lineRule="auto"/>
    </w:pPr>
  </w:style>
  <w:style w:type="paragraph" w:customStyle="1" w:styleId="Space2">
    <w:name w:val="Space2"/>
    <w:basedOn w:val="Space1"/>
    <w:uiPriority w:val="99"/>
    <w:qFormat/>
    <w:rsid w:val="006E6664"/>
    <w:pPr>
      <w:spacing w:line="209" w:lineRule="auto"/>
    </w:pPr>
  </w:style>
  <w:style w:type="paragraph" w:customStyle="1" w:styleId="Space3">
    <w:name w:val="Space3"/>
    <w:basedOn w:val="Normal"/>
    <w:uiPriority w:val="99"/>
    <w:qFormat/>
    <w:rsid w:val="006E6664"/>
    <w:pPr>
      <w:spacing w:line="221" w:lineRule="auto"/>
    </w:pPr>
  </w:style>
  <w:style w:type="paragraph" w:customStyle="1" w:styleId="a">
    <w:name w:val="اصلى"/>
    <w:uiPriority w:val="99"/>
    <w:rsid w:val="00EB3C0D"/>
    <w:pPr>
      <w:autoSpaceDE w:val="0"/>
      <w:autoSpaceDN w:val="0"/>
      <w:bidi/>
      <w:spacing w:after="0" w:line="399" w:lineRule="atLeast"/>
      <w:jc w:val="both"/>
    </w:pPr>
    <w:rPr>
      <w:rFonts w:ascii="Times New Roman" w:eastAsia="Times New Roman" w:hAnsi="Times New Roman" w:cs="Times New Roman"/>
      <w:sz w:val="24"/>
      <w:szCs w:val="30"/>
    </w:rPr>
  </w:style>
  <w:style w:type="paragraph" w:customStyle="1" w:styleId="a0">
    <w:name w:val="الشعر"/>
    <w:basedOn w:val="a"/>
    <w:uiPriority w:val="99"/>
    <w:qFormat/>
    <w:rsid w:val="00EB3C0D"/>
    <w:pPr>
      <w:widowControl w:val="0"/>
      <w:adjustRightInd w:val="0"/>
      <w:spacing w:line="240" w:lineRule="auto"/>
      <w:jc w:val="mediumKashida"/>
    </w:pPr>
    <w:rPr>
      <w:rFonts w:cs="Mosawi"/>
      <w:sz w:val="32"/>
      <w:szCs w:val="32"/>
    </w:rPr>
  </w:style>
  <w:style w:type="character" w:customStyle="1" w:styleId="Char">
    <w:name w:val="تذييل صفحة Char"/>
    <w:uiPriority w:val="99"/>
    <w:rsid w:val="00EB3C0D"/>
    <w:rPr>
      <w:rFonts w:cs="Mosawi"/>
      <w:sz w:val="22"/>
      <w:szCs w:val="30"/>
    </w:rPr>
  </w:style>
  <w:style w:type="character" w:customStyle="1" w:styleId="BalloonTextChar">
    <w:name w:val="Balloon Text Char"/>
    <w:basedOn w:val="DefaultParagraphFont"/>
    <w:link w:val="BalloonText"/>
    <w:uiPriority w:val="99"/>
    <w:rsid w:val="00EB3C0D"/>
    <w:rPr>
      <w:rFonts w:ascii="Tahoma" w:eastAsia="Calibri" w:hAnsi="Tahoma" w:cs="Tahoma"/>
      <w:sz w:val="16"/>
      <w:szCs w:val="16"/>
    </w:rPr>
  </w:style>
  <w:style w:type="paragraph" w:styleId="BalloonText">
    <w:name w:val="Balloon Text"/>
    <w:basedOn w:val="Normal"/>
    <w:link w:val="BalloonTextChar"/>
    <w:uiPriority w:val="99"/>
    <w:unhideWhenUsed/>
    <w:rsid w:val="00EB3C0D"/>
    <w:pPr>
      <w:spacing w:line="240" w:lineRule="auto"/>
      <w:jc w:val="lowKashida"/>
    </w:pPr>
    <w:rPr>
      <w:rFonts w:ascii="Tahoma" w:eastAsia="Calibri" w:hAnsi="Tahoma" w:cs="Tahoma"/>
      <w:sz w:val="16"/>
      <w:szCs w:val="16"/>
    </w:rPr>
  </w:style>
  <w:style w:type="paragraph" w:styleId="Caption">
    <w:name w:val="caption"/>
    <w:basedOn w:val="Normal"/>
    <w:next w:val="Normal"/>
    <w:uiPriority w:val="35"/>
    <w:unhideWhenUsed/>
    <w:qFormat/>
    <w:rsid w:val="00EB3C0D"/>
    <w:pPr>
      <w:spacing w:line="240" w:lineRule="auto"/>
      <w:jc w:val="lowKashida"/>
    </w:pPr>
    <w:rPr>
      <w:rFonts w:ascii="Calibri" w:eastAsia="Calibri" w:hAnsi="Calibri"/>
      <w:b/>
      <w:bCs/>
      <w:sz w:val="20"/>
      <w:szCs w:val="20"/>
    </w:rPr>
  </w:style>
  <w:style w:type="paragraph" w:styleId="ListBullet">
    <w:name w:val="List Bullet"/>
    <w:basedOn w:val="Normal"/>
    <w:uiPriority w:val="99"/>
    <w:unhideWhenUsed/>
    <w:rsid w:val="00885892"/>
    <w:pPr>
      <w:tabs>
        <w:tab w:val="num" w:pos="360"/>
      </w:tabs>
      <w:spacing w:line="240" w:lineRule="auto"/>
      <w:ind w:left="360" w:hanging="360"/>
      <w:contextualSpacing/>
      <w:jc w:val="lowKashida"/>
    </w:pPr>
    <w:rPr>
      <w:rFonts w:ascii="Calibri" w:eastAsia="Calibri" w:hAnsi="Calibri"/>
      <w:sz w:val="22"/>
    </w:rPr>
  </w:style>
  <w:style w:type="paragraph" w:styleId="TOC3">
    <w:name w:val="toc 3"/>
    <w:basedOn w:val="Normal"/>
    <w:next w:val="Normal"/>
    <w:autoRedefine/>
    <w:uiPriority w:val="39"/>
    <w:unhideWhenUsed/>
    <w:rsid w:val="00DE118B"/>
    <w:pPr>
      <w:bidi w:val="0"/>
      <w:ind w:left="280"/>
      <w:jc w:val="left"/>
    </w:pPr>
    <w:rPr>
      <w:rFonts w:asciiTheme="minorHAnsi" w:hAnsiTheme="minorHAnsi" w:cs="Times New Roman"/>
      <w:sz w:val="20"/>
      <w:szCs w:val="24"/>
    </w:rPr>
  </w:style>
  <w:style w:type="character" w:styleId="Hyperlink">
    <w:name w:val="Hyperlink"/>
    <w:basedOn w:val="DefaultParagraphFont"/>
    <w:uiPriority w:val="99"/>
    <w:unhideWhenUsed/>
    <w:rsid w:val="00053E65"/>
    <w:rPr>
      <w:color w:val="0000FF" w:themeColor="hyperlink"/>
      <w:u w:val="single"/>
    </w:rPr>
  </w:style>
  <w:style w:type="character" w:styleId="CommentReference">
    <w:name w:val="annotation reference"/>
    <w:basedOn w:val="DefaultParagraphFont"/>
    <w:uiPriority w:val="99"/>
    <w:semiHidden/>
    <w:unhideWhenUsed/>
    <w:rsid w:val="00B35DBA"/>
    <w:rPr>
      <w:sz w:val="16"/>
      <w:szCs w:val="16"/>
    </w:rPr>
  </w:style>
  <w:style w:type="paragraph" w:styleId="CommentText">
    <w:name w:val="annotation text"/>
    <w:basedOn w:val="Normal"/>
    <w:link w:val="CommentTextChar"/>
    <w:uiPriority w:val="99"/>
    <w:semiHidden/>
    <w:unhideWhenUsed/>
    <w:rsid w:val="00B35DBA"/>
    <w:pPr>
      <w:spacing w:line="240" w:lineRule="auto"/>
    </w:pPr>
    <w:rPr>
      <w:sz w:val="20"/>
      <w:szCs w:val="20"/>
    </w:rPr>
  </w:style>
  <w:style w:type="character" w:customStyle="1" w:styleId="CommentTextChar">
    <w:name w:val="Comment Text Char"/>
    <w:basedOn w:val="DefaultParagraphFont"/>
    <w:link w:val="CommentText"/>
    <w:uiPriority w:val="99"/>
    <w:semiHidden/>
    <w:rsid w:val="00B35DBA"/>
    <w:rPr>
      <w:rFonts w:ascii="Times" w:hAnsi="Times" w:cs="Mosawi"/>
      <w:sz w:val="20"/>
      <w:szCs w:val="20"/>
    </w:rPr>
  </w:style>
  <w:style w:type="paragraph" w:styleId="CommentSubject">
    <w:name w:val="annotation subject"/>
    <w:basedOn w:val="CommentText"/>
    <w:next w:val="CommentText"/>
    <w:link w:val="CommentSubjectChar"/>
    <w:uiPriority w:val="99"/>
    <w:semiHidden/>
    <w:unhideWhenUsed/>
    <w:rsid w:val="00B35DBA"/>
    <w:rPr>
      <w:b/>
      <w:bCs/>
    </w:rPr>
  </w:style>
  <w:style w:type="character" w:customStyle="1" w:styleId="CommentSubjectChar">
    <w:name w:val="Comment Subject Char"/>
    <w:basedOn w:val="CommentTextChar"/>
    <w:link w:val="CommentSubject"/>
    <w:uiPriority w:val="99"/>
    <w:semiHidden/>
    <w:rsid w:val="00B35DBA"/>
    <w:rPr>
      <w:rFonts w:ascii="Times" w:hAnsi="Times" w:cs="Mosawi"/>
      <w:b/>
      <w:bCs/>
      <w:sz w:val="20"/>
      <w:szCs w:val="20"/>
    </w:rPr>
  </w:style>
  <w:style w:type="paragraph" w:styleId="Revision">
    <w:name w:val="Revision"/>
    <w:hidden/>
    <w:uiPriority w:val="99"/>
    <w:semiHidden/>
    <w:rsid w:val="005E4898"/>
    <w:pPr>
      <w:spacing w:after="0" w:line="240" w:lineRule="auto"/>
    </w:pPr>
    <w:rPr>
      <w:rFonts w:ascii="Times" w:hAnsi="Times" w:cs="Mosawi"/>
      <w:sz w:val="28"/>
      <w:szCs w:val="30"/>
    </w:rPr>
  </w:style>
  <w:style w:type="paragraph" w:styleId="NormalWeb">
    <w:name w:val="Normal (Web)"/>
    <w:basedOn w:val="Normal"/>
    <w:uiPriority w:val="99"/>
    <w:unhideWhenUsed/>
    <w:rsid w:val="003A531A"/>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Question">
    <w:name w:val="Question"/>
    <w:basedOn w:val="Normal"/>
    <w:uiPriority w:val="99"/>
    <w:qFormat/>
    <w:rsid w:val="004A1896"/>
    <w:pPr>
      <w:ind w:firstLine="0"/>
    </w:pPr>
    <w:rPr>
      <w:rFonts w:ascii="Arial" w:hAnsi="Arial"/>
      <w:bCs/>
      <w:color w:val="000000"/>
      <w:sz w:val="26"/>
    </w:rPr>
  </w:style>
  <w:style w:type="character" w:customStyle="1" w:styleId="apple-converted-space">
    <w:name w:val="apple-converted-space"/>
    <w:basedOn w:val="DefaultParagraphFont"/>
    <w:rsid w:val="00BE1D90"/>
  </w:style>
  <w:style w:type="paragraph" w:styleId="TOC1">
    <w:name w:val="toc 1"/>
    <w:basedOn w:val="Normal"/>
    <w:next w:val="Normal"/>
    <w:uiPriority w:val="39"/>
    <w:unhideWhenUsed/>
    <w:rsid w:val="0064415C"/>
    <w:pPr>
      <w:bidi w:val="0"/>
      <w:spacing w:before="360"/>
      <w:jc w:val="center"/>
    </w:pPr>
    <w:rPr>
      <w:rFonts w:asciiTheme="majorHAnsi" w:hAnsiTheme="majorHAnsi" w:cs="Ya-Ali"/>
      <w:b/>
      <w:caps/>
      <w:sz w:val="24"/>
      <w:szCs w:val="34"/>
    </w:rPr>
  </w:style>
  <w:style w:type="paragraph" w:styleId="TOC2">
    <w:name w:val="toc 2"/>
    <w:basedOn w:val="Normal"/>
    <w:next w:val="Normal"/>
    <w:autoRedefine/>
    <w:uiPriority w:val="39"/>
    <w:unhideWhenUsed/>
    <w:rsid w:val="0064415C"/>
    <w:pPr>
      <w:tabs>
        <w:tab w:val="right" w:leader="dot" w:pos="6793"/>
      </w:tabs>
      <w:ind w:firstLine="0"/>
    </w:pPr>
    <w:rPr>
      <w:rFonts w:asciiTheme="minorHAnsi" w:hAnsiTheme="minorHAnsi"/>
      <w:b/>
      <w:noProof/>
      <w:sz w:val="20"/>
      <w:lang w:bidi="ar-LB"/>
    </w:rPr>
  </w:style>
  <w:style w:type="character" w:customStyle="1" w:styleId="usercontent">
    <w:name w:val="usercontent"/>
    <w:basedOn w:val="DefaultParagraphFont"/>
    <w:rsid w:val="00712F5B"/>
  </w:style>
  <w:style w:type="character" w:customStyle="1" w:styleId="textexposedshow">
    <w:name w:val="text_exposed_show"/>
    <w:basedOn w:val="DefaultParagraphFont"/>
    <w:rsid w:val="00712F5B"/>
  </w:style>
  <w:style w:type="character" w:customStyle="1" w:styleId="uficommentbody">
    <w:name w:val="uficommentbody"/>
    <w:basedOn w:val="DefaultParagraphFont"/>
    <w:rsid w:val="00712F5B"/>
  </w:style>
  <w:style w:type="character" w:styleId="Emphasis">
    <w:name w:val="Emphasis"/>
    <w:basedOn w:val="DefaultParagraphFont"/>
    <w:uiPriority w:val="20"/>
    <w:qFormat/>
    <w:rsid w:val="00F00905"/>
    <w:rPr>
      <w:i/>
      <w:iCs/>
    </w:rPr>
  </w:style>
  <w:style w:type="paragraph" w:styleId="TOC4">
    <w:name w:val="toc 4"/>
    <w:basedOn w:val="Normal"/>
    <w:next w:val="Normal"/>
    <w:autoRedefine/>
    <w:uiPriority w:val="39"/>
    <w:unhideWhenUsed/>
    <w:rsid w:val="00581B5E"/>
    <w:pPr>
      <w:bidi w:val="0"/>
      <w:ind w:left="560"/>
      <w:jc w:val="left"/>
    </w:pPr>
    <w:rPr>
      <w:rFonts w:asciiTheme="minorHAnsi" w:hAnsiTheme="minorHAnsi" w:cs="Times New Roman"/>
      <w:sz w:val="20"/>
      <w:szCs w:val="24"/>
    </w:rPr>
  </w:style>
  <w:style w:type="character" w:customStyle="1" w:styleId="Heading6Char">
    <w:name w:val="Heading 6 Char"/>
    <w:basedOn w:val="DefaultParagraphFont"/>
    <w:link w:val="Heading6"/>
    <w:uiPriority w:val="9"/>
    <w:semiHidden/>
    <w:rsid w:val="00581B5E"/>
    <w:rPr>
      <w:rFonts w:eastAsiaTheme="majorEastAsia" w:cs="AL-Mateen"/>
      <w:color w:val="000000" w:themeColor="text1"/>
      <w:sz w:val="24"/>
      <w:szCs w:val="24"/>
    </w:rPr>
  </w:style>
  <w:style w:type="character" w:customStyle="1" w:styleId="Heading4Char">
    <w:name w:val="Heading 4 Char"/>
    <w:basedOn w:val="DefaultParagraphFont"/>
    <w:link w:val="Heading4"/>
    <w:uiPriority w:val="9"/>
    <w:rsid w:val="007A340E"/>
    <w:rPr>
      <w:rFonts w:asciiTheme="majorHAnsi" w:eastAsiaTheme="majorEastAsia" w:hAnsiTheme="majorHAnsi" w:cs="AL-Mateen"/>
      <w:b/>
      <w:i/>
      <w:color w:val="000000" w:themeColor="text1"/>
      <w:sz w:val="28"/>
      <w:szCs w:val="30"/>
    </w:rPr>
  </w:style>
  <w:style w:type="paragraph" w:styleId="NoSpacing">
    <w:name w:val="No Spacing"/>
    <w:uiPriority w:val="1"/>
    <w:qFormat/>
    <w:rsid w:val="00581B5E"/>
    <w:pPr>
      <w:bidi/>
      <w:spacing w:after="0" w:line="240" w:lineRule="auto"/>
      <w:ind w:firstLine="284"/>
      <w:jc w:val="both"/>
    </w:pPr>
    <w:rPr>
      <w:rFonts w:asciiTheme="majorBidi" w:eastAsiaTheme="minorHAnsi" w:hAnsiTheme="majorBidi" w:cs="Mosawi"/>
      <w:sz w:val="28"/>
      <w:szCs w:val="32"/>
    </w:rPr>
  </w:style>
  <w:style w:type="paragraph" w:styleId="Title">
    <w:name w:val="Title"/>
    <w:aliases w:val="Author Name"/>
    <w:basedOn w:val="Normal"/>
    <w:next w:val="Normal"/>
    <w:link w:val="TitleChar"/>
    <w:uiPriority w:val="10"/>
    <w:qFormat/>
    <w:rsid w:val="00581B5E"/>
    <w:pPr>
      <w:spacing w:line="240" w:lineRule="auto"/>
      <w:contextualSpacing/>
      <w:jc w:val="right"/>
    </w:pPr>
    <w:rPr>
      <w:rFonts w:asciiTheme="majorHAnsi" w:eastAsiaTheme="majorEastAsia" w:hAnsiTheme="majorHAnsi" w:cs="2  Elham"/>
      <w:color w:val="000000" w:themeColor="text1"/>
      <w:spacing w:val="5"/>
      <w:kern w:val="28"/>
      <w:sz w:val="52"/>
    </w:rPr>
  </w:style>
  <w:style w:type="character" w:customStyle="1" w:styleId="TitleChar">
    <w:name w:val="Title Char"/>
    <w:aliases w:val="Author Name Char"/>
    <w:basedOn w:val="DefaultParagraphFont"/>
    <w:link w:val="Title"/>
    <w:uiPriority w:val="10"/>
    <w:rsid w:val="00581B5E"/>
    <w:rPr>
      <w:rFonts w:asciiTheme="majorHAnsi" w:eastAsiaTheme="majorEastAsia" w:hAnsiTheme="majorHAnsi" w:cs="2  Elham"/>
      <w:color w:val="000000" w:themeColor="text1"/>
      <w:spacing w:val="5"/>
      <w:kern w:val="28"/>
      <w:sz w:val="52"/>
      <w:szCs w:val="30"/>
    </w:rPr>
  </w:style>
  <w:style w:type="paragraph" w:customStyle="1" w:styleId="sher">
    <w:name w:val="sher"/>
    <w:basedOn w:val="Normal"/>
    <w:uiPriority w:val="99"/>
    <w:qFormat/>
    <w:rsid w:val="00581B5E"/>
    <w:pPr>
      <w:jc w:val="lowKashida"/>
    </w:pPr>
    <w:rPr>
      <w:rFonts w:ascii="Taher" w:eastAsiaTheme="minorHAnsi" w:hAnsi="Taher" w:cs="Taher"/>
      <w:b/>
      <w:bCs/>
      <w:sz w:val="22"/>
      <w:szCs w:val="28"/>
    </w:rPr>
  </w:style>
  <w:style w:type="character" w:styleId="PageNumber">
    <w:name w:val="page number"/>
    <w:basedOn w:val="DefaultParagraphFont"/>
    <w:rsid w:val="00581B5E"/>
  </w:style>
  <w:style w:type="paragraph" w:styleId="PlainText">
    <w:name w:val="Plain Text"/>
    <w:basedOn w:val="Normal"/>
    <w:link w:val="PlainTextChar"/>
    <w:uiPriority w:val="99"/>
    <w:unhideWhenUsed/>
    <w:rsid w:val="00581B5E"/>
    <w:pPr>
      <w:spacing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581B5E"/>
    <w:rPr>
      <w:rFonts w:ascii="Consolas" w:eastAsiaTheme="minorHAnsi" w:hAnsi="Consolas" w:cs="Mosawi"/>
      <w:sz w:val="21"/>
      <w:szCs w:val="21"/>
    </w:rPr>
  </w:style>
  <w:style w:type="numbering" w:customStyle="1" w:styleId="NoList1">
    <w:name w:val="No List1"/>
    <w:next w:val="NoList"/>
    <w:uiPriority w:val="99"/>
    <w:semiHidden/>
    <w:unhideWhenUsed/>
    <w:rsid w:val="00581B5E"/>
  </w:style>
  <w:style w:type="character" w:customStyle="1" w:styleId="Hyperlink1">
    <w:name w:val="Hyperlink1"/>
    <w:basedOn w:val="DefaultParagraphFont"/>
    <w:uiPriority w:val="99"/>
    <w:unhideWhenUsed/>
    <w:rsid w:val="00581B5E"/>
    <w:rPr>
      <w:color w:val="0000FF"/>
      <w:u w:val="single"/>
    </w:rPr>
  </w:style>
  <w:style w:type="character" w:customStyle="1" w:styleId="FootnoteTextChar1">
    <w:name w:val="Footnote Text Char1"/>
    <w:basedOn w:val="DefaultParagraphFont"/>
    <w:uiPriority w:val="99"/>
    <w:rsid w:val="00581B5E"/>
    <w:rPr>
      <w:rFonts w:ascii="Calibri" w:eastAsia="Calibri" w:hAnsi="Calibri" w:cs="Mosawi"/>
      <w:sz w:val="20"/>
      <w:szCs w:val="26"/>
      <w:lang w:bidi="fa-IR"/>
    </w:rPr>
  </w:style>
  <w:style w:type="paragraph" w:customStyle="1" w:styleId="TOC41">
    <w:name w:val="TOC 41"/>
    <w:basedOn w:val="Normal"/>
    <w:next w:val="Normal"/>
    <w:autoRedefine/>
    <w:uiPriority w:val="39"/>
    <w:unhideWhenUsed/>
    <w:rsid w:val="00581B5E"/>
    <w:pPr>
      <w:widowControl/>
      <w:bidi w:val="0"/>
      <w:spacing w:after="100"/>
      <w:ind w:left="660"/>
    </w:pPr>
    <w:rPr>
      <w:rFonts w:asciiTheme="minorHAnsi" w:eastAsia="Times New Roman" w:hAnsiTheme="minorHAnsi"/>
      <w:sz w:val="22"/>
    </w:rPr>
  </w:style>
  <w:style w:type="paragraph" w:customStyle="1" w:styleId="TOC51">
    <w:name w:val="TOC 51"/>
    <w:basedOn w:val="Normal"/>
    <w:next w:val="Normal"/>
    <w:autoRedefine/>
    <w:uiPriority w:val="39"/>
    <w:unhideWhenUsed/>
    <w:rsid w:val="00581B5E"/>
    <w:pPr>
      <w:widowControl/>
      <w:bidi w:val="0"/>
      <w:spacing w:after="100"/>
      <w:ind w:left="880"/>
    </w:pPr>
    <w:rPr>
      <w:rFonts w:asciiTheme="minorHAnsi" w:eastAsia="Times New Roman" w:hAnsiTheme="minorHAnsi"/>
      <w:sz w:val="22"/>
    </w:rPr>
  </w:style>
  <w:style w:type="paragraph" w:customStyle="1" w:styleId="TOC61">
    <w:name w:val="TOC 61"/>
    <w:basedOn w:val="Normal"/>
    <w:next w:val="Normal"/>
    <w:autoRedefine/>
    <w:uiPriority w:val="39"/>
    <w:unhideWhenUsed/>
    <w:rsid w:val="00581B5E"/>
    <w:pPr>
      <w:widowControl/>
      <w:bidi w:val="0"/>
      <w:spacing w:after="100"/>
      <w:ind w:left="1100"/>
    </w:pPr>
    <w:rPr>
      <w:rFonts w:asciiTheme="minorHAnsi" w:eastAsia="Times New Roman" w:hAnsiTheme="minorHAnsi"/>
      <w:sz w:val="22"/>
    </w:rPr>
  </w:style>
  <w:style w:type="paragraph" w:customStyle="1" w:styleId="TOC71">
    <w:name w:val="TOC 71"/>
    <w:basedOn w:val="Normal"/>
    <w:next w:val="Normal"/>
    <w:autoRedefine/>
    <w:uiPriority w:val="39"/>
    <w:unhideWhenUsed/>
    <w:rsid w:val="00581B5E"/>
    <w:pPr>
      <w:widowControl/>
      <w:bidi w:val="0"/>
      <w:spacing w:after="100"/>
      <w:ind w:left="1320"/>
    </w:pPr>
    <w:rPr>
      <w:rFonts w:asciiTheme="minorHAnsi" w:eastAsia="Times New Roman" w:hAnsiTheme="minorHAnsi"/>
      <w:sz w:val="22"/>
    </w:rPr>
  </w:style>
  <w:style w:type="paragraph" w:customStyle="1" w:styleId="TOC81">
    <w:name w:val="TOC 81"/>
    <w:basedOn w:val="Normal"/>
    <w:next w:val="Normal"/>
    <w:autoRedefine/>
    <w:uiPriority w:val="39"/>
    <w:unhideWhenUsed/>
    <w:rsid w:val="00581B5E"/>
    <w:pPr>
      <w:widowControl/>
      <w:bidi w:val="0"/>
      <w:spacing w:after="100"/>
      <w:ind w:left="1540"/>
    </w:pPr>
    <w:rPr>
      <w:rFonts w:asciiTheme="minorHAnsi" w:eastAsia="Times New Roman" w:hAnsiTheme="minorHAnsi"/>
      <w:sz w:val="22"/>
    </w:rPr>
  </w:style>
  <w:style w:type="paragraph" w:customStyle="1" w:styleId="TOC91">
    <w:name w:val="TOC 91"/>
    <w:basedOn w:val="Normal"/>
    <w:next w:val="Normal"/>
    <w:autoRedefine/>
    <w:uiPriority w:val="39"/>
    <w:unhideWhenUsed/>
    <w:rsid w:val="00581B5E"/>
    <w:pPr>
      <w:widowControl/>
      <w:bidi w:val="0"/>
      <w:spacing w:after="100"/>
      <w:ind w:left="1760"/>
    </w:pPr>
    <w:rPr>
      <w:rFonts w:asciiTheme="minorHAnsi" w:eastAsia="Times New Roman" w:hAnsiTheme="minorHAnsi"/>
      <w:sz w:val="22"/>
    </w:rPr>
  </w:style>
  <w:style w:type="table" w:styleId="LightShading-Accent3">
    <w:name w:val="Light Shading Accent 3"/>
    <w:basedOn w:val="TableNormal"/>
    <w:uiPriority w:val="60"/>
    <w:rsid w:val="00581B5E"/>
    <w:pPr>
      <w:spacing w:after="0" w:line="240" w:lineRule="auto"/>
    </w:pPr>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Heading1-1">
    <w:name w:val="Heading 1-1"/>
    <w:basedOn w:val="Heading1"/>
    <w:uiPriority w:val="99"/>
    <w:qFormat/>
    <w:rsid w:val="00581B5E"/>
    <w:rPr>
      <w:rFonts w:asciiTheme="majorHAnsi" w:eastAsia="Times New Roman" w:hAnsiTheme="majorHAnsi"/>
      <w:sz w:val="36"/>
      <w:szCs w:val="50"/>
    </w:rPr>
  </w:style>
  <w:style w:type="paragraph" w:customStyle="1" w:styleId="Heading1-2">
    <w:name w:val="Heading 1-2"/>
    <w:basedOn w:val="Heading1-1"/>
    <w:uiPriority w:val="99"/>
    <w:qFormat/>
    <w:rsid w:val="00581B5E"/>
    <w:rPr>
      <w:szCs w:val="40"/>
    </w:rPr>
  </w:style>
  <w:style w:type="paragraph" w:styleId="TOC5">
    <w:name w:val="toc 5"/>
    <w:basedOn w:val="Normal"/>
    <w:next w:val="Normal"/>
    <w:autoRedefine/>
    <w:uiPriority w:val="39"/>
    <w:unhideWhenUsed/>
    <w:rsid w:val="00581B5E"/>
    <w:pPr>
      <w:bidi w:val="0"/>
      <w:ind w:left="840"/>
      <w:jc w:val="left"/>
    </w:pPr>
    <w:rPr>
      <w:rFonts w:asciiTheme="minorHAnsi" w:hAnsiTheme="minorHAnsi" w:cs="Times New Roman"/>
      <w:sz w:val="20"/>
      <w:szCs w:val="24"/>
    </w:rPr>
  </w:style>
  <w:style w:type="paragraph" w:styleId="TOC6">
    <w:name w:val="toc 6"/>
    <w:basedOn w:val="Normal"/>
    <w:next w:val="Normal"/>
    <w:autoRedefine/>
    <w:uiPriority w:val="39"/>
    <w:unhideWhenUsed/>
    <w:rsid w:val="00581B5E"/>
    <w:pPr>
      <w:bidi w:val="0"/>
      <w:ind w:left="112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581B5E"/>
    <w:pPr>
      <w:bidi w:val="0"/>
      <w:ind w:left="14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581B5E"/>
    <w:pPr>
      <w:bidi w:val="0"/>
      <w:ind w:left="168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581B5E"/>
    <w:pPr>
      <w:bidi w:val="0"/>
      <w:ind w:left="1960"/>
      <w:jc w:val="left"/>
    </w:pPr>
    <w:rPr>
      <w:rFonts w:asciiTheme="minorHAnsi" w:hAnsiTheme="minorHAnsi" w:cs="Times New Roman"/>
      <w:sz w:val="20"/>
      <w:szCs w:val="24"/>
    </w:rPr>
  </w:style>
  <w:style w:type="character" w:styleId="FollowedHyperlink">
    <w:name w:val="FollowedHyperlink"/>
    <w:basedOn w:val="DefaultParagraphFont"/>
    <w:uiPriority w:val="99"/>
    <w:semiHidden/>
    <w:unhideWhenUsed/>
    <w:rsid w:val="00581B5E"/>
    <w:rPr>
      <w:color w:val="800080" w:themeColor="followedHyperlink"/>
      <w:u w:val="single"/>
    </w:rPr>
  </w:style>
  <w:style w:type="character" w:customStyle="1" w:styleId="apple-style-span">
    <w:name w:val="apple-style-span"/>
    <w:rsid w:val="00EA09EB"/>
  </w:style>
  <w:style w:type="paragraph" w:customStyle="1" w:styleId="Normal87">
    <w:name w:val="Normal8.7"/>
    <w:basedOn w:val="Normal"/>
    <w:uiPriority w:val="99"/>
    <w:qFormat/>
    <w:rsid w:val="00A97582"/>
    <w:pPr>
      <w:spacing w:line="209" w:lineRule="auto"/>
    </w:pPr>
    <w:rPr>
      <w:lang w:bidi="ar-LB"/>
    </w:rPr>
  </w:style>
  <w:style w:type="paragraph" w:customStyle="1" w:styleId="Normal84">
    <w:name w:val="Normal8.4"/>
    <w:basedOn w:val="Normal87"/>
    <w:uiPriority w:val="99"/>
    <w:qFormat/>
    <w:rsid w:val="00A97582"/>
    <w:pPr>
      <w:spacing w:line="202" w:lineRule="auto"/>
    </w:pPr>
  </w:style>
  <w:style w:type="paragraph" w:customStyle="1" w:styleId="Normal93">
    <w:name w:val="Normal9.3"/>
    <w:basedOn w:val="Normal84"/>
    <w:uiPriority w:val="99"/>
    <w:qFormat/>
    <w:rsid w:val="00A97582"/>
    <w:pPr>
      <w:spacing w:line="223" w:lineRule="auto"/>
    </w:pPr>
  </w:style>
  <w:style w:type="paragraph" w:styleId="Index1">
    <w:name w:val="index 1"/>
    <w:basedOn w:val="Normal"/>
    <w:next w:val="Normal"/>
    <w:autoRedefine/>
    <w:uiPriority w:val="99"/>
    <w:semiHidden/>
    <w:unhideWhenUsed/>
    <w:rsid w:val="002002F4"/>
    <w:pPr>
      <w:tabs>
        <w:tab w:val="right" w:leader="dot" w:pos="6793"/>
      </w:tabs>
      <w:ind w:left="280" w:hanging="280"/>
      <w:jc w:val="left"/>
    </w:pPr>
    <w:rPr>
      <w:rFonts w:ascii="Calibri" w:eastAsia="Times New Roman" w:hAnsi="Calibri" w:cs="Times New Roman"/>
      <w:sz w:val="18"/>
      <w:szCs w:val="21"/>
      <w:lang w:bidi="fa-IR"/>
    </w:rPr>
  </w:style>
  <w:style w:type="paragraph" w:styleId="Index2">
    <w:name w:val="index 2"/>
    <w:basedOn w:val="Normal"/>
    <w:next w:val="Normal"/>
    <w:autoRedefine/>
    <w:uiPriority w:val="99"/>
    <w:semiHidden/>
    <w:unhideWhenUsed/>
    <w:rsid w:val="002002F4"/>
    <w:pPr>
      <w:bidi w:val="0"/>
      <w:ind w:left="560" w:hanging="280"/>
      <w:jc w:val="left"/>
    </w:pPr>
    <w:rPr>
      <w:rFonts w:ascii="Calibri" w:eastAsia="Times New Roman" w:hAnsi="Calibri" w:cs="Times New Roman"/>
      <w:sz w:val="18"/>
      <w:szCs w:val="21"/>
      <w:lang w:bidi="fa-IR"/>
    </w:rPr>
  </w:style>
  <w:style w:type="paragraph" w:styleId="Index3">
    <w:name w:val="index 3"/>
    <w:basedOn w:val="Normal"/>
    <w:next w:val="Normal"/>
    <w:autoRedefine/>
    <w:uiPriority w:val="99"/>
    <w:semiHidden/>
    <w:unhideWhenUsed/>
    <w:rsid w:val="002002F4"/>
    <w:pPr>
      <w:bidi w:val="0"/>
      <w:ind w:left="840" w:hanging="280"/>
      <w:jc w:val="left"/>
    </w:pPr>
    <w:rPr>
      <w:rFonts w:ascii="Calibri" w:eastAsia="Times New Roman" w:hAnsi="Calibri" w:cs="Times New Roman"/>
      <w:sz w:val="18"/>
      <w:szCs w:val="21"/>
      <w:lang w:bidi="fa-IR"/>
    </w:rPr>
  </w:style>
  <w:style w:type="paragraph" w:styleId="Index4">
    <w:name w:val="index 4"/>
    <w:basedOn w:val="Normal"/>
    <w:next w:val="Normal"/>
    <w:autoRedefine/>
    <w:uiPriority w:val="99"/>
    <w:semiHidden/>
    <w:unhideWhenUsed/>
    <w:rsid w:val="002002F4"/>
    <w:pPr>
      <w:bidi w:val="0"/>
      <w:ind w:left="1120" w:hanging="280"/>
      <w:jc w:val="left"/>
    </w:pPr>
    <w:rPr>
      <w:rFonts w:ascii="Calibri" w:eastAsia="Times New Roman" w:hAnsi="Calibri" w:cs="Times New Roman"/>
      <w:sz w:val="18"/>
      <w:szCs w:val="21"/>
      <w:lang w:bidi="fa-IR"/>
    </w:rPr>
  </w:style>
  <w:style w:type="paragraph" w:styleId="Index5">
    <w:name w:val="index 5"/>
    <w:basedOn w:val="Normal"/>
    <w:next w:val="Normal"/>
    <w:autoRedefine/>
    <w:uiPriority w:val="99"/>
    <w:semiHidden/>
    <w:unhideWhenUsed/>
    <w:rsid w:val="002002F4"/>
    <w:pPr>
      <w:bidi w:val="0"/>
      <w:ind w:left="1400" w:hanging="280"/>
      <w:jc w:val="left"/>
    </w:pPr>
    <w:rPr>
      <w:rFonts w:ascii="Calibri" w:eastAsia="Times New Roman" w:hAnsi="Calibri" w:cs="Times New Roman"/>
      <w:sz w:val="18"/>
      <w:szCs w:val="21"/>
      <w:lang w:bidi="fa-IR"/>
    </w:rPr>
  </w:style>
  <w:style w:type="paragraph" w:styleId="Index6">
    <w:name w:val="index 6"/>
    <w:basedOn w:val="Normal"/>
    <w:next w:val="Normal"/>
    <w:autoRedefine/>
    <w:uiPriority w:val="99"/>
    <w:semiHidden/>
    <w:unhideWhenUsed/>
    <w:rsid w:val="002002F4"/>
    <w:pPr>
      <w:bidi w:val="0"/>
      <w:ind w:left="1680" w:hanging="280"/>
      <w:jc w:val="left"/>
    </w:pPr>
    <w:rPr>
      <w:rFonts w:ascii="Calibri" w:eastAsia="Times New Roman" w:hAnsi="Calibri" w:cs="Times New Roman"/>
      <w:sz w:val="18"/>
      <w:szCs w:val="21"/>
      <w:lang w:bidi="fa-IR"/>
    </w:rPr>
  </w:style>
  <w:style w:type="paragraph" w:styleId="Index7">
    <w:name w:val="index 7"/>
    <w:basedOn w:val="Normal"/>
    <w:next w:val="Normal"/>
    <w:autoRedefine/>
    <w:uiPriority w:val="99"/>
    <w:semiHidden/>
    <w:unhideWhenUsed/>
    <w:rsid w:val="002002F4"/>
    <w:pPr>
      <w:bidi w:val="0"/>
      <w:ind w:left="1960" w:hanging="280"/>
      <w:jc w:val="left"/>
    </w:pPr>
    <w:rPr>
      <w:rFonts w:ascii="Calibri" w:eastAsia="Times New Roman" w:hAnsi="Calibri" w:cs="Times New Roman"/>
      <w:sz w:val="18"/>
      <w:szCs w:val="21"/>
      <w:lang w:bidi="fa-IR"/>
    </w:rPr>
  </w:style>
  <w:style w:type="paragraph" w:styleId="Index8">
    <w:name w:val="index 8"/>
    <w:basedOn w:val="Normal"/>
    <w:next w:val="Normal"/>
    <w:autoRedefine/>
    <w:uiPriority w:val="99"/>
    <w:semiHidden/>
    <w:unhideWhenUsed/>
    <w:rsid w:val="002002F4"/>
    <w:pPr>
      <w:bidi w:val="0"/>
      <w:ind w:left="2240" w:hanging="280"/>
      <w:jc w:val="left"/>
    </w:pPr>
    <w:rPr>
      <w:rFonts w:ascii="Calibri" w:eastAsia="Times New Roman" w:hAnsi="Calibri" w:cs="Times New Roman"/>
      <w:sz w:val="18"/>
      <w:szCs w:val="21"/>
      <w:lang w:bidi="fa-IR"/>
    </w:rPr>
  </w:style>
  <w:style w:type="paragraph" w:styleId="Index9">
    <w:name w:val="index 9"/>
    <w:basedOn w:val="Normal"/>
    <w:next w:val="Normal"/>
    <w:autoRedefine/>
    <w:uiPriority w:val="99"/>
    <w:semiHidden/>
    <w:unhideWhenUsed/>
    <w:rsid w:val="002002F4"/>
    <w:pPr>
      <w:bidi w:val="0"/>
      <w:ind w:left="2520" w:hanging="280"/>
      <w:jc w:val="left"/>
    </w:pPr>
    <w:rPr>
      <w:rFonts w:ascii="Calibri" w:eastAsia="Times New Roman" w:hAnsi="Calibri" w:cs="Times New Roman"/>
      <w:sz w:val="18"/>
      <w:szCs w:val="21"/>
      <w:lang w:bidi="fa-IR"/>
    </w:rPr>
  </w:style>
  <w:style w:type="paragraph" w:styleId="IndexHeading">
    <w:name w:val="index heading"/>
    <w:basedOn w:val="Normal"/>
    <w:next w:val="Index1"/>
    <w:uiPriority w:val="99"/>
    <w:semiHidden/>
    <w:unhideWhenUsed/>
    <w:rsid w:val="002002F4"/>
    <w:pPr>
      <w:bidi w:val="0"/>
      <w:spacing w:before="240" w:after="120"/>
      <w:jc w:val="center"/>
    </w:pPr>
    <w:rPr>
      <w:rFonts w:ascii="Calibri" w:eastAsia="Times New Roman" w:hAnsi="Calibri" w:cs="Times New Roman"/>
      <w:b/>
      <w:bCs/>
      <w:sz w:val="26"/>
      <w:szCs w:val="31"/>
      <w:lang w:bidi="fa-IR"/>
    </w:rPr>
  </w:style>
  <w:style w:type="character" w:customStyle="1" w:styleId="TitleChar1">
    <w:name w:val="Title Char1"/>
    <w:aliases w:val="Author Name Char1"/>
    <w:basedOn w:val="DefaultParagraphFont"/>
    <w:uiPriority w:val="10"/>
    <w:rsid w:val="002002F4"/>
    <w:rPr>
      <w:rFonts w:asciiTheme="majorHAnsi" w:eastAsiaTheme="majorEastAsia" w:hAnsiTheme="majorHAnsi" w:cstheme="majorBidi"/>
      <w:spacing w:val="-10"/>
      <w:kern w:val="28"/>
      <w:sz w:val="56"/>
      <w:szCs w:val="56"/>
    </w:rPr>
  </w:style>
  <w:style w:type="character" w:customStyle="1" w:styleId="BalloonTextChar1">
    <w:name w:val="Balloon Text Char1"/>
    <w:basedOn w:val="DefaultParagraphFont"/>
    <w:uiPriority w:val="99"/>
    <w:semiHidden/>
    <w:rsid w:val="002002F4"/>
    <w:rPr>
      <w:rFonts w:ascii="Segoe UI" w:eastAsia="Times New Roman" w:hAnsi="Segoe UI" w:cs="Segoe UI" w:hint="default"/>
      <w:sz w:val="18"/>
      <w:szCs w:val="18"/>
    </w:rPr>
  </w:style>
  <w:style w:type="table" w:styleId="TableGridLight">
    <w:name w:val="Grid Table Light"/>
    <w:basedOn w:val="TableNormal"/>
    <w:uiPriority w:val="40"/>
    <w:rsid w:val="00F93F1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45720">
      <w:bodyDiv w:val="1"/>
      <w:marLeft w:val="0"/>
      <w:marRight w:val="0"/>
      <w:marTop w:val="0"/>
      <w:marBottom w:val="0"/>
      <w:divBdr>
        <w:top w:val="none" w:sz="0" w:space="0" w:color="auto"/>
        <w:left w:val="none" w:sz="0" w:space="0" w:color="auto"/>
        <w:bottom w:val="none" w:sz="0" w:space="0" w:color="auto"/>
        <w:right w:val="none" w:sz="0" w:space="0" w:color="auto"/>
      </w:divBdr>
    </w:div>
    <w:div w:id="692920279">
      <w:bodyDiv w:val="1"/>
      <w:marLeft w:val="0"/>
      <w:marRight w:val="0"/>
      <w:marTop w:val="0"/>
      <w:marBottom w:val="0"/>
      <w:divBdr>
        <w:top w:val="none" w:sz="0" w:space="0" w:color="auto"/>
        <w:left w:val="none" w:sz="0" w:space="0" w:color="auto"/>
        <w:bottom w:val="none" w:sz="0" w:space="0" w:color="auto"/>
        <w:right w:val="none" w:sz="0" w:space="0" w:color="auto"/>
      </w:divBdr>
    </w:div>
    <w:div w:id="1180699120">
      <w:bodyDiv w:val="1"/>
      <w:marLeft w:val="0"/>
      <w:marRight w:val="0"/>
      <w:marTop w:val="0"/>
      <w:marBottom w:val="0"/>
      <w:divBdr>
        <w:top w:val="none" w:sz="0" w:space="0" w:color="auto"/>
        <w:left w:val="none" w:sz="0" w:space="0" w:color="auto"/>
        <w:bottom w:val="none" w:sz="0" w:space="0" w:color="auto"/>
        <w:right w:val="none" w:sz="0" w:space="0" w:color="auto"/>
      </w:divBdr>
    </w:div>
    <w:div w:id="1181965642">
      <w:bodyDiv w:val="1"/>
      <w:marLeft w:val="0"/>
      <w:marRight w:val="0"/>
      <w:marTop w:val="0"/>
      <w:marBottom w:val="0"/>
      <w:divBdr>
        <w:top w:val="none" w:sz="0" w:space="0" w:color="auto"/>
        <w:left w:val="none" w:sz="0" w:space="0" w:color="auto"/>
        <w:bottom w:val="none" w:sz="0" w:space="0" w:color="auto"/>
        <w:right w:val="none" w:sz="0" w:space="0" w:color="auto"/>
      </w:divBdr>
    </w:div>
    <w:div w:id="1648507200">
      <w:bodyDiv w:val="1"/>
      <w:marLeft w:val="0"/>
      <w:marRight w:val="0"/>
      <w:marTop w:val="0"/>
      <w:marBottom w:val="0"/>
      <w:divBdr>
        <w:top w:val="none" w:sz="0" w:space="0" w:color="auto"/>
        <w:left w:val="none" w:sz="0" w:space="0" w:color="auto"/>
        <w:bottom w:val="none" w:sz="0" w:space="0" w:color="auto"/>
        <w:right w:val="none" w:sz="0" w:space="0" w:color="auto"/>
      </w:divBdr>
    </w:div>
    <w:div w:id="196399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eader" Target="header41.xml"/><Relationship Id="rId55" Type="http://schemas.openxmlformats.org/officeDocument/2006/relationships/header" Target="header46.xml"/><Relationship Id="rId63" Type="http://schemas.openxmlformats.org/officeDocument/2006/relationships/header" Target="header54.xml"/><Relationship Id="rId68" Type="http://schemas.openxmlformats.org/officeDocument/2006/relationships/header" Target="header59.xml"/><Relationship Id="rId76" Type="http://schemas.openxmlformats.org/officeDocument/2006/relationships/header" Target="header67.xml"/><Relationship Id="rId84" Type="http://schemas.openxmlformats.org/officeDocument/2006/relationships/header" Target="header75.xml"/><Relationship Id="rId7" Type="http://schemas.openxmlformats.org/officeDocument/2006/relationships/endnotes" Target="endnotes.xml"/><Relationship Id="rId71" Type="http://schemas.openxmlformats.org/officeDocument/2006/relationships/header" Target="header62.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eader" Target="header20.xml"/><Relationship Id="rId11" Type="http://schemas.openxmlformats.org/officeDocument/2006/relationships/header" Target="header4.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8" Type="http://schemas.openxmlformats.org/officeDocument/2006/relationships/header" Target="header49.xml"/><Relationship Id="rId66" Type="http://schemas.openxmlformats.org/officeDocument/2006/relationships/header" Target="header57.xml"/><Relationship Id="rId74" Type="http://schemas.openxmlformats.org/officeDocument/2006/relationships/header" Target="header65.xml"/><Relationship Id="rId79" Type="http://schemas.openxmlformats.org/officeDocument/2006/relationships/header" Target="header70.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2.xml"/><Relationship Id="rId82" Type="http://schemas.openxmlformats.org/officeDocument/2006/relationships/header" Target="header73.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64" Type="http://schemas.openxmlformats.org/officeDocument/2006/relationships/header" Target="header55.xml"/><Relationship Id="rId69" Type="http://schemas.openxmlformats.org/officeDocument/2006/relationships/header" Target="header60.xml"/><Relationship Id="rId77" Type="http://schemas.openxmlformats.org/officeDocument/2006/relationships/header" Target="header68.xml"/><Relationship Id="rId8" Type="http://schemas.openxmlformats.org/officeDocument/2006/relationships/header" Target="header1.xml"/><Relationship Id="rId51" Type="http://schemas.openxmlformats.org/officeDocument/2006/relationships/header" Target="header42.xml"/><Relationship Id="rId72" Type="http://schemas.openxmlformats.org/officeDocument/2006/relationships/header" Target="header63.xml"/><Relationship Id="rId80" Type="http://schemas.openxmlformats.org/officeDocument/2006/relationships/header" Target="header71.xml"/><Relationship Id="rId85" Type="http://schemas.openxmlformats.org/officeDocument/2006/relationships/header" Target="header76.xml"/><Relationship Id="rId3" Type="http://schemas.openxmlformats.org/officeDocument/2006/relationships/styles" Target="styles.xml"/><Relationship Id="rId12" Type="http://schemas.openxmlformats.org/officeDocument/2006/relationships/hyperlink" Target="http://www.kadivar.com" TargetMode="Externa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50.xml"/><Relationship Id="rId67" Type="http://schemas.openxmlformats.org/officeDocument/2006/relationships/header" Target="header58.xml"/><Relationship Id="rId20" Type="http://schemas.openxmlformats.org/officeDocument/2006/relationships/header" Target="header11.xml"/><Relationship Id="rId41" Type="http://schemas.openxmlformats.org/officeDocument/2006/relationships/header" Target="header32.xml"/><Relationship Id="rId54" Type="http://schemas.openxmlformats.org/officeDocument/2006/relationships/header" Target="header45.xml"/><Relationship Id="rId62" Type="http://schemas.openxmlformats.org/officeDocument/2006/relationships/header" Target="header53.xml"/><Relationship Id="rId70" Type="http://schemas.openxmlformats.org/officeDocument/2006/relationships/header" Target="header61.xml"/><Relationship Id="rId75" Type="http://schemas.openxmlformats.org/officeDocument/2006/relationships/header" Target="header66.xml"/><Relationship Id="rId83" Type="http://schemas.openxmlformats.org/officeDocument/2006/relationships/header" Target="header7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header" Target="header48.xml"/><Relationship Id="rId10" Type="http://schemas.openxmlformats.org/officeDocument/2006/relationships/header" Target="header3.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eader" Target="header43.xml"/><Relationship Id="rId60" Type="http://schemas.openxmlformats.org/officeDocument/2006/relationships/header" Target="header51.xml"/><Relationship Id="rId65" Type="http://schemas.openxmlformats.org/officeDocument/2006/relationships/header" Target="header56.xml"/><Relationship Id="rId73" Type="http://schemas.openxmlformats.org/officeDocument/2006/relationships/header" Target="header64.xml"/><Relationship Id="rId78" Type="http://schemas.openxmlformats.org/officeDocument/2006/relationships/header" Target="header69.xml"/><Relationship Id="rId81" Type="http://schemas.openxmlformats.org/officeDocument/2006/relationships/header" Target="header72.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kadivar.mohsen59@gmail.com" TargetMode="External"/><Relationship Id="rId1" Type="http://schemas.openxmlformats.org/officeDocument/2006/relationships/hyperlink" Target="http://www.kadiva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8C615-A18C-407A-BA9B-09A92882B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8609</TotalTime>
  <Pages>544</Pages>
  <Words>77242</Words>
  <Characters>440283</Characters>
  <Application>Microsoft Office Word</Application>
  <DocSecurity>0</DocSecurity>
  <Lines>3669</Lines>
  <Paragraphs>1032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516493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Johar</dc:creator>
  <cp:lastModifiedBy>ali johar</cp:lastModifiedBy>
  <cp:revision>289</cp:revision>
  <cp:lastPrinted>2015-04-05T05:23:00Z</cp:lastPrinted>
  <dcterms:created xsi:type="dcterms:W3CDTF">2011-12-05T07:02:00Z</dcterms:created>
  <dcterms:modified xsi:type="dcterms:W3CDTF">2015-04-05T05:24:00Z</dcterms:modified>
</cp:coreProperties>
</file>